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200660</wp:posOffset>
            </wp:positionV>
            <wp:extent cx="7246620" cy="26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26035"/>
                    </a:xfrm>
                    <a:prstGeom prst="rect">
                      <a:avLst/>
                    </a:prstGeom>
                    <a:noFill/>
                  </pic:spPr>
                </pic:pic>
              </a:graphicData>
            </a:graphic>
          </wp:anchor>
        </w:drawing>
        <w:t>UNITED STATES</w:t>
      </w:r>
    </w:p>
    <w:p>
      <w:pPr>
        <w:spacing w:after="0" w:line="3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2938145</wp:posOffset>
            </wp:positionH>
            <wp:positionV relativeFrom="paragraph">
              <wp:posOffset>142240</wp:posOffset>
            </wp:positionV>
            <wp:extent cx="138938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39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2938145</wp:posOffset>
            </wp:positionH>
            <wp:positionV relativeFrom="paragraph">
              <wp:posOffset>161290</wp:posOffset>
            </wp:positionV>
            <wp:extent cx="138938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200" w:lineRule="exact"/>
        <w:rPr>
          <w:sz w:val="24"/>
          <w:szCs w:val="24"/>
          <w:color w:val="auto"/>
        </w:rPr>
      </w:pPr>
    </w:p>
    <w:p>
      <w:pPr>
        <w:spacing w:after="0" w:line="236" w:lineRule="exact"/>
        <w:rPr>
          <w:sz w:val="24"/>
          <w:szCs w:val="24"/>
          <w:color w:val="auto"/>
        </w:rPr>
      </w:pPr>
    </w:p>
    <w:p>
      <w:pPr>
        <w:ind w:left="3740" w:right="2120" w:hanging="1617"/>
        <w:spacing w:after="0" w:line="256" w:lineRule="auto"/>
        <w:tabs>
          <w:tab w:leader="none" w:pos="2346" w:val="left"/>
        </w:tabs>
        <w:numPr>
          <w:ilvl w:val="0"/>
          <w:numId w:val="1"/>
        </w:numPr>
        <w:rPr>
          <w:rFonts w:ascii="Arial" w:cs="Arial" w:eastAsia="Arial" w:hAnsi="Arial"/>
          <w:sz w:val="22"/>
          <w:szCs w:val="22"/>
          <w:b w:val="1"/>
          <w:bCs w:val="1"/>
          <w:color w:val="auto"/>
        </w:rPr>
      </w:pPr>
      <w:r>
        <w:rPr>
          <w:rFonts w:ascii="Arial" w:cs="Arial" w:eastAsia="Arial" w:hAnsi="Arial"/>
          <w:sz w:val="22"/>
          <w:szCs w:val="22"/>
          <w:b w:val="1"/>
          <w:bCs w:val="1"/>
          <w:color w:val="auto"/>
        </w:rPr>
        <w:t>QUARTERLY REPORT PURSUANT TO SECTION 13 OR 15(d) OF THE SECURITIES EXCHANGE ACT OF 1934</w:t>
      </w:r>
    </w:p>
    <w:p>
      <w:pPr>
        <w:spacing w:after="0" w:line="172"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quarterly period ended June 30, 2006</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OR</w:t>
      </w:r>
    </w:p>
    <w:p>
      <w:pPr>
        <w:spacing w:after="0" w:line="216" w:lineRule="exact"/>
        <w:rPr>
          <w:sz w:val="24"/>
          <w:szCs w:val="24"/>
          <w:color w:val="auto"/>
        </w:rPr>
      </w:pPr>
    </w:p>
    <w:p>
      <w:pPr>
        <w:ind w:left="3740" w:right="2100" w:hanging="1625"/>
        <w:spacing w:after="0" w:line="256" w:lineRule="auto"/>
        <w:tabs>
          <w:tab w:leader="none" w:pos="2338"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2938145</wp:posOffset>
            </wp:positionH>
            <wp:positionV relativeFrom="paragraph">
              <wp:posOffset>120650</wp:posOffset>
            </wp:positionV>
            <wp:extent cx="138938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38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1-16725</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(Commission file number)</w:t>
      </w:r>
    </w:p>
    <w:p>
      <w:pPr>
        <w:spacing w:after="0" w:line="184"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PRINCIPAL FINANCIAL GROUP, INC.</w:t>
      </w:r>
    </w:p>
    <w:p>
      <w:pPr>
        <w:spacing w:after="0" w:line="40"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420"/>
          </w:cols>
          <w:pgMar w:left="240" w:top="530" w:right="239" w:bottom="0" w:gutter="0" w:footer="0" w:header="0"/>
        </w:sectPr>
      </w:pPr>
    </w:p>
    <w:p>
      <w:pPr>
        <w:spacing w:after="0" w:line="205" w:lineRule="exact"/>
        <w:rPr>
          <w:sz w:val="24"/>
          <w:szCs w:val="24"/>
          <w:color w:val="auto"/>
        </w:rPr>
      </w:pPr>
    </w:p>
    <w:p>
      <w:pPr>
        <w:ind w:left="238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ind w:left="1700"/>
        <w:spacing w:after="0"/>
        <w:rPr>
          <w:sz w:val="20"/>
          <w:szCs w:val="20"/>
          <w:color w:val="auto"/>
        </w:rPr>
      </w:pPr>
      <w:r>
        <w:rPr>
          <w:rFonts w:ascii="Arial" w:cs="Arial" w:eastAsia="Arial" w:hAnsi="Arial"/>
          <w:sz w:val="16"/>
          <w:szCs w:val="16"/>
          <w:color w:val="auto"/>
        </w:rPr>
        <w:t>(State or other jurisdiction of</w:t>
      </w:r>
    </w:p>
    <w:p>
      <w:pPr>
        <w:spacing w:after="0" w:line="32" w:lineRule="exact"/>
        <w:rPr>
          <w:sz w:val="24"/>
          <w:szCs w:val="24"/>
          <w:color w:val="auto"/>
        </w:rPr>
      </w:pPr>
    </w:p>
    <w:p>
      <w:pPr>
        <w:ind w:left="1660"/>
        <w:spacing w:after="0"/>
        <w:rPr>
          <w:sz w:val="20"/>
          <w:szCs w:val="20"/>
          <w:color w:val="auto"/>
        </w:rPr>
      </w:pPr>
      <w:r>
        <w:rPr>
          <w:rFonts w:ascii="Arial" w:cs="Arial" w:eastAsia="Arial" w:hAnsi="Arial"/>
          <w:sz w:val="16"/>
          <w:szCs w:val="16"/>
          <w:color w:val="auto"/>
        </w:rPr>
        <w:t>incorporation or organization)</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1900"/>
        <w:spacing w:after="0"/>
        <w:rPr>
          <w:sz w:val="20"/>
          <w:szCs w:val="20"/>
          <w:color w:val="auto"/>
        </w:rPr>
      </w:pPr>
      <w:r>
        <w:rPr>
          <w:rFonts w:ascii="Arial" w:cs="Arial" w:eastAsia="Arial" w:hAnsi="Arial"/>
          <w:sz w:val="18"/>
          <w:szCs w:val="18"/>
          <w:b w:val="1"/>
          <w:bCs w:val="1"/>
          <w:color w:val="auto"/>
        </w:rPr>
        <w:t>42-1520346</w:t>
      </w:r>
    </w:p>
    <w:p>
      <w:pPr>
        <w:spacing w:after="0" w:line="27" w:lineRule="exact"/>
        <w:rPr>
          <w:sz w:val="24"/>
          <w:szCs w:val="24"/>
          <w:color w:val="auto"/>
        </w:rPr>
      </w:pPr>
    </w:p>
    <w:p>
      <w:pPr>
        <w:jc w:val="center"/>
        <w:ind w:right="190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1900"/>
        <w:spacing w:after="0"/>
        <w:rPr>
          <w:sz w:val="20"/>
          <w:szCs w:val="20"/>
          <w:color w:val="auto"/>
        </w:rPr>
      </w:pPr>
      <w:r>
        <w:rPr>
          <w:rFonts w:ascii="Arial" w:cs="Arial" w:eastAsia="Arial" w:hAnsi="Arial"/>
          <w:sz w:val="17"/>
          <w:szCs w:val="17"/>
          <w:color w:val="auto"/>
        </w:rPr>
        <w:t>Identification Number)</w:t>
      </w:r>
    </w:p>
    <w:p>
      <w:pPr>
        <w:spacing w:after="0" w:line="200" w:lineRule="exact"/>
        <w:rPr>
          <w:sz w:val="24"/>
          <w:szCs w:val="24"/>
          <w:color w:val="auto"/>
        </w:rPr>
      </w:pPr>
    </w:p>
    <w:p>
      <w:pPr>
        <w:sectPr>
          <w:pgSz w:w="11900" w:h="16838" w:orient="portrait"/>
          <w:cols w:equalWidth="0" w:num="2">
            <w:col w:w="7120" w:space="720"/>
            <w:col w:w="3580"/>
          </w:cols>
          <w:pgMar w:left="240" w:top="530" w:right="239" w:bottom="0" w:gutter="0" w:footer="0" w:header="0"/>
          <w:type w:val="continuous"/>
        </w:sectPr>
      </w:pPr>
    </w:p>
    <w:p>
      <w:pPr>
        <w:spacing w:after="0" w:line="72"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711 High Street, Des Moines, Iowa 50392</w:t>
      </w:r>
    </w:p>
    <w:p>
      <w:pPr>
        <w:spacing w:after="0" w:line="50"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(Address of principal executive offices)</w:t>
      </w:r>
    </w:p>
    <w:p>
      <w:pPr>
        <w:sectPr>
          <w:pgSz w:w="11900" w:h="16838" w:orient="portrait"/>
          <w:cols w:equalWidth="0" w:num="1">
            <w:col w:w="11420"/>
          </w:cols>
          <w:pgMar w:left="240" w:top="530" w:right="239" w:bottom="0" w:gutter="0" w:footer="0" w:header="0"/>
          <w:type w:val="continuous"/>
        </w:sectPr>
      </w:pP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(515) 247-5111</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2938145</wp:posOffset>
            </wp:positionH>
            <wp:positionV relativeFrom="paragraph">
              <wp:posOffset>142875</wp:posOffset>
            </wp:positionV>
            <wp:extent cx="138938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200" w:lineRule="exact"/>
        <w:rPr>
          <w:sz w:val="24"/>
          <w:szCs w:val="24"/>
          <w:color w:val="auto"/>
        </w:rPr>
      </w:pPr>
    </w:p>
    <w:p>
      <w:pPr>
        <w:spacing w:after="0" w:line="220" w:lineRule="exact"/>
        <w:rPr>
          <w:sz w:val="24"/>
          <w:szCs w:val="24"/>
          <w:color w:val="auto"/>
        </w:rPr>
      </w:pPr>
    </w:p>
    <w:p>
      <w:pPr>
        <w:ind w:right="420"/>
        <w:spacing w:after="0" w:line="264" w:lineRule="auto"/>
        <w:rPr>
          <w:sz w:val="20"/>
          <w:szCs w:val="20"/>
          <w:color w:val="auto"/>
        </w:rPr>
      </w:pPr>
      <w:r>
        <w:rPr>
          <w:rFonts w:ascii="Arial" w:cs="Arial" w:eastAsia="Arial" w:hAnsi="Arial"/>
          <w:sz w:val="18"/>
          <w:szCs w:val="18"/>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o</w:t>
      </w:r>
    </w:p>
    <w:p>
      <w:pPr>
        <w:spacing w:after="0" w:line="181" w:lineRule="exact"/>
        <w:rPr>
          <w:sz w:val="24"/>
          <w:szCs w:val="24"/>
          <w:color w:val="auto"/>
        </w:rPr>
      </w:pPr>
    </w:p>
    <w:p>
      <w:pPr>
        <w:ind w:right="240"/>
        <w:spacing w:after="0" w:line="277" w:lineRule="auto"/>
        <w:rPr>
          <w:sz w:val="20"/>
          <w:szCs w:val="20"/>
          <w:color w:val="auto"/>
        </w:rPr>
      </w:pPr>
      <w:r>
        <w:rPr>
          <w:rFonts w:ascii="Arial" w:cs="Arial" w:eastAsia="Arial" w:hAnsi="Arial"/>
          <w:sz w:val="18"/>
          <w:szCs w:val="18"/>
          <w:color w:val="auto"/>
        </w:rPr>
        <w:t>Indicate by check mark whether the registrant is a large accelerated filer, an accelerated filer, or a non-accelerated filer. See definition of “accelerated filer” and “large accelerated filer” in Rule 12b-2 of the Exchange Act. (Check one):</w:t>
      </w:r>
    </w:p>
    <w:p>
      <w:pPr>
        <w:spacing w:after="0" w:line="170" w:lineRule="exact"/>
        <w:rPr>
          <w:sz w:val="24"/>
          <w:szCs w:val="24"/>
          <w:color w:val="auto"/>
        </w:rPr>
      </w:pPr>
    </w:p>
    <w:p>
      <w:pPr>
        <w:spacing w:after="0"/>
        <w:tabs>
          <w:tab w:leader="none" w:pos="1920" w:val="left"/>
          <w:tab w:leader="none" w:pos="2220" w:val="left"/>
          <w:tab w:leader="none" w:pos="3700" w:val="left"/>
          <w:tab w:leader="none" w:pos="4000" w:val="left"/>
          <w:tab w:leader="none" w:pos="5800" w:val="left"/>
        </w:tabs>
        <w:rPr>
          <w:sz w:val="20"/>
          <w:szCs w:val="20"/>
          <w:color w:val="auto"/>
        </w:rPr>
      </w:pPr>
      <w:r>
        <w:rPr>
          <w:rFonts w:ascii="Arial" w:cs="Arial" w:eastAsia="Arial" w:hAnsi="Arial"/>
          <w:sz w:val="18"/>
          <w:szCs w:val="18"/>
          <w:color w:val="auto"/>
        </w:rPr>
        <w:t>Large Accelerated Filer</w:t>
        <w:tab/>
        <w:t>x</w:t>
        <w:tab/>
        <w:t>Accelerated Filer</w:t>
        <w:tab/>
        <w:t>o</w:t>
        <w:tab/>
        <w:t>Non-accelerated Filer</w:t>
      </w:r>
      <w:r>
        <w:rPr>
          <w:sz w:val="20"/>
          <w:szCs w:val="20"/>
          <w:color w:val="auto"/>
        </w:rPr>
        <w:tab/>
      </w:r>
      <w:r>
        <w:rPr>
          <w:rFonts w:ascii="Arial" w:cs="Arial" w:eastAsia="Arial" w:hAnsi="Arial"/>
          <w:sz w:val="14"/>
          <w:szCs w:val="14"/>
          <w:color w:val="auto"/>
        </w:rPr>
        <w:t>o</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a shell company (as defined in Rule 12b-2 of the Exchange Act).</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Yes o  No x</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The total number of shares of the registrant’s Common Stock, $0.01 par value, outstanding as of July 27, 2006 was 269,286,643.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260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441325</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07" w:lineRule="exact"/>
        <w:rPr>
          <w:sz w:val="24"/>
          <w:szCs w:val="24"/>
          <w:color w:val="auto"/>
        </w:rPr>
      </w:pPr>
    </w:p>
    <w:tbl>
      <w:tblPr>
        <w:tblLayout w:type="fixed"/>
        <w:tblInd w:w="0" w:type="dxa"/>
        <w:tblCellMar>
          <w:top w:w="0" w:type="dxa"/>
          <w:left w:w="0" w:type="dxa"/>
          <w:bottom w:w="0" w:type="dxa"/>
          <w:right w:w="0" w:type="dxa"/>
        </w:tblCellMar>
      </w:tblPr>
      <w:tr>
        <w:trPr>
          <w:trHeight w:val="171"/>
        </w:trPr>
        <w:tc>
          <w:tcPr>
            <w:tcW w:w="10460" w:type="dxa"/>
            <w:vAlign w:val="bottom"/>
            <w:gridSpan w:val="7"/>
            <w:vMerge w:val="restart"/>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Part I - FINANCIAL INFORMATION</w:t>
              </w:r>
            </w:hyperlink>
          </w:p>
        </w:tc>
        <w:tc>
          <w:tcPr>
            <w:tcW w:w="960" w:type="dxa"/>
            <w:vAlign w:val="bottom"/>
            <w:tcBorders>
              <w:bottom w:val="single" w:sz="8" w:color="auto"/>
            </w:tcBorders>
            <w:gridSpan w:val="3"/>
          </w:tcPr>
          <w:p>
            <w:pPr>
              <w:jc w:val="right"/>
              <w:ind w:right="34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56"/>
        </w:trPr>
        <w:tc>
          <w:tcPr>
            <w:tcW w:w="10460" w:type="dxa"/>
            <w:vAlign w:val="bottom"/>
            <w:gridSpan w:val="7"/>
            <w:vMerge w:val="continue"/>
          </w:tcPr>
          <w:p>
            <w:pPr>
              <w:spacing w:after="0"/>
              <w:rPr>
                <w:sz w:val="13"/>
                <w:szCs w:val="13"/>
                <w:color w:val="auto"/>
              </w:rPr>
            </w:pPr>
          </w:p>
        </w:tc>
        <w:tc>
          <w:tcPr>
            <w:tcW w:w="8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12"/>
        </w:trPr>
        <w:tc>
          <w:tcPr>
            <w:tcW w:w="360" w:type="dxa"/>
            <w:vAlign w:val="bottom"/>
            <w:tcBorders>
              <w:top w:val="single" w:sz="8" w:color="0000EE"/>
            </w:tcBorders>
          </w:tcPr>
          <w:p>
            <w:pPr>
              <w:spacing w:after="0"/>
              <w:rPr>
                <w:sz w:val="24"/>
                <w:szCs w:val="24"/>
                <w:color w:val="auto"/>
              </w:rPr>
            </w:pPr>
          </w:p>
        </w:tc>
        <w:tc>
          <w:tcPr>
            <w:tcW w:w="2640" w:type="dxa"/>
            <w:vAlign w:val="bottom"/>
            <w:tcBorders>
              <w:top w:val="single" w:sz="8" w:color="0000EE"/>
            </w:tcBorders>
            <w:gridSpan w:val="3"/>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Item 1. Financial Statements</w:t>
              </w:r>
            </w:hyperlink>
          </w:p>
        </w:tc>
        <w:tc>
          <w:tcPr>
            <w:tcW w:w="7460" w:type="dxa"/>
            <w:vAlign w:val="bottom"/>
            <w:gridSpan w:val="3"/>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520" w:type="dxa"/>
            <w:vAlign w:val="bottom"/>
            <w:shd w:val="clear" w:color="auto" w:fill="0000EE"/>
          </w:tcPr>
          <w:p>
            <w:pPr>
              <w:spacing w:after="0" w:line="20" w:lineRule="exact"/>
              <w:rPr>
                <w:sz w:val="1"/>
                <w:szCs w:val="1"/>
                <w:color w:val="auto"/>
              </w:rPr>
            </w:pPr>
          </w:p>
        </w:tc>
        <w:tc>
          <w:tcPr>
            <w:tcW w:w="5720" w:type="dxa"/>
            <w:vAlign w:val="bottom"/>
            <w:gridSpan w:val="2"/>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560" w:type="dxa"/>
            <w:vAlign w:val="bottom"/>
            <w:gridSpan w:val="5"/>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Consolidated Statements of Financial Position at June 30, 2006 (Unaudited) and December 31, 2005</w:t>
              </w:r>
            </w:hyperlink>
          </w:p>
        </w:tc>
        <w:tc>
          <w:tcPr>
            <w:tcW w:w="960" w:type="dxa"/>
            <w:vAlign w:val="bottom"/>
            <w:gridSpan w:val="3"/>
          </w:tcPr>
          <w:p>
            <w:pPr>
              <w:jc w:val="right"/>
              <w:ind w:right="20"/>
              <w:spacing w:after="0"/>
              <w:rPr>
                <w:rFonts w:ascii="Arial" w:cs="Arial" w:eastAsia="Arial" w:hAnsi="Arial"/>
                <w:sz w:val="18"/>
                <w:szCs w:val="18"/>
                <w:color w:val="0000EE"/>
              </w:rPr>
            </w:pPr>
            <w:hyperlink w:anchor="page2">
              <w:r>
                <w:rPr>
                  <w:rFonts w:ascii="Arial" w:cs="Arial" w:eastAsia="Arial" w:hAnsi="Arial"/>
                  <w:sz w:val="18"/>
                  <w:szCs w:val="18"/>
                  <w:color w:val="0000EE"/>
                </w:rPr>
                <w:t>3</w:t>
              </w:r>
            </w:hyperlink>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5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5140" w:type="dxa"/>
            <w:vAlign w:val="bottom"/>
            <w:shd w:val="clear" w:color="auto" w:fill="0000EE"/>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920" w:type="dxa"/>
            <w:vAlign w:val="bottom"/>
            <w:gridSpan w:val="4"/>
          </w:tcPr>
          <w:p>
            <w:pPr>
              <w:spacing w:after="0"/>
              <w:rPr>
                <w:rFonts w:ascii="Arial" w:cs="Arial" w:eastAsia="Arial" w:hAnsi="Arial"/>
                <w:sz w:val="18"/>
                <w:szCs w:val="18"/>
                <w:color w:val="0000EE"/>
                <w:w w:val="89"/>
              </w:rPr>
            </w:pPr>
            <w:hyperlink w:anchor="page3">
              <w:r>
                <w:rPr>
                  <w:rFonts w:ascii="Arial" w:cs="Arial" w:eastAsia="Arial" w:hAnsi="Arial"/>
                  <w:sz w:val="18"/>
                  <w:szCs w:val="18"/>
                  <w:color w:val="0000EE"/>
                  <w:w w:val="89"/>
                </w:rPr>
                <w:t>Unaudited Consolidated Statements of Operations for the three and six months ended June 30, 2006 and 2005</w:t>
              </w:r>
            </w:hyperlink>
          </w:p>
        </w:tc>
        <w:tc>
          <w:tcPr>
            <w:tcW w:w="1640" w:type="dxa"/>
            <w:vAlign w:val="bottom"/>
          </w:tcPr>
          <w:p>
            <w:pPr>
              <w:spacing w:after="0"/>
              <w:rPr>
                <w:sz w:val="24"/>
                <w:szCs w:val="24"/>
                <w:color w:val="auto"/>
              </w:rPr>
            </w:pPr>
          </w:p>
        </w:tc>
        <w:tc>
          <w:tcPr>
            <w:tcW w:w="960" w:type="dxa"/>
            <w:vAlign w:val="bottom"/>
            <w:gridSpan w:val="3"/>
          </w:tcPr>
          <w:p>
            <w:pPr>
              <w:jc w:val="right"/>
              <w:ind w:right="20"/>
              <w:spacing w:after="0"/>
              <w:rPr>
                <w:rFonts w:ascii="Arial" w:cs="Arial" w:eastAsia="Arial" w:hAnsi="Arial"/>
                <w:sz w:val="18"/>
                <w:szCs w:val="18"/>
                <w:color w:val="0000EE"/>
              </w:rPr>
            </w:pPr>
            <w:hyperlink w:anchor="page3">
              <w:r>
                <w:rPr>
                  <w:rFonts w:ascii="Arial" w:cs="Arial" w:eastAsia="Arial" w:hAnsi="Arial"/>
                  <w:sz w:val="18"/>
                  <w:szCs w:val="18"/>
                  <w:color w:val="0000EE"/>
                </w:rPr>
                <w:t>4</w:t>
              </w:r>
            </w:hyperlink>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7240" w:type="dxa"/>
            <w:vAlign w:val="bottom"/>
            <w:gridSpan w:val="3"/>
            <w:shd w:val="clear" w:color="auto" w:fill="0000EE"/>
          </w:tcPr>
          <w:p>
            <w:pPr>
              <w:spacing w:after="0" w:line="20" w:lineRule="exact"/>
              <w:rPr>
                <w:sz w:val="1"/>
                <w:szCs w:val="1"/>
                <w:color w:val="auto"/>
              </w:rPr>
            </w:pPr>
          </w:p>
        </w:tc>
        <w:tc>
          <w:tcPr>
            <w:tcW w:w="680" w:type="dxa"/>
            <w:vAlign w:val="bottom"/>
            <w:tcBorders>
              <w:left w:val="single" w:sz="8" w:color="0000EE"/>
            </w:tcBorders>
            <w:shd w:val="clear" w:color="auto" w:fill="0000EE"/>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920" w:type="dxa"/>
            <w:vAlign w:val="bottom"/>
            <w:gridSpan w:val="4"/>
          </w:tcPr>
          <w:p>
            <w:pPr>
              <w:spacing w:after="0"/>
              <w:rPr>
                <w:rFonts w:ascii="Arial" w:cs="Arial" w:eastAsia="Arial" w:hAnsi="Arial"/>
                <w:sz w:val="18"/>
                <w:szCs w:val="18"/>
                <w:color w:val="0000EE"/>
                <w:w w:val="89"/>
              </w:rPr>
            </w:pPr>
            <w:hyperlink w:anchor="page3">
              <w:r>
                <w:rPr>
                  <w:rFonts w:ascii="Arial" w:cs="Arial" w:eastAsia="Arial" w:hAnsi="Arial"/>
                  <w:sz w:val="18"/>
                  <w:szCs w:val="18"/>
                  <w:color w:val="0000EE"/>
                  <w:w w:val="89"/>
                </w:rPr>
                <w:t>Unaudited Consolidated Statements of Stockholders’ Equity for the six months ended June 30, 2006 and 2005</w:t>
              </w:r>
            </w:hyperlink>
          </w:p>
        </w:tc>
        <w:tc>
          <w:tcPr>
            <w:tcW w:w="1640" w:type="dxa"/>
            <w:vAlign w:val="bottom"/>
          </w:tcPr>
          <w:p>
            <w:pPr>
              <w:spacing w:after="0"/>
              <w:rPr>
                <w:sz w:val="24"/>
                <w:szCs w:val="24"/>
                <w:color w:val="auto"/>
              </w:rPr>
            </w:pPr>
          </w:p>
        </w:tc>
        <w:tc>
          <w:tcPr>
            <w:tcW w:w="960" w:type="dxa"/>
            <w:vAlign w:val="bottom"/>
            <w:gridSpan w:val="3"/>
          </w:tcPr>
          <w:p>
            <w:pPr>
              <w:jc w:val="right"/>
              <w:ind w:right="20"/>
              <w:spacing w:after="0"/>
              <w:rPr>
                <w:rFonts w:ascii="Arial" w:cs="Arial" w:eastAsia="Arial" w:hAnsi="Arial"/>
                <w:sz w:val="18"/>
                <w:szCs w:val="18"/>
                <w:color w:val="0000EE"/>
              </w:rPr>
            </w:pPr>
            <w:hyperlink w:anchor="page3">
              <w:r>
                <w:rPr>
                  <w:rFonts w:ascii="Arial" w:cs="Arial" w:eastAsia="Arial" w:hAnsi="Arial"/>
                  <w:sz w:val="18"/>
                  <w:szCs w:val="18"/>
                  <w:color w:val="0000EE"/>
                </w:rPr>
                <w:t>5</w:t>
              </w:r>
            </w:hyperlink>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5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5140" w:type="dxa"/>
            <w:vAlign w:val="bottom"/>
            <w:shd w:val="clear" w:color="auto" w:fill="0000EE"/>
          </w:tcPr>
          <w:p>
            <w:pPr>
              <w:spacing w:after="0" w:line="20" w:lineRule="exact"/>
              <w:rPr>
                <w:sz w:val="1"/>
                <w:szCs w:val="1"/>
                <w:color w:val="auto"/>
              </w:rPr>
            </w:pPr>
          </w:p>
        </w:tc>
        <w:tc>
          <w:tcPr>
            <w:tcW w:w="680" w:type="dxa"/>
            <w:vAlign w:val="bottom"/>
            <w:tcBorders>
              <w:left w:val="single" w:sz="8" w:color="0000EE"/>
            </w:tcBorders>
            <w:shd w:val="clear" w:color="auto" w:fill="0000EE"/>
          </w:tcPr>
          <w:p>
            <w:pPr>
              <w:spacing w:after="0" w:line="20" w:lineRule="exact"/>
              <w:rPr>
                <w:sz w:val="1"/>
                <w:szCs w:val="1"/>
                <w:color w:val="auto"/>
              </w:rPr>
            </w:pPr>
          </w:p>
        </w:tc>
        <w:tc>
          <w:tcPr>
            <w:tcW w:w="1640" w:type="dxa"/>
            <w:vAlign w:val="bottom"/>
            <w:tcBorders>
              <w:left w:val="single" w:sz="8" w:color="0000EE"/>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240" w:type="dxa"/>
            <w:vAlign w:val="bottom"/>
            <w:gridSpan w:val="3"/>
          </w:tcPr>
          <w:p>
            <w:pPr>
              <w:spacing w:after="0"/>
              <w:rPr>
                <w:rFonts w:ascii="Arial" w:cs="Arial" w:eastAsia="Arial" w:hAnsi="Arial"/>
                <w:sz w:val="18"/>
                <w:szCs w:val="18"/>
                <w:color w:val="0000EE"/>
                <w:w w:val="89"/>
              </w:rPr>
            </w:pPr>
            <w:hyperlink w:anchor="page4">
              <w:r>
                <w:rPr>
                  <w:rFonts w:ascii="Arial" w:cs="Arial" w:eastAsia="Arial" w:hAnsi="Arial"/>
                  <w:sz w:val="18"/>
                  <w:szCs w:val="18"/>
                  <w:color w:val="0000EE"/>
                  <w:w w:val="89"/>
                </w:rPr>
                <w:t>Unaudited Consolidated Statements of Cash Flows for the six months ended June 30, 2006 and 2005</w:t>
              </w:r>
            </w:hyperlink>
          </w:p>
        </w:tc>
        <w:tc>
          <w:tcPr>
            <w:tcW w:w="6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960" w:type="dxa"/>
            <w:vAlign w:val="bottom"/>
            <w:gridSpan w:val="3"/>
          </w:tcPr>
          <w:p>
            <w:pPr>
              <w:jc w:val="right"/>
              <w:ind w:right="20"/>
              <w:spacing w:after="0"/>
              <w:rPr>
                <w:rFonts w:ascii="Arial" w:cs="Arial" w:eastAsia="Arial" w:hAnsi="Arial"/>
                <w:sz w:val="18"/>
                <w:szCs w:val="18"/>
                <w:color w:val="0000EE"/>
              </w:rPr>
            </w:pPr>
            <w:hyperlink w:anchor="page4">
              <w:r>
                <w:rPr>
                  <w:rFonts w:ascii="Arial" w:cs="Arial" w:eastAsia="Arial" w:hAnsi="Arial"/>
                  <w:sz w:val="18"/>
                  <w:szCs w:val="18"/>
                  <w:color w:val="0000EE"/>
                </w:rPr>
                <w:t>6</w:t>
              </w:r>
            </w:hyperlink>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5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5140" w:type="dxa"/>
            <w:vAlign w:val="bottom"/>
            <w:shd w:val="clear" w:color="auto" w:fill="0000EE"/>
          </w:tcPr>
          <w:p>
            <w:pPr>
              <w:spacing w:after="0" w:line="20" w:lineRule="exact"/>
              <w:rPr>
                <w:sz w:val="1"/>
                <w:szCs w:val="1"/>
                <w:color w:val="auto"/>
              </w:rPr>
            </w:pPr>
          </w:p>
        </w:tc>
        <w:tc>
          <w:tcPr>
            <w:tcW w:w="680" w:type="dxa"/>
            <w:vAlign w:val="bottom"/>
            <w:tcBorders>
              <w:left w:val="single" w:sz="8" w:color="0000EE"/>
            </w:tcBorders>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530" w:right="239" w:bottom="0" w:gutter="0" w:footer="0" w:header="0"/>
          <w:type w:val="continuous"/>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5140" w:type="dxa"/>
            <w:vAlign w:val="bottom"/>
            <w:gridSpan w:val="8"/>
          </w:tcPr>
          <w:p>
            <w:pPr>
              <w:spacing w:after="0"/>
              <w:rPr>
                <w:rFonts w:ascii="Arial" w:cs="Arial" w:eastAsia="Arial" w:hAnsi="Arial"/>
                <w:sz w:val="18"/>
                <w:szCs w:val="18"/>
                <w:color w:val="0000EE"/>
                <w:w w:val="89"/>
              </w:rPr>
            </w:pPr>
            <w:hyperlink w:anchor="page5">
              <w:r>
                <w:rPr>
                  <w:rFonts w:ascii="Arial" w:cs="Arial" w:eastAsia="Arial" w:hAnsi="Arial"/>
                  <w:sz w:val="18"/>
                  <w:szCs w:val="18"/>
                  <w:color w:val="0000EE"/>
                  <w:w w:val="89"/>
                </w:rPr>
                <w:t>Notes to Unaudited Consolidated Financial Statements – June 30, 2006</w:t>
              </w:r>
            </w:hyperlink>
          </w:p>
        </w:tc>
        <w:tc>
          <w:tcPr>
            <w:tcW w:w="2900" w:type="dxa"/>
            <w:vAlign w:val="bottom"/>
            <w:gridSpan w:val="2"/>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gridSpan w:val="3"/>
          </w:tcPr>
          <w:p>
            <w:pPr>
              <w:jc w:val="right"/>
              <w:spacing w:after="0"/>
              <w:rPr>
                <w:rFonts w:ascii="Arial" w:cs="Arial" w:eastAsia="Arial" w:hAnsi="Arial"/>
                <w:sz w:val="18"/>
                <w:szCs w:val="18"/>
                <w:color w:val="0000EE"/>
              </w:rPr>
            </w:pPr>
            <w:hyperlink w:anchor="page5">
              <w:r>
                <w:rPr>
                  <w:rFonts w:ascii="Arial" w:cs="Arial" w:eastAsia="Arial" w:hAnsi="Arial"/>
                  <w:sz w:val="18"/>
                  <w:szCs w:val="18"/>
                  <w:color w:val="0000EE"/>
                </w:rPr>
                <w:t>8</w:t>
              </w:r>
            </w:hyperlink>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94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800" w:type="dxa"/>
            <w:vAlign w:val="bottom"/>
            <w:tcBorders>
              <w:left w:val="single" w:sz="8" w:color="0000EE"/>
            </w:tcBorders>
            <w:shd w:val="clear" w:color="auto" w:fill="0000EE"/>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80" w:type="dxa"/>
            <w:vAlign w:val="bottom"/>
          </w:tcPr>
          <w:p>
            <w:pPr>
              <w:spacing w:after="0"/>
              <w:rPr>
                <w:sz w:val="24"/>
                <w:szCs w:val="24"/>
                <w:color w:val="auto"/>
              </w:rPr>
            </w:pPr>
          </w:p>
        </w:tc>
        <w:tc>
          <w:tcPr>
            <w:tcW w:w="8560" w:type="dxa"/>
            <w:vAlign w:val="bottom"/>
            <w:gridSpan w:val="11"/>
          </w:tcPr>
          <w:p>
            <w:pPr>
              <w:spacing w:after="0"/>
              <w:rPr>
                <w:rFonts w:ascii="Arial" w:cs="Arial" w:eastAsia="Arial" w:hAnsi="Arial"/>
                <w:sz w:val="18"/>
                <w:szCs w:val="18"/>
                <w:color w:val="0000EE"/>
              </w:rPr>
            </w:pPr>
            <w:hyperlink w:anchor="page27">
              <w:r>
                <w:rPr>
                  <w:rFonts w:ascii="Arial" w:cs="Arial" w:eastAsia="Arial" w:hAnsi="Arial"/>
                  <w:sz w:val="18"/>
                  <w:szCs w:val="18"/>
                  <w:color w:val="0000EE"/>
                </w:rPr>
                <w:t>Item 2. Management’s Discussion and Analysis of Financial Condition and Results of Operations</w:t>
              </w:r>
            </w:hyperlink>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gridSpan w:val="3"/>
          </w:tcPr>
          <w:p>
            <w:pPr>
              <w:jc w:val="right"/>
              <w:spacing w:after="0"/>
              <w:rPr>
                <w:rFonts w:ascii="Arial" w:cs="Arial" w:eastAsia="Arial" w:hAnsi="Arial"/>
                <w:sz w:val="18"/>
                <w:szCs w:val="18"/>
                <w:color w:val="0000EE"/>
              </w:rPr>
            </w:pPr>
            <w:hyperlink w:anchor="page27">
              <w:r>
                <w:rPr>
                  <w:rFonts w:ascii="Arial" w:cs="Arial" w:eastAsia="Arial" w:hAnsi="Arial"/>
                  <w:sz w:val="18"/>
                  <w:szCs w:val="18"/>
                  <w:color w:val="0000EE"/>
                </w:rPr>
                <w:t>41</w:t>
              </w:r>
            </w:hyperlink>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94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800" w:type="dxa"/>
            <w:vAlign w:val="bottom"/>
            <w:tcBorders>
              <w:left w:val="single" w:sz="8" w:color="0000EE"/>
            </w:tcBorders>
            <w:shd w:val="clear" w:color="auto" w:fill="0000EE"/>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80" w:type="dxa"/>
            <w:vAlign w:val="bottom"/>
          </w:tcPr>
          <w:p>
            <w:pPr>
              <w:spacing w:after="0"/>
              <w:rPr>
                <w:sz w:val="24"/>
                <w:szCs w:val="24"/>
                <w:color w:val="auto"/>
              </w:rPr>
            </w:pPr>
          </w:p>
        </w:tc>
        <w:tc>
          <w:tcPr>
            <w:tcW w:w="4860" w:type="dxa"/>
            <w:vAlign w:val="bottom"/>
            <w:gridSpan w:val="8"/>
          </w:tcPr>
          <w:p>
            <w:pPr>
              <w:spacing w:after="0"/>
              <w:rPr>
                <w:rFonts w:ascii="Arial" w:cs="Arial" w:eastAsia="Arial" w:hAnsi="Arial"/>
                <w:sz w:val="18"/>
                <w:szCs w:val="18"/>
                <w:color w:val="0000EE"/>
                <w:w w:val="91"/>
              </w:rPr>
            </w:pPr>
            <w:hyperlink w:anchor="page57">
              <w:r>
                <w:rPr>
                  <w:rFonts w:ascii="Arial" w:cs="Arial" w:eastAsia="Arial" w:hAnsi="Arial"/>
                  <w:sz w:val="18"/>
                  <w:szCs w:val="18"/>
                  <w:color w:val="0000EE"/>
                  <w:w w:val="91"/>
                </w:rPr>
                <w:t>Item 3. Quantitative and Qualitative Disclosures about Market Risk</w:t>
              </w:r>
            </w:hyperlink>
          </w:p>
        </w:tc>
        <w:tc>
          <w:tcPr>
            <w:tcW w:w="2140" w:type="dxa"/>
            <w:vAlign w:val="bottom"/>
            <w:gridSpan w:val="2"/>
          </w:tcPr>
          <w:p>
            <w:pPr>
              <w:spacing w:after="0"/>
              <w:rPr>
                <w:sz w:val="24"/>
                <w:szCs w:val="24"/>
                <w:color w:val="auto"/>
              </w:rPr>
            </w:pPr>
          </w:p>
        </w:tc>
        <w:tc>
          <w:tcPr>
            <w:tcW w:w="1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gridSpan w:val="2"/>
          </w:tcPr>
          <w:p>
            <w:pPr>
              <w:jc w:val="right"/>
              <w:spacing w:after="0"/>
              <w:rPr>
                <w:rFonts w:ascii="Arial" w:cs="Arial" w:eastAsia="Arial" w:hAnsi="Arial"/>
                <w:sz w:val="18"/>
                <w:szCs w:val="18"/>
                <w:color w:val="0000EE"/>
                <w:w w:val="79"/>
              </w:rPr>
            </w:pPr>
            <w:hyperlink w:anchor="page57">
              <w:r>
                <w:rPr>
                  <w:rFonts w:ascii="Arial" w:cs="Arial" w:eastAsia="Arial" w:hAnsi="Arial"/>
                  <w:sz w:val="18"/>
                  <w:szCs w:val="18"/>
                  <w:color w:val="0000EE"/>
                  <w:w w:val="79"/>
                </w:rPr>
                <w:t>82</w:t>
              </w:r>
            </w:hyperlink>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94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370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80" w:type="dxa"/>
            <w:vAlign w:val="bottom"/>
          </w:tcPr>
          <w:p>
            <w:pPr>
              <w:spacing w:after="0"/>
              <w:rPr>
                <w:sz w:val="24"/>
                <w:szCs w:val="24"/>
                <w:color w:val="auto"/>
              </w:rPr>
            </w:pPr>
          </w:p>
        </w:tc>
        <w:tc>
          <w:tcPr>
            <w:tcW w:w="4860" w:type="dxa"/>
            <w:vAlign w:val="bottom"/>
            <w:gridSpan w:val="8"/>
          </w:tcPr>
          <w:p>
            <w:pPr>
              <w:spacing w:after="0"/>
              <w:rPr>
                <w:rFonts w:ascii="Arial" w:cs="Arial" w:eastAsia="Arial" w:hAnsi="Arial"/>
                <w:sz w:val="18"/>
                <w:szCs w:val="18"/>
                <w:color w:val="0000EE"/>
              </w:rPr>
            </w:pPr>
            <w:hyperlink w:anchor="page61">
              <w:r>
                <w:rPr>
                  <w:rFonts w:ascii="Arial" w:cs="Arial" w:eastAsia="Arial" w:hAnsi="Arial"/>
                  <w:sz w:val="18"/>
                  <w:szCs w:val="18"/>
                  <w:color w:val="0000EE"/>
                </w:rPr>
                <w:t>Item 4. Controls and Procedures</w:t>
              </w:r>
            </w:hyperlink>
          </w:p>
        </w:tc>
        <w:tc>
          <w:tcPr>
            <w:tcW w:w="3700" w:type="dxa"/>
            <w:vAlign w:val="bottom"/>
            <w:gridSpan w:val="3"/>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gridSpan w:val="2"/>
          </w:tcPr>
          <w:p>
            <w:pPr>
              <w:jc w:val="right"/>
              <w:spacing w:after="0"/>
              <w:rPr>
                <w:rFonts w:ascii="Arial" w:cs="Arial" w:eastAsia="Arial" w:hAnsi="Arial"/>
                <w:sz w:val="18"/>
                <w:szCs w:val="18"/>
                <w:color w:val="0000EE"/>
                <w:w w:val="79"/>
              </w:rPr>
            </w:pPr>
            <w:hyperlink w:anchor="page61">
              <w:r>
                <w:rPr>
                  <w:rFonts w:ascii="Arial" w:cs="Arial" w:eastAsia="Arial" w:hAnsi="Arial"/>
                  <w:sz w:val="18"/>
                  <w:szCs w:val="18"/>
                  <w:color w:val="0000EE"/>
                  <w:w w:val="79"/>
                </w:rPr>
                <w:t>87</w:t>
              </w:r>
            </w:hyperlink>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80" w:type="dxa"/>
            <w:vAlign w:val="bottom"/>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70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2740" w:type="dxa"/>
            <w:vAlign w:val="bottom"/>
            <w:tcBorders>
              <w:bottom w:val="single" w:sz="8" w:color="0000EE"/>
            </w:tcBorders>
            <w:gridSpan w:val="7"/>
          </w:tcPr>
          <w:p>
            <w:pPr>
              <w:spacing w:after="0"/>
              <w:rPr>
                <w:rFonts w:ascii="Arial" w:cs="Arial" w:eastAsia="Arial" w:hAnsi="Arial"/>
                <w:sz w:val="18"/>
                <w:szCs w:val="18"/>
                <w:b w:val="1"/>
                <w:bCs w:val="1"/>
                <w:color w:val="0000EE"/>
              </w:rPr>
            </w:pPr>
            <w:hyperlink w:anchor="page61">
              <w:r>
                <w:rPr>
                  <w:rFonts w:ascii="Arial" w:cs="Arial" w:eastAsia="Arial" w:hAnsi="Arial"/>
                  <w:sz w:val="18"/>
                  <w:szCs w:val="18"/>
                  <w:b w:val="1"/>
                  <w:bCs w:val="1"/>
                  <w:color w:val="0000EE"/>
                </w:rPr>
                <w:t>Part II – OTHER INFORMATION</w:t>
              </w:r>
            </w:hyperlink>
          </w:p>
        </w:tc>
        <w:tc>
          <w:tcPr>
            <w:tcW w:w="6200" w:type="dxa"/>
            <w:vAlign w:val="bottom"/>
            <w:gridSpan w:val="5"/>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380" w:type="dxa"/>
            <w:vAlign w:val="bottom"/>
          </w:tcPr>
          <w:p>
            <w:pPr>
              <w:spacing w:after="0"/>
              <w:rPr>
                <w:sz w:val="24"/>
                <w:szCs w:val="24"/>
                <w:color w:val="auto"/>
              </w:rPr>
            </w:pPr>
          </w:p>
        </w:tc>
        <w:tc>
          <w:tcPr>
            <w:tcW w:w="1880" w:type="dxa"/>
            <w:vAlign w:val="bottom"/>
            <w:gridSpan w:val="4"/>
          </w:tcPr>
          <w:p>
            <w:pPr>
              <w:spacing w:after="0"/>
              <w:rPr>
                <w:rFonts w:ascii="Arial" w:cs="Arial" w:eastAsia="Arial" w:hAnsi="Arial"/>
                <w:sz w:val="18"/>
                <w:szCs w:val="18"/>
                <w:color w:val="0000EE"/>
                <w:w w:val="88"/>
              </w:rPr>
            </w:pPr>
            <w:hyperlink w:anchor="page62">
              <w:r>
                <w:rPr>
                  <w:rFonts w:ascii="Arial" w:cs="Arial" w:eastAsia="Arial" w:hAnsi="Arial"/>
                  <w:sz w:val="18"/>
                  <w:szCs w:val="18"/>
                  <w:color w:val="0000EE"/>
                  <w:w w:val="88"/>
                </w:rPr>
                <w:t>Item 1. Legal Proceedings</w:t>
              </w:r>
            </w:hyperlink>
          </w:p>
        </w:tc>
        <w:tc>
          <w:tcPr>
            <w:tcW w:w="6680" w:type="dxa"/>
            <w:vAlign w:val="bottom"/>
            <w:gridSpan w:val="7"/>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gridSpan w:val="2"/>
          </w:tcPr>
          <w:p>
            <w:pPr>
              <w:jc w:val="right"/>
              <w:spacing w:after="0"/>
              <w:rPr>
                <w:rFonts w:ascii="Arial" w:cs="Arial" w:eastAsia="Arial" w:hAnsi="Arial"/>
                <w:sz w:val="18"/>
                <w:szCs w:val="18"/>
                <w:color w:val="0000EE"/>
                <w:w w:val="79"/>
              </w:rPr>
            </w:pPr>
            <w:hyperlink w:anchor="page62">
              <w:r>
                <w:rPr>
                  <w:rFonts w:ascii="Arial" w:cs="Arial" w:eastAsia="Arial" w:hAnsi="Arial"/>
                  <w:sz w:val="18"/>
                  <w:szCs w:val="18"/>
                  <w:color w:val="0000EE"/>
                  <w:w w:val="79"/>
                </w:rPr>
                <w:t>88</w:t>
              </w:r>
            </w:hyperlink>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420" w:type="dxa"/>
            <w:vAlign w:val="bottom"/>
            <w:gridSpan w:val="3"/>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70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80" w:type="dxa"/>
            <w:vAlign w:val="bottom"/>
          </w:tcPr>
          <w:p>
            <w:pPr>
              <w:spacing w:after="0"/>
              <w:rPr>
                <w:sz w:val="24"/>
                <w:szCs w:val="24"/>
                <w:color w:val="auto"/>
              </w:rPr>
            </w:pPr>
          </w:p>
        </w:tc>
        <w:tc>
          <w:tcPr>
            <w:tcW w:w="4860" w:type="dxa"/>
            <w:vAlign w:val="bottom"/>
            <w:gridSpan w:val="8"/>
          </w:tcPr>
          <w:p>
            <w:pPr>
              <w:spacing w:after="0"/>
              <w:rPr>
                <w:rFonts w:ascii="Arial" w:cs="Arial" w:eastAsia="Arial" w:hAnsi="Arial"/>
                <w:sz w:val="18"/>
                <w:szCs w:val="18"/>
                <w:color w:val="0000EE"/>
                <w:w w:val="88"/>
              </w:rPr>
            </w:pPr>
            <w:hyperlink w:anchor="page62">
              <w:r>
                <w:rPr>
                  <w:rFonts w:ascii="Arial" w:cs="Arial" w:eastAsia="Arial" w:hAnsi="Arial"/>
                  <w:sz w:val="18"/>
                  <w:szCs w:val="18"/>
                  <w:color w:val="0000EE"/>
                  <w:w w:val="88"/>
                </w:rPr>
                <w:t>Item 2. Unregistered Sales of Equity Securities and Use of Proceeds</w:t>
              </w:r>
            </w:hyperlink>
          </w:p>
        </w:tc>
        <w:tc>
          <w:tcPr>
            <w:tcW w:w="3700" w:type="dxa"/>
            <w:vAlign w:val="bottom"/>
            <w:gridSpan w:val="3"/>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gridSpan w:val="2"/>
          </w:tcPr>
          <w:p>
            <w:pPr>
              <w:jc w:val="right"/>
              <w:spacing w:after="0"/>
              <w:rPr>
                <w:rFonts w:ascii="Arial" w:cs="Arial" w:eastAsia="Arial" w:hAnsi="Arial"/>
                <w:sz w:val="18"/>
                <w:szCs w:val="18"/>
                <w:color w:val="0000EE"/>
                <w:w w:val="79"/>
              </w:rPr>
            </w:pPr>
            <w:hyperlink w:anchor="page62">
              <w:r>
                <w:rPr>
                  <w:rFonts w:ascii="Arial" w:cs="Arial" w:eastAsia="Arial" w:hAnsi="Arial"/>
                  <w:sz w:val="18"/>
                  <w:szCs w:val="18"/>
                  <w:color w:val="0000EE"/>
                  <w:w w:val="79"/>
                </w:rPr>
                <w:t>89</w:t>
              </w:r>
            </w:hyperlink>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94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800" w:type="dxa"/>
            <w:vAlign w:val="bottom"/>
            <w:tcBorders>
              <w:left w:val="single" w:sz="8" w:color="0000EE"/>
            </w:tcBorders>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80" w:type="dxa"/>
            <w:vAlign w:val="bottom"/>
          </w:tcPr>
          <w:p>
            <w:pPr>
              <w:spacing w:after="0"/>
              <w:rPr>
                <w:sz w:val="24"/>
                <w:szCs w:val="24"/>
                <w:color w:val="auto"/>
              </w:rPr>
            </w:pPr>
          </w:p>
        </w:tc>
        <w:tc>
          <w:tcPr>
            <w:tcW w:w="4860" w:type="dxa"/>
            <w:vAlign w:val="bottom"/>
            <w:gridSpan w:val="8"/>
          </w:tcPr>
          <w:p>
            <w:pPr>
              <w:spacing w:after="0"/>
              <w:rPr>
                <w:rFonts w:ascii="Arial" w:cs="Arial" w:eastAsia="Arial" w:hAnsi="Arial"/>
                <w:sz w:val="18"/>
                <w:szCs w:val="18"/>
                <w:color w:val="0000EE"/>
              </w:rPr>
            </w:pPr>
            <w:hyperlink w:anchor="page63">
              <w:r>
                <w:rPr>
                  <w:rFonts w:ascii="Arial" w:cs="Arial" w:eastAsia="Arial" w:hAnsi="Arial"/>
                  <w:sz w:val="18"/>
                  <w:szCs w:val="18"/>
                  <w:color w:val="0000EE"/>
                </w:rPr>
                <w:t>Item 4. Submission of Matters to a Vote of Security Holders</w:t>
              </w:r>
            </w:hyperlink>
          </w:p>
        </w:tc>
        <w:tc>
          <w:tcPr>
            <w:tcW w:w="3700" w:type="dxa"/>
            <w:vAlign w:val="bottom"/>
            <w:gridSpan w:val="3"/>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gridSpan w:val="2"/>
          </w:tcPr>
          <w:p>
            <w:pPr>
              <w:jc w:val="right"/>
              <w:spacing w:after="0"/>
              <w:rPr>
                <w:rFonts w:ascii="Arial" w:cs="Arial" w:eastAsia="Arial" w:hAnsi="Arial"/>
                <w:sz w:val="18"/>
                <w:szCs w:val="18"/>
                <w:color w:val="0000EE"/>
                <w:w w:val="79"/>
              </w:rPr>
            </w:pPr>
            <w:hyperlink w:anchor="page63">
              <w:r>
                <w:rPr>
                  <w:rFonts w:ascii="Arial" w:cs="Arial" w:eastAsia="Arial" w:hAnsi="Arial"/>
                  <w:sz w:val="18"/>
                  <w:szCs w:val="18"/>
                  <w:color w:val="0000EE"/>
                  <w:w w:val="79"/>
                </w:rPr>
                <w:t>90</w:t>
              </w:r>
            </w:hyperlink>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3160" w:type="dxa"/>
            <w:vAlign w:val="bottom"/>
            <w:gridSpan w:val="4"/>
            <w:shd w:val="clear" w:color="auto" w:fill="0000EE"/>
          </w:tcPr>
          <w:p>
            <w:pPr>
              <w:spacing w:after="0" w:line="20" w:lineRule="exact"/>
              <w:rPr>
                <w:sz w:val="1"/>
                <w:szCs w:val="1"/>
                <w:color w:val="auto"/>
              </w:rPr>
            </w:pPr>
          </w:p>
        </w:tc>
        <w:tc>
          <w:tcPr>
            <w:tcW w:w="426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80" w:type="dxa"/>
            <w:vAlign w:val="bottom"/>
          </w:tcPr>
          <w:p>
            <w:pPr>
              <w:spacing w:after="0"/>
              <w:rPr>
                <w:sz w:val="24"/>
                <w:szCs w:val="24"/>
                <w:color w:val="auto"/>
              </w:rPr>
            </w:pPr>
          </w:p>
        </w:tc>
        <w:tc>
          <w:tcPr>
            <w:tcW w:w="4300" w:type="dxa"/>
            <w:vAlign w:val="bottom"/>
            <w:gridSpan w:val="7"/>
          </w:tcPr>
          <w:p>
            <w:pPr>
              <w:spacing w:after="0"/>
              <w:rPr>
                <w:rFonts w:ascii="Arial" w:cs="Arial" w:eastAsia="Arial" w:hAnsi="Arial"/>
                <w:sz w:val="18"/>
                <w:szCs w:val="18"/>
                <w:color w:val="0000EE"/>
              </w:rPr>
            </w:pPr>
            <w:hyperlink w:anchor="page63">
              <w:r>
                <w:rPr>
                  <w:rFonts w:ascii="Arial" w:cs="Arial" w:eastAsia="Arial" w:hAnsi="Arial"/>
                  <w:sz w:val="18"/>
                  <w:szCs w:val="18"/>
                  <w:color w:val="0000EE"/>
                </w:rPr>
                <w:t>Item 6. Exhibits</w:t>
              </w:r>
            </w:hyperlink>
          </w:p>
        </w:tc>
        <w:tc>
          <w:tcPr>
            <w:tcW w:w="4260" w:type="dxa"/>
            <w:vAlign w:val="bottom"/>
            <w:gridSpan w:val="4"/>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gridSpan w:val="2"/>
          </w:tcPr>
          <w:p>
            <w:pPr>
              <w:jc w:val="right"/>
              <w:spacing w:after="0"/>
              <w:rPr>
                <w:rFonts w:ascii="Arial" w:cs="Arial" w:eastAsia="Arial" w:hAnsi="Arial"/>
                <w:sz w:val="18"/>
                <w:szCs w:val="18"/>
                <w:color w:val="0000EE"/>
                <w:w w:val="79"/>
              </w:rPr>
            </w:pPr>
            <w:hyperlink w:anchor="page63">
              <w:r>
                <w:rPr>
                  <w:rFonts w:ascii="Arial" w:cs="Arial" w:eastAsia="Arial" w:hAnsi="Arial"/>
                  <w:sz w:val="18"/>
                  <w:szCs w:val="18"/>
                  <w:color w:val="0000EE"/>
                  <w:w w:val="79"/>
                </w:rPr>
                <w:t>91</w:t>
              </w:r>
            </w:hyperlink>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7420" w:type="dxa"/>
            <w:vAlign w:val="bottom"/>
            <w:gridSpan w:val="8"/>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80" w:type="dxa"/>
            <w:vAlign w:val="bottom"/>
          </w:tcPr>
          <w:p>
            <w:pPr>
              <w:spacing w:after="0"/>
              <w:rPr>
                <w:sz w:val="24"/>
                <w:szCs w:val="24"/>
                <w:color w:val="auto"/>
              </w:rPr>
            </w:pPr>
          </w:p>
        </w:tc>
        <w:tc>
          <w:tcPr>
            <w:tcW w:w="1140" w:type="dxa"/>
            <w:vAlign w:val="bottom"/>
            <w:gridSpan w:val="3"/>
          </w:tcPr>
          <w:p>
            <w:pPr>
              <w:spacing w:after="0"/>
              <w:rPr>
                <w:rFonts w:ascii="Arial" w:cs="Arial" w:eastAsia="Arial" w:hAnsi="Arial"/>
                <w:sz w:val="18"/>
                <w:szCs w:val="18"/>
                <w:color w:val="0000EE"/>
              </w:rPr>
            </w:pPr>
            <w:hyperlink w:anchor="page63">
              <w:r>
                <w:rPr>
                  <w:rFonts w:ascii="Arial" w:cs="Arial" w:eastAsia="Arial" w:hAnsi="Arial"/>
                  <w:sz w:val="18"/>
                  <w:szCs w:val="18"/>
                  <w:color w:val="0000EE"/>
                </w:rPr>
                <w:t>Signature</w:t>
              </w:r>
            </w:hyperlink>
          </w:p>
        </w:tc>
        <w:tc>
          <w:tcPr>
            <w:tcW w:w="7420" w:type="dxa"/>
            <w:vAlign w:val="bottom"/>
            <w:gridSpan w:val="8"/>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gridSpan w:val="2"/>
          </w:tcPr>
          <w:p>
            <w:pPr>
              <w:jc w:val="right"/>
              <w:spacing w:after="0"/>
              <w:rPr>
                <w:rFonts w:ascii="Arial" w:cs="Arial" w:eastAsia="Arial" w:hAnsi="Arial"/>
                <w:sz w:val="18"/>
                <w:szCs w:val="18"/>
                <w:color w:val="0000EE"/>
                <w:w w:val="79"/>
              </w:rPr>
            </w:pPr>
            <w:hyperlink w:anchor="page63">
              <w:r>
                <w:rPr>
                  <w:rFonts w:ascii="Arial" w:cs="Arial" w:eastAsia="Arial" w:hAnsi="Arial"/>
                  <w:sz w:val="18"/>
                  <w:szCs w:val="18"/>
                  <w:color w:val="0000EE"/>
                  <w:w w:val="79"/>
                </w:rPr>
                <w:t>92</w:t>
              </w:r>
            </w:hyperlink>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85"/>
        </w:trPr>
        <w:tc>
          <w:tcPr>
            <w:tcW w:w="380" w:type="dxa"/>
            <w:vAlign w:val="bottom"/>
          </w:tcPr>
          <w:p>
            <w:pPr>
              <w:spacing w:after="0"/>
              <w:rPr>
                <w:sz w:val="24"/>
                <w:szCs w:val="24"/>
                <w:color w:val="auto"/>
              </w:rPr>
            </w:pPr>
          </w:p>
        </w:tc>
        <w:tc>
          <w:tcPr>
            <w:tcW w:w="680" w:type="dxa"/>
            <w:vAlign w:val="bottom"/>
            <w:tcBorders>
              <w:top w:val="single" w:sz="8" w:color="0000EE"/>
            </w:tcBorders>
            <w:gridSpan w:val="2"/>
          </w:tcPr>
          <w:p>
            <w:pPr>
              <w:spacing w:after="0"/>
              <w:rPr>
                <w:sz w:val="24"/>
                <w:szCs w:val="24"/>
                <w:color w:val="auto"/>
              </w:rPr>
            </w:pPr>
          </w:p>
        </w:tc>
        <w:tc>
          <w:tcPr>
            <w:tcW w:w="4980" w:type="dxa"/>
            <w:vAlign w:val="bottom"/>
            <w:gridSpan w:val="7"/>
          </w:tcPr>
          <w:p>
            <w:pPr>
              <w:jc w:val="center"/>
              <w:ind w:left="4230"/>
              <w:spacing w:after="0"/>
              <w:rPr>
                <w:sz w:val="20"/>
                <w:szCs w:val="20"/>
                <w:color w:val="auto"/>
              </w:rPr>
            </w:pPr>
            <w:r>
              <w:rPr>
                <w:rFonts w:ascii="Arial" w:cs="Arial" w:eastAsia="Arial" w:hAnsi="Arial"/>
                <w:sz w:val="18"/>
                <w:szCs w:val="18"/>
                <w:color w:val="auto"/>
                <w:w w:val="99"/>
              </w:rPr>
              <w:t>2</w:t>
            </w:r>
          </w:p>
        </w:tc>
        <w:tc>
          <w:tcPr>
            <w:tcW w:w="13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380" w:type="dxa"/>
            <w:vAlign w:val="bottom"/>
            <w:tcBorders>
              <w:bottom w:val="single" w:sz="8" w:color="010101"/>
            </w:tcBorders>
          </w:tcPr>
          <w:p>
            <w:pPr>
              <w:spacing w:after="0"/>
              <w:rPr>
                <w:sz w:val="24"/>
                <w:szCs w:val="24"/>
                <w:color w:val="auto"/>
              </w:rPr>
            </w:pPr>
          </w:p>
        </w:tc>
        <w:tc>
          <w:tcPr>
            <w:tcW w:w="52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460" w:type="dxa"/>
            <w:vAlign w:val="bottom"/>
            <w:tcBorders>
              <w:bottom w:val="single" w:sz="8" w:color="010101"/>
            </w:tcBorders>
          </w:tcPr>
          <w:p>
            <w:pPr>
              <w:spacing w:after="0"/>
              <w:rPr>
                <w:sz w:val="24"/>
                <w:szCs w:val="24"/>
                <w:color w:val="auto"/>
              </w:rPr>
            </w:pPr>
          </w:p>
        </w:tc>
        <w:tc>
          <w:tcPr>
            <w:tcW w:w="740" w:type="dxa"/>
            <w:vAlign w:val="bottom"/>
            <w:tcBorders>
              <w:bottom w:val="single" w:sz="8" w:color="010101"/>
            </w:tcBorders>
          </w:tcPr>
          <w:p>
            <w:pPr>
              <w:spacing w:after="0"/>
              <w:rPr>
                <w:sz w:val="24"/>
                <w:szCs w:val="24"/>
                <w:color w:val="auto"/>
              </w:rPr>
            </w:pPr>
          </w:p>
        </w:tc>
        <w:tc>
          <w:tcPr>
            <w:tcW w:w="44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1940" w:type="dxa"/>
            <w:vAlign w:val="bottom"/>
            <w:tcBorders>
              <w:bottom w:val="single" w:sz="8" w:color="010101"/>
            </w:tcBorders>
          </w:tcPr>
          <w:p>
            <w:pPr>
              <w:spacing w:after="0"/>
              <w:rPr>
                <w:sz w:val="24"/>
                <w:szCs w:val="24"/>
                <w:color w:val="auto"/>
              </w:rPr>
            </w:pPr>
          </w:p>
        </w:tc>
        <w:tc>
          <w:tcPr>
            <w:tcW w:w="560" w:type="dxa"/>
            <w:vAlign w:val="bottom"/>
            <w:tcBorders>
              <w:bottom w:val="single" w:sz="8" w:color="010101"/>
            </w:tcBorders>
          </w:tcPr>
          <w:p>
            <w:pPr>
              <w:spacing w:after="0"/>
              <w:rPr>
                <w:sz w:val="24"/>
                <w:szCs w:val="24"/>
                <w:color w:val="auto"/>
              </w:rPr>
            </w:pPr>
          </w:p>
        </w:tc>
        <w:tc>
          <w:tcPr>
            <w:tcW w:w="800" w:type="dxa"/>
            <w:vAlign w:val="bottom"/>
            <w:tcBorders>
              <w:bottom w:val="single" w:sz="8" w:color="010101"/>
            </w:tcBorders>
          </w:tcPr>
          <w:p>
            <w:pPr>
              <w:spacing w:after="0"/>
              <w:rPr>
                <w:sz w:val="24"/>
                <w:szCs w:val="24"/>
                <w:color w:val="auto"/>
              </w:rPr>
            </w:pPr>
          </w:p>
        </w:tc>
        <w:tc>
          <w:tcPr>
            <w:tcW w:w="1340" w:type="dxa"/>
            <w:vAlign w:val="bottom"/>
            <w:tcBorders>
              <w:bottom w:val="single" w:sz="8" w:color="010101"/>
            </w:tcBorders>
          </w:tcPr>
          <w:p>
            <w:pPr>
              <w:spacing w:after="0"/>
              <w:rPr>
                <w:sz w:val="24"/>
                <w:szCs w:val="24"/>
                <w:color w:val="auto"/>
              </w:rPr>
            </w:pPr>
          </w:p>
        </w:tc>
        <w:tc>
          <w:tcPr>
            <w:tcW w:w="156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92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86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r>
        <w:trPr>
          <w:trHeight w:val="780"/>
        </w:trPr>
        <w:tc>
          <w:tcPr>
            <w:tcW w:w="8940" w:type="dxa"/>
            <w:vAlign w:val="bottom"/>
            <w:gridSpan w:val="12"/>
          </w:tcPr>
          <w:p>
            <w:pPr>
              <w:spacing w:after="0"/>
              <w:rPr>
                <w:sz w:val="20"/>
                <w:szCs w:val="20"/>
                <w:color w:val="auto"/>
              </w:rPr>
            </w:pPr>
            <w:r>
              <w:rPr>
                <w:rFonts w:ascii="Arial" w:cs="Arial" w:eastAsia="Arial" w:hAnsi="Arial"/>
                <w:sz w:val="18"/>
                <w:szCs w:val="18"/>
                <w:b w:val="1"/>
                <w:bCs w:val="1"/>
                <w:color w:val="auto"/>
              </w:rPr>
              <w:t>PART I – FINANCIAL INFORMATION</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940" w:type="dxa"/>
            <w:vAlign w:val="bottom"/>
            <w:gridSpan w:val="12"/>
          </w:tcPr>
          <w:p>
            <w:pPr>
              <w:spacing w:after="0"/>
              <w:rPr>
                <w:sz w:val="20"/>
                <w:szCs w:val="20"/>
                <w:color w:val="auto"/>
              </w:rPr>
            </w:pPr>
            <w:r>
              <w:rPr>
                <w:rFonts w:ascii="Arial" w:cs="Arial" w:eastAsia="Arial" w:hAnsi="Arial"/>
                <w:sz w:val="18"/>
                <w:szCs w:val="18"/>
                <w:b w:val="1"/>
                <w:bCs w:val="1"/>
                <w:color w:val="auto"/>
              </w:rPr>
              <w:t>Item 1. Financial Statements</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3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200" w:type="dxa"/>
            <w:vAlign w:val="bottom"/>
            <w:gridSpan w:val="5"/>
          </w:tcPr>
          <w:p>
            <w:pPr>
              <w:jc w:val="center"/>
              <w:ind w:right="260"/>
              <w:spacing w:after="0"/>
              <w:rPr>
                <w:sz w:val="20"/>
                <w:szCs w:val="20"/>
                <w:color w:val="auto"/>
              </w:rPr>
            </w:pPr>
            <w:r>
              <w:rPr>
                <w:rFonts w:ascii="Arial" w:cs="Arial" w:eastAsia="Arial" w:hAnsi="Arial"/>
                <w:sz w:val="18"/>
                <w:szCs w:val="18"/>
                <w:b w:val="1"/>
                <w:bCs w:val="1"/>
                <w:color w:val="auto"/>
                <w:w w:val="93"/>
              </w:rPr>
              <w:t>Principal Financial Group, Inc.</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200" w:type="dxa"/>
            <w:vAlign w:val="bottom"/>
            <w:gridSpan w:val="5"/>
          </w:tcPr>
          <w:p>
            <w:pPr>
              <w:jc w:val="center"/>
              <w:ind w:right="260"/>
              <w:spacing w:after="0"/>
              <w:rPr>
                <w:sz w:val="20"/>
                <w:szCs w:val="20"/>
                <w:color w:val="auto"/>
              </w:rPr>
            </w:pPr>
            <w:r>
              <w:rPr>
                <w:rFonts w:ascii="Arial" w:cs="Arial" w:eastAsia="Arial" w:hAnsi="Arial"/>
                <w:sz w:val="18"/>
                <w:szCs w:val="18"/>
                <w:b w:val="1"/>
                <w:bCs w:val="1"/>
                <w:color w:val="auto"/>
                <w:w w:val="89"/>
              </w:rPr>
              <w:t>Consolidated Statements of Financial Position</w:t>
            </w:r>
          </w:p>
        </w:tc>
        <w:tc>
          <w:tcPr>
            <w:tcW w:w="1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3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2"/>
              </w:rPr>
              <w:t>June 30,</w:t>
            </w:r>
          </w:p>
        </w:tc>
        <w:tc>
          <w:tcPr>
            <w:tcW w:w="100" w:type="dxa"/>
            <w:vAlign w:val="bottom"/>
          </w:tcPr>
          <w:p>
            <w:pPr>
              <w:spacing w:after="0"/>
              <w:rPr>
                <w:sz w:val="24"/>
                <w:szCs w:val="24"/>
                <w:color w:val="auto"/>
              </w:rPr>
            </w:pPr>
          </w:p>
        </w:tc>
        <w:tc>
          <w:tcPr>
            <w:tcW w:w="1100" w:type="dxa"/>
            <w:vAlign w:val="bottom"/>
            <w:gridSpan w:val="4"/>
          </w:tcPr>
          <w:p>
            <w:pPr>
              <w:jc w:val="center"/>
              <w:ind w:right="260"/>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62"/>
        </w:trPr>
        <w:tc>
          <w:tcPr>
            <w:tcW w:w="3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9"/>
              </w:rPr>
              <w:t>2006</w:t>
            </w:r>
          </w:p>
        </w:tc>
        <w:tc>
          <w:tcPr>
            <w:tcW w:w="2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211"/>
              <w:spacing w:after="0"/>
              <w:rPr>
                <w:sz w:val="20"/>
                <w:szCs w:val="20"/>
                <w:color w:val="auto"/>
              </w:rPr>
            </w:pPr>
            <w:r>
              <w:rPr>
                <w:rFonts w:ascii="Arial" w:cs="Arial" w:eastAsia="Arial" w:hAnsi="Arial"/>
                <w:sz w:val="14"/>
                <w:szCs w:val="14"/>
                <w:b w:val="1"/>
                <w:bCs w:val="1"/>
                <w:color w:val="auto"/>
              </w:rPr>
              <w:t>2005</w:t>
            </w: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380" w:type="dxa"/>
            <w:vAlign w:val="bottom"/>
          </w:tcPr>
          <w:p>
            <w:pPr>
              <w:spacing w:after="0"/>
              <w:rPr>
                <w:sz w:val="8"/>
                <w:szCs w:val="8"/>
                <w:color w:val="auto"/>
              </w:rPr>
            </w:pPr>
          </w:p>
        </w:tc>
        <w:tc>
          <w:tcPr>
            <w:tcW w:w="520" w:type="dxa"/>
            <w:vAlign w:val="bottom"/>
          </w:tcPr>
          <w:p>
            <w:pPr>
              <w:spacing w:after="0"/>
              <w:rPr>
                <w:sz w:val="8"/>
                <w:szCs w:val="8"/>
                <w:color w:val="auto"/>
              </w:rPr>
            </w:pPr>
          </w:p>
        </w:tc>
        <w:tc>
          <w:tcPr>
            <w:tcW w:w="16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440" w:type="dxa"/>
            <w:vAlign w:val="bottom"/>
          </w:tcPr>
          <w:p>
            <w:pPr>
              <w:spacing w:after="0"/>
              <w:rPr>
                <w:sz w:val="8"/>
                <w:szCs w:val="8"/>
                <w:color w:val="auto"/>
              </w:rPr>
            </w:pPr>
          </w:p>
        </w:tc>
        <w:tc>
          <w:tcPr>
            <w:tcW w:w="40" w:type="dxa"/>
            <w:vAlign w:val="bottom"/>
          </w:tcPr>
          <w:p>
            <w:pPr>
              <w:spacing w:after="0"/>
              <w:rPr>
                <w:sz w:val="8"/>
                <w:szCs w:val="8"/>
                <w:color w:val="auto"/>
              </w:rPr>
            </w:pPr>
          </w:p>
        </w:tc>
        <w:tc>
          <w:tcPr>
            <w:tcW w:w="1940" w:type="dxa"/>
            <w:vAlign w:val="bottom"/>
          </w:tcPr>
          <w:p>
            <w:pPr>
              <w:spacing w:after="0"/>
              <w:rPr>
                <w:sz w:val="8"/>
                <w:szCs w:val="8"/>
                <w:color w:val="auto"/>
              </w:rPr>
            </w:pPr>
          </w:p>
        </w:tc>
        <w:tc>
          <w:tcPr>
            <w:tcW w:w="560" w:type="dxa"/>
            <w:vAlign w:val="bottom"/>
          </w:tcPr>
          <w:p>
            <w:pPr>
              <w:spacing w:after="0"/>
              <w:rPr>
                <w:sz w:val="8"/>
                <w:szCs w:val="8"/>
                <w:color w:val="auto"/>
              </w:rPr>
            </w:pPr>
          </w:p>
        </w:tc>
        <w:tc>
          <w:tcPr>
            <w:tcW w:w="80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560" w:type="dxa"/>
            <w:vAlign w:val="bottom"/>
          </w:tcPr>
          <w:p>
            <w:pPr>
              <w:spacing w:after="0"/>
              <w:rPr>
                <w:sz w:val="8"/>
                <w:szCs w:val="8"/>
                <w:color w:val="auto"/>
              </w:rPr>
            </w:pPr>
          </w:p>
        </w:tc>
        <w:tc>
          <w:tcPr>
            <w:tcW w:w="120" w:type="dxa"/>
            <w:vAlign w:val="bottom"/>
          </w:tcPr>
          <w:p>
            <w:pPr>
              <w:spacing w:after="0"/>
              <w:rPr>
                <w:sz w:val="8"/>
                <w:szCs w:val="8"/>
                <w:color w:val="auto"/>
              </w:rPr>
            </w:pPr>
          </w:p>
        </w:tc>
        <w:tc>
          <w:tcPr>
            <w:tcW w:w="920" w:type="dxa"/>
            <w:vAlign w:val="bottom"/>
          </w:tcPr>
          <w:p>
            <w:pPr>
              <w:jc w:val="center"/>
              <w:ind w:right="52"/>
              <w:spacing w:after="0" w:line="102" w:lineRule="exact"/>
              <w:rPr>
                <w:sz w:val="20"/>
                <w:szCs w:val="20"/>
                <w:color w:val="auto"/>
              </w:rPr>
            </w:pPr>
            <w:r>
              <w:rPr>
                <w:rFonts w:ascii="Arial" w:cs="Arial" w:eastAsia="Arial" w:hAnsi="Arial"/>
                <w:sz w:val="11"/>
                <w:szCs w:val="11"/>
                <w:b w:val="1"/>
                <w:bCs w:val="1"/>
                <w:color w:val="auto"/>
              </w:rPr>
              <w:t>(Unaudited)</w:t>
            </w:r>
          </w:p>
        </w:tc>
        <w:tc>
          <w:tcPr>
            <w:tcW w:w="280" w:type="dxa"/>
            <w:vAlign w:val="bottom"/>
          </w:tcPr>
          <w:p>
            <w:pPr>
              <w:spacing w:after="0"/>
              <w:rPr>
                <w:sz w:val="8"/>
                <w:szCs w:val="8"/>
                <w:color w:val="auto"/>
              </w:rPr>
            </w:pPr>
          </w:p>
        </w:tc>
        <w:tc>
          <w:tcPr>
            <w:tcW w:w="10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2"/>
        </w:trPr>
        <w:tc>
          <w:tcPr>
            <w:tcW w:w="3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0" w:type="dxa"/>
            <w:vAlign w:val="bottom"/>
            <w:gridSpan w:val="7"/>
          </w:tcPr>
          <w:p>
            <w:pPr>
              <w:ind w:left="680"/>
              <w:spacing w:after="0"/>
              <w:rPr>
                <w:sz w:val="20"/>
                <w:szCs w:val="20"/>
                <w:color w:val="auto"/>
              </w:rPr>
            </w:pPr>
            <w:r>
              <w:rPr>
                <w:rFonts w:ascii="Arial" w:cs="Arial" w:eastAsia="Arial" w:hAnsi="Arial"/>
                <w:sz w:val="14"/>
                <w:szCs w:val="14"/>
                <w:b w:val="1"/>
                <w:bCs w:val="1"/>
                <w:color w:val="auto"/>
              </w:rPr>
              <w:t>(in millions)</w:t>
            </w:r>
          </w:p>
        </w:tc>
        <w:tc>
          <w:tcPr>
            <w:tcW w:w="0" w:type="dxa"/>
            <w:vAlign w:val="bottom"/>
          </w:tcPr>
          <w:p>
            <w:pPr>
              <w:spacing w:after="0"/>
              <w:rPr>
                <w:sz w:val="1"/>
                <w:szCs w:val="1"/>
                <w:color w:val="auto"/>
              </w:rPr>
            </w:pPr>
          </w:p>
        </w:tc>
      </w:tr>
      <w:tr>
        <w:trPr>
          <w:trHeight w:val="216"/>
        </w:trPr>
        <w:tc>
          <w:tcPr>
            <w:tcW w:w="8940" w:type="dxa"/>
            <w:vAlign w:val="bottom"/>
            <w:gridSpan w:val="12"/>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tcPr>
          <w:p>
            <w:pPr>
              <w:spacing w:after="0"/>
              <w:rPr>
                <w:sz w:val="20"/>
                <w:szCs w:val="20"/>
                <w:color w:val="auto"/>
              </w:rPr>
            </w:pPr>
            <w:r>
              <w:rPr>
                <w:rFonts w:ascii="Arial" w:cs="Arial" w:eastAsia="Arial" w:hAnsi="Arial"/>
                <w:sz w:val="18"/>
                <w:szCs w:val="18"/>
                <w:color w:val="auto"/>
              </w:rPr>
              <w:t>Fixed maturities, available-for-sale</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42,293.4</w:t>
            </w:r>
          </w:p>
        </w:tc>
        <w:tc>
          <w:tcPr>
            <w:tcW w:w="2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42,117.2</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shd w:val="clear" w:color="auto" w:fill="CCEEFF"/>
          </w:tcPr>
          <w:p>
            <w:pPr>
              <w:spacing w:after="0"/>
              <w:rPr>
                <w:sz w:val="20"/>
                <w:szCs w:val="20"/>
                <w:color w:val="auto"/>
              </w:rPr>
            </w:pPr>
            <w:r>
              <w:rPr>
                <w:rFonts w:ascii="Arial" w:cs="Arial" w:eastAsia="Arial" w:hAnsi="Arial"/>
                <w:sz w:val="18"/>
                <w:szCs w:val="18"/>
                <w:color w:val="auto"/>
              </w:rPr>
              <w:t>Fixed maturities, trading</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252.0</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113.2</w:t>
            </w:r>
          </w:p>
        </w:tc>
        <w:tc>
          <w:tcPr>
            <w:tcW w:w="80" w:type="dxa"/>
            <w:vAlign w:val="bottom"/>
            <w:shd w:val="clear" w:color="auto" w:fill="CCEEFF"/>
          </w:tcPr>
          <w:p>
            <w:pPr>
              <w:spacing w:after="0"/>
              <w:rPr>
                <w:sz w:val="18"/>
                <w:szCs w:val="18"/>
                <w:color w:val="auto"/>
              </w:rPr>
            </w:pP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tcPr>
          <w:p>
            <w:pPr>
              <w:spacing w:after="0"/>
              <w:rPr>
                <w:sz w:val="20"/>
                <w:szCs w:val="20"/>
                <w:color w:val="auto"/>
              </w:rPr>
            </w:pPr>
            <w:r>
              <w:rPr>
                <w:rFonts w:ascii="Arial" w:cs="Arial" w:eastAsia="Arial" w:hAnsi="Arial"/>
                <w:sz w:val="18"/>
                <w:szCs w:val="18"/>
                <w:color w:val="auto"/>
              </w:rPr>
              <w:t>Equity securities, available-for-sale</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677.2</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724.4</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shd w:val="clear" w:color="auto" w:fill="CCEEFF"/>
          </w:tcPr>
          <w:p>
            <w:pPr>
              <w:spacing w:after="0"/>
              <w:rPr>
                <w:sz w:val="20"/>
                <w:szCs w:val="20"/>
                <w:color w:val="auto"/>
              </w:rPr>
            </w:pPr>
            <w:r>
              <w:rPr>
                <w:rFonts w:ascii="Arial" w:cs="Arial" w:eastAsia="Arial" w:hAnsi="Arial"/>
                <w:sz w:val="18"/>
                <w:szCs w:val="18"/>
                <w:color w:val="auto"/>
              </w:rPr>
              <w:t>Equity securities, trading</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148.3</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90.3</w:t>
            </w:r>
          </w:p>
        </w:tc>
        <w:tc>
          <w:tcPr>
            <w:tcW w:w="80" w:type="dxa"/>
            <w:vAlign w:val="bottom"/>
            <w:shd w:val="clear" w:color="auto" w:fill="CCEEFF"/>
          </w:tcPr>
          <w:p>
            <w:pPr>
              <w:spacing w:after="0"/>
              <w:rPr>
                <w:sz w:val="18"/>
                <w:szCs w:val="18"/>
                <w:color w:val="auto"/>
              </w:rPr>
            </w:pP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tcPr>
          <w:p>
            <w:pPr>
              <w:spacing w:after="0"/>
              <w:rPr>
                <w:sz w:val="20"/>
                <w:szCs w:val="20"/>
                <w:color w:val="auto"/>
              </w:rPr>
            </w:pPr>
            <w:r>
              <w:rPr>
                <w:rFonts w:ascii="Arial" w:cs="Arial" w:eastAsia="Arial" w:hAnsi="Arial"/>
                <w:sz w:val="18"/>
                <w:szCs w:val="18"/>
                <w:color w:val="auto"/>
              </w:rPr>
              <w:t>Mortgage loans</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11,543.9</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11,484.3</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shd w:val="clear" w:color="auto" w:fill="CCEEFF"/>
          </w:tcPr>
          <w:p>
            <w:pPr>
              <w:spacing w:after="0"/>
              <w:rPr>
                <w:sz w:val="20"/>
                <w:szCs w:val="20"/>
                <w:color w:val="auto"/>
              </w:rPr>
            </w:pPr>
            <w:r>
              <w:rPr>
                <w:rFonts w:ascii="Arial" w:cs="Arial" w:eastAsia="Arial" w:hAnsi="Arial"/>
                <w:sz w:val="18"/>
                <w:szCs w:val="18"/>
                <w:color w:val="auto"/>
              </w:rPr>
              <w:t>Real estate</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997.2</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999.4</w:t>
            </w:r>
          </w:p>
        </w:tc>
        <w:tc>
          <w:tcPr>
            <w:tcW w:w="80" w:type="dxa"/>
            <w:vAlign w:val="bottom"/>
            <w:shd w:val="clear" w:color="auto" w:fill="CCEEFF"/>
          </w:tcPr>
          <w:p>
            <w:pPr>
              <w:spacing w:after="0"/>
              <w:rPr>
                <w:sz w:val="18"/>
                <w:szCs w:val="18"/>
                <w:color w:val="auto"/>
              </w:rPr>
            </w:pP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tcPr>
          <w:p>
            <w:pPr>
              <w:spacing w:after="0"/>
              <w:rPr>
                <w:sz w:val="20"/>
                <w:szCs w:val="20"/>
                <w:color w:val="auto"/>
              </w:rPr>
            </w:pPr>
            <w:r>
              <w:rPr>
                <w:rFonts w:ascii="Arial" w:cs="Arial" w:eastAsia="Arial" w:hAnsi="Arial"/>
                <w:sz w:val="18"/>
                <w:szCs w:val="18"/>
                <w:color w:val="auto"/>
              </w:rPr>
              <w:t>Policy loans</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843.2</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827.7</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12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1,368.8</w:t>
            </w:r>
          </w:p>
        </w:tc>
        <w:tc>
          <w:tcPr>
            <w:tcW w:w="2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1,113.5</w:t>
            </w:r>
          </w:p>
        </w:tc>
        <w:tc>
          <w:tcPr>
            <w:tcW w:w="80" w:type="dxa"/>
            <w:vAlign w:val="bottom"/>
            <w:shd w:val="clear" w:color="auto" w:fill="CCEEFF"/>
          </w:tcPr>
          <w:p>
            <w:pPr>
              <w:spacing w:after="0"/>
              <w:rPr>
                <w:sz w:val="18"/>
                <w:szCs w:val="18"/>
                <w:color w:val="auto"/>
              </w:rPr>
            </w:pP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940" w:type="dxa"/>
            <w:vAlign w:val="bottom"/>
            <w:gridSpan w:val="12"/>
          </w:tcPr>
          <w:p>
            <w:pPr>
              <w:ind w:left="180"/>
              <w:spacing w:after="0"/>
              <w:rPr>
                <w:sz w:val="20"/>
                <w:szCs w:val="20"/>
                <w:color w:val="auto"/>
              </w:rPr>
            </w:pPr>
            <w:r>
              <w:rPr>
                <w:rFonts w:ascii="Arial" w:cs="Arial" w:eastAsia="Arial" w:hAnsi="Arial"/>
                <w:sz w:val="18"/>
                <w:szCs w:val="18"/>
                <w:color w:val="auto"/>
              </w:rPr>
              <w:t>Total investments</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58,124.0</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57,470.0</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1,216.9</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1,641.3</w:t>
            </w:r>
          </w:p>
        </w:tc>
        <w:tc>
          <w:tcPr>
            <w:tcW w:w="80" w:type="dxa"/>
            <w:vAlign w:val="bottom"/>
            <w:shd w:val="clear" w:color="auto" w:fill="CCEEFF"/>
          </w:tcPr>
          <w:p>
            <w:pPr>
              <w:spacing w:after="0"/>
              <w:rPr>
                <w:sz w:val="18"/>
                <w:szCs w:val="18"/>
                <w:color w:val="auto"/>
              </w:rPr>
            </w:pP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tcPr>
          <w:p>
            <w:pPr>
              <w:spacing w:after="0"/>
              <w:rPr>
                <w:sz w:val="20"/>
                <w:szCs w:val="20"/>
                <w:color w:val="auto"/>
              </w:rPr>
            </w:pPr>
            <w:r>
              <w:rPr>
                <w:rFonts w:ascii="Arial" w:cs="Arial" w:eastAsia="Arial" w:hAnsi="Arial"/>
                <w:sz w:val="18"/>
                <w:szCs w:val="18"/>
                <w:color w:val="auto"/>
              </w:rPr>
              <w:t>Accrued investment income</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666.0</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682.7</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shd w:val="clear" w:color="auto" w:fill="CCEEFF"/>
          </w:tcPr>
          <w:p>
            <w:pPr>
              <w:spacing w:after="0"/>
              <w:rPr>
                <w:sz w:val="20"/>
                <w:szCs w:val="20"/>
                <w:color w:val="auto"/>
              </w:rPr>
            </w:pPr>
            <w:r>
              <w:rPr>
                <w:rFonts w:ascii="Arial" w:cs="Arial" w:eastAsia="Arial" w:hAnsi="Arial"/>
                <w:sz w:val="18"/>
                <w:szCs w:val="18"/>
                <w:color w:val="auto"/>
              </w:rPr>
              <w:t>Premiums due and other receivables</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626.8</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592.7</w:t>
            </w:r>
          </w:p>
        </w:tc>
        <w:tc>
          <w:tcPr>
            <w:tcW w:w="80" w:type="dxa"/>
            <w:vAlign w:val="bottom"/>
            <w:shd w:val="clear" w:color="auto" w:fill="CCEEFF"/>
          </w:tcPr>
          <w:p>
            <w:pPr>
              <w:spacing w:after="0"/>
              <w:rPr>
                <w:sz w:val="18"/>
                <w:szCs w:val="18"/>
                <w:color w:val="auto"/>
              </w:rPr>
            </w:pP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tcPr>
          <w:p>
            <w:pPr>
              <w:spacing w:after="0"/>
              <w:rPr>
                <w:sz w:val="20"/>
                <w:szCs w:val="20"/>
                <w:color w:val="auto"/>
              </w:rPr>
            </w:pPr>
            <w:r>
              <w:rPr>
                <w:rFonts w:ascii="Arial" w:cs="Arial" w:eastAsia="Arial" w:hAnsi="Arial"/>
                <w:sz w:val="18"/>
                <w:szCs w:val="18"/>
                <w:color w:val="auto"/>
              </w:rPr>
              <w:t>Deferred policy acquisition costs</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2,455.6</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2,174.1</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shd w:val="clear" w:color="auto" w:fill="CCEEFF"/>
          </w:tcPr>
          <w:p>
            <w:pPr>
              <w:spacing w:after="0"/>
              <w:rPr>
                <w:sz w:val="20"/>
                <w:szCs w:val="20"/>
                <w:color w:val="auto"/>
              </w:rPr>
            </w:pPr>
            <w:r>
              <w:rPr>
                <w:rFonts w:ascii="Arial" w:cs="Arial" w:eastAsia="Arial" w:hAnsi="Arial"/>
                <w:sz w:val="18"/>
                <w:szCs w:val="18"/>
                <w:color w:val="auto"/>
              </w:rPr>
              <w:t>Property and equipment</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420.2</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419.8</w:t>
            </w:r>
          </w:p>
        </w:tc>
        <w:tc>
          <w:tcPr>
            <w:tcW w:w="80" w:type="dxa"/>
            <w:vAlign w:val="bottom"/>
            <w:shd w:val="clear" w:color="auto" w:fill="CCEEFF"/>
          </w:tcPr>
          <w:p>
            <w:pPr>
              <w:spacing w:after="0"/>
              <w:rPr>
                <w:sz w:val="18"/>
                <w:szCs w:val="18"/>
                <w:color w:val="auto"/>
              </w:rPr>
            </w:pP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tcPr>
          <w:p>
            <w:pPr>
              <w:spacing w:after="0"/>
              <w:rPr>
                <w:sz w:val="20"/>
                <w:szCs w:val="20"/>
                <w:color w:val="auto"/>
              </w:rPr>
            </w:pPr>
            <w:r>
              <w:rPr>
                <w:rFonts w:ascii="Arial" w:cs="Arial" w:eastAsia="Arial" w:hAnsi="Arial"/>
                <w:sz w:val="18"/>
                <w:szCs w:val="18"/>
                <w:color w:val="auto"/>
              </w:rPr>
              <w:t>Goodwill</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297.8</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282.3</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shd w:val="clear" w:color="auto" w:fill="CCEEFF"/>
          </w:tcPr>
          <w:p>
            <w:pPr>
              <w:spacing w:after="0"/>
              <w:rPr>
                <w:sz w:val="20"/>
                <w:szCs w:val="20"/>
                <w:color w:val="auto"/>
              </w:rPr>
            </w:pPr>
            <w:r>
              <w:rPr>
                <w:rFonts w:ascii="Arial" w:cs="Arial" w:eastAsia="Arial" w:hAnsi="Arial"/>
                <w:sz w:val="18"/>
                <w:szCs w:val="18"/>
                <w:color w:val="auto"/>
              </w:rPr>
              <w:t>Other intangibles</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199.3</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202.6</w:t>
            </w:r>
          </w:p>
        </w:tc>
        <w:tc>
          <w:tcPr>
            <w:tcW w:w="80" w:type="dxa"/>
            <w:vAlign w:val="bottom"/>
            <w:shd w:val="clear" w:color="auto" w:fill="CCEEFF"/>
          </w:tcPr>
          <w:p>
            <w:pPr>
              <w:spacing w:after="0"/>
              <w:rPr>
                <w:sz w:val="18"/>
                <w:szCs w:val="18"/>
                <w:color w:val="auto"/>
              </w:rPr>
            </w:pP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tcPr>
          <w:p>
            <w:pPr>
              <w:spacing w:after="0"/>
              <w:rPr>
                <w:sz w:val="20"/>
                <w:szCs w:val="20"/>
                <w:color w:val="auto"/>
              </w:rPr>
            </w:pPr>
            <w:r>
              <w:rPr>
                <w:rFonts w:ascii="Arial" w:cs="Arial" w:eastAsia="Arial" w:hAnsi="Arial"/>
                <w:sz w:val="18"/>
                <w:szCs w:val="18"/>
                <w:color w:val="auto"/>
              </w:rPr>
              <w:t>Separate account assets</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65,620.2</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62,070.0</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shd w:val="clear" w:color="auto" w:fill="CCEEFF"/>
          </w:tcPr>
          <w:p>
            <w:pPr>
              <w:spacing w:after="0"/>
              <w:rPr>
                <w:sz w:val="20"/>
                <w:szCs w:val="20"/>
                <w:color w:val="auto"/>
              </w:rPr>
            </w:pPr>
            <w:r>
              <w:rPr>
                <w:rFonts w:ascii="Arial" w:cs="Arial" w:eastAsia="Arial" w:hAnsi="Arial"/>
                <w:sz w:val="18"/>
                <w:szCs w:val="18"/>
                <w:color w:val="auto"/>
              </w:rPr>
              <w:t>Other assets</w:t>
            </w:r>
          </w:p>
        </w:tc>
        <w:tc>
          <w:tcPr>
            <w:tcW w:w="12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1,802.6</w:t>
            </w:r>
          </w:p>
        </w:tc>
        <w:tc>
          <w:tcPr>
            <w:tcW w:w="2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1,499.9</w:t>
            </w:r>
          </w:p>
        </w:tc>
        <w:tc>
          <w:tcPr>
            <w:tcW w:w="80" w:type="dxa"/>
            <w:vAlign w:val="bottom"/>
            <w:shd w:val="clear" w:color="auto" w:fill="CCEEFF"/>
          </w:tcPr>
          <w:p>
            <w:pPr>
              <w:spacing w:after="0"/>
              <w:rPr>
                <w:sz w:val="18"/>
                <w:szCs w:val="18"/>
                <w:color w:val="auto"/>
              </w:rPr>
            </w:pP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8940" w:type="dxa"/>
            <w:vAlign w:val="bottom"/>
            <w:tcBorders>
              <w:bottom w:val="single" w:sz="8" w:color="CCEEFF"/>
            </w:tcBorders>
            <w:gridSpan w:val="12"/>
          </w:tcPr>
          <w:p>
            <w:pPr>
              <w:ind w:left="180"/>
              <w:spacing w:after="0"/>
              <w:rPr>
                <w:sz w:val="20"/>
                <w:szCs w:val="20"/>
                <w:color w:val="auto"/>
              </w:rPr>
            </w:pPr>
            <w:r>
              <w:rPr>
                <w:rFonts w:ascii="Arial" w:cs="Arial" w:eastAsia="Arial" w:hAnsi="Arial"/>
                <w:sz w:val="18"/>
                <w:szCs w:val="18"/>
                <w:color w:val="auto"/>
              </w:rPr>
              <w:t>Total assets</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131,429.4</w:t>
            </w:r>
          </w:p>
        </w:tc>
        <w:tc>
          <w:tcPr>
            <w:tcW w:w="28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127,035.</w:t>
            </w:r>
            <w:r>
              <w:rPr>
                <w:rFonts w:ascii="Arial" w:cs="Arial" w:eastAsia="Arial" w:hAnsi="Arial"/>
                <w:sz w:val="18"/>
                <w:szCs w:val="18"/>
                <w:u w:val="single" w:color="auto"/>
                <w:color w:val="auto"/>
              </w:rPr>
              <w:t>4</w:t>
            </w:r>
          </w:p>
        </w:tc>
        <w:tc>
          <w:tcPr>
            <w:tcW w:w="80" w:type="dxa"/>
            <w:vAlign w:val="bottom"/>
            <w:tcBorders>
              <w:bottom w:val="single" w:sz="8" w:color="CCEEFF"/>
            </w:tcBorders>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8940" w:type="dxa"/>
            <w:vAlign w:val="bottom"/>
            <w:gridSpan w:val="12"/>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Liabilities</w:t>
            </w: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 w:type="dxa"/>
            <w:vAlign w:val="bottom"/>
            <w:tcBorders>
              <w:left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8940" w:type="dxa"/>
            <w:vAlign w:val="bottom"/>
            <w:gridSpan w:val="12"/>
          </w:tcPr>
          <w:p>
            <w:pPr>
              <w:spacing w:after="0"/>
              <w:rPr>
                <w:sz w:val="20"/>
                <w:szCs w:val="20"/>
                <w:color w:val="auto"/>
              </w:rPr>
            </w:pPr>
            <w:r>
              <w:rPr>
                <w:rFonts w:ascii="Arial" w:cs="Arial" w:eastAsia="Arial" w:hAnsi="Arial"/>
                <w:sz w:val="18"/>
                <w:szCs w:val="18"/>
                <w:color w:val="auto"/>
              </w:rPr>
              <w:t>Contractholder funds</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35,512.6</w:t>
            </w:r>
          </w:p>
        </w:tc>
        <w:tc>
          <w:tcPr>
            <w:tcW w:w="2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33,612.1</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shd w:val="clear" w:color="auto" w:fill="CCEEFF"/>
          </w:tcPr>
          <w:p>
            <w:pPr>
              <w:spacing w:after="0"/>
              <w:rPr>
                <w:sz w:val="20"/>
                <w:szCs w:val="20"/>
                <w:color w:val="auto"/>
              </w:rPr>
            </w:pPr>
            <w:r>
              <w:rPr>
                <w:rFonts w:ascii="Arial" w:cs="Arial" w:eastAsia="Arial" w:hAnsi="Arial"/>
                <w:sz w:val="18"/>
                <w:szCs w:val="18"/>
                <w:color w:val="auto"/>
              </w:rPr>
              <w:t>Future policy benefits and claims</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17,006.6</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16,825.5</w:t>
            </w:r>
          </w:p>
        </w:tc>
        <w:tc>
          <w:tcPr>
            <w:tcW w:w="80" w:type="dxa"/>
            <w:vAlign w:val="bottom"/>
            <w:shd w:val="clear" w:color="auto" w:fill="CCEEFF"/>
          </w:tcPr>
          <w:p>
            <w:pPr>
              <w:spacing w:after="0"/>
              <w:rPr>
                <w:sz w:val="18"/>
                <w:szCs w:val="18"/>
                <w:color w:val="auto"/>
              </w:rPr>
            </w:pP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tcPr>
          <w:p>
            <w:pPr>
              <w:spacing w:after="0"/>
              <w:rPr>
                <w:sz w:val="20"/>
                <w:szCs w:val="20"/>
                <w:color w:val="auto"/>
              </w:rPr>
            </w:pPr>
            <w:r>
              <w:rPr>
                <w:rFonts w:ascii="Arial" w:cs="Arial" w:eastAsia="Arial" w:hAnsi="Arial"/>
                <w:sz w:val="18"/>
                <w:szCs w:val="18"/>
                <w:color w:val="auto"/>
              </w:rPr>
              <w:t>Other policyholder funds</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636.3</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657.1</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shd w:val="clear" w:color="auto" w:fill="CCEEFF"/>
          </w:tcPr>
          <w:p>
            <w:pPr>
              <w:spacing w:after="0"/>
              <w:rPr>
                <w:sz w:val="20"/>
                <w:szCs w:val="20"/>
                <w:color w:val="auto"/>
              </w:rPr>
            </w:pPr>
            <w:r>
              <w:rPr>
                <w:rFonts w:ascii="Arial" w:cs="Arial" w:eastAsia="Arial" w:hAnsi="Arial"/>
                <w:sz w:val="18"/>
                <w:szCs w:val="18"/>
                <w:color w:val="auto"/>
              </w:rPr>
              <w:t>Short-term debt</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424.4</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476.4</w:t>
            </w:r>
          </w:p>
        </w:tc>
        <w:tc>
          <w:tcPr>
            <w:tcW w:w="80" w:type="dxa"/>
            <w:vAlign w:val="bottom"/>
            <w:shd w:val="clear" w:color="auto" w:fill="CCEEFF"/>
          </w:tcPr>
          <w:p>
            <w:pPr>
              <w:spacing w:after="0"/>
              <w:rPr>
                <w:sz w:val="18"/>
                <w:szCs w:val="18"/>
                <w:color w:val="auto"/>
              </w:rPr>
            </w:pP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tcPr>
          <w:p>
            <w:pPr>
              <w:spacing w:after="0"/>
              <w:rPr>
                <w:sz w:val="20"/>
                <w:szCs w:val="20"/>
                <w:color w:val="auto"/>
              </w:rPr>
            </w:pPr>
            <w:r>
              <w:rPr>
                <w:rFonts w:ascii="Arial" w:cs="Arial" w:eastAsia="Arial" w:hAnsi="Arial"/>
                <w:sz w:val="18"/>
                <w:szCs w:val="18"/>
                <w:color w:val="auto"/>
              </w:rPr>
              <w:t>Long-term debt</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894.2</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898.8</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shd w:val="clear" w:color="auto" w:fill="CCEEFF"/>
          </w:tcPr>
          <w:p>
            <w:pPr>
              <w:spacing w:after="0"/>
              <w:rPr>
                <w:sz w:val="20"/>
                <w:szCs w:val="20"/>
                <w:color w:val="auto"/>
              </w:rPr>
            </w:pPr>
            <w:r>
              <w:rPr>
                <w:rFonts w:ascii="Arial" w:cs="Arial" w:eastAsia="Arial" w:hAnsi="Arial"/>
                <w:sz w:val="18"/>
                <w:szCs w:val="18"/>
                <w:color w:val="auto"/>
              </w:rPr>
              <w:t>Income taxes currently payable</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0.5</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tcPr>
          <w:p>
            <w:pPr>
              <w:spacing w:after="0"/>
              <w:rPr>
                <w:sz w:val="20"/>
                <w:szCs w:val="20"/>
                <w:color w:val="auto"/>
              </w:rPr>
            </w:pPr>
            <w:r>
              <w:rPr>
                <w:rFonts w:ascii="Arial" w:cs="Arial" w:eastAsia="Arial" w:hAnsi="Arial"/>
                <w:sz w:val="18"/>
                <w:szCs w:val="18"/>
                <w:color w:val="auto"/>
              </w:rPr>
              <w:t>Deferred income taxes</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610.9</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974.8</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shd w:val="clear" w:color="auto" w:fill="CCEEFF"/>
          </w:tcPr>
          <w:p>
            <w:pPr>
              <w:spacing w:after="0"/>
              <w:rPr>
                <w:sz w:val="20"/>
                <w:szCs w:val="20"/>
                <w:color w:val="auto"/>
              </w:rPr>
            </w:pPr>
            <w:r>
              <w:rPr>
                <w:rFonts w:ascii="Arial" w:cs="Arial" w:eastAsia="Arial" w:hAnsi="Arial"/>
                <w:sz w:val="18"/>
                <w:szCs w:val="18"/>
                <w:color w:val="auto"/>
              </w:rPr>
              <w:t>Separate account liabilities</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65,620.2</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62,070.0</w:t>
            </w:r>
          </w:p>
        </w:tc>
        <w:tc>
          <w:tcPr>
            <w:tcW w:w="80" w:type="dxa"/>
            <w:vAlign w:val="bottom"/>
            <w:shd w:val="clear" w:color="auto" w:fill="CCEEFF"/>
          </w:tcPr>
          <w:p>
            <w:pPr>
              <w:spacing w:after="0"/>
              <w:rPr>
                <w:sz w:val="18"/>
                <w:szCs w:val="18"/>
                <w:color w:val="auto"/>
              </w:rPr>
            </w:pP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tcBorders>
              <w:bottom w:val="single" w:sz="8" w:color="CCEEFF"/>
            </w:tcBorders>
            <w:gridSpan w:val="12"/>
          </w:tcPr>
          <w:p>
            <w:pPr>
              <w:spacing w:after="0"/>
              <w:rPr>
                <w:sz w:val="20"/>
                <w:szCs w:val="20"/>
                <w:color w:val="auto"/>
              </w:rPr>
            </w:pPr>
            <w:r>
              <w:rPr>
                <w:rFonts w:ascii="Arial" w:cs="Arial" w:eastAsia="Arial" w:hAnsi="Arial"/>
                <w:sz w:val="18"/>
                <w:szCs w:val="18"/>
                <w:color w:val="auto"/>
              </w:rPr>
              <w:t>Other liabilities</w:t>
            </w: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3,879.0</w:t>
            </w:r>
          </w:p>
        </w:tc>
        <w:tc>
          <w:tcPr>
            <w:tcW w:w="2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3,713.5</w:t>
            </w:r>
          </w:p>
        </w:tc>
        <w:tc>
          <w:tcPr>
            <w:tcW w:w="80" w:type="dxa"/>
            <w:vAlign w:val="bottom"/>
            <w:tcBorders>
              <w:bottom w:val="single" w:sz="8" w:color="CCEEFF"/>
            </w:tcBorders>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940" w:type="dxa"/>
            <w:vAlign w:val="bottom"/>
            <w:gridSpan w:val="12"/>
            <w:shd w:val="clear" w:color="auto" w:fill="CCEEFF"/>
          </w:tcPr>
          <w:p>
            <w:pPr>
              <w:ind w:left="180"/>
              <w:spacing w:after="0"/>
              <w:rPr>
                <w:sz w:val="20"/>
                <w:szCs w:val="20"/>
                <w:color w:val="auto"/>
              </w:rPr>
            </w:pPr>
            <w:r>
              <w:rPr>
                <w:rFonts w:ascii="Arial" w:cs="Arial" w:eastAsia="Arial" w:hAnsi="Arial"/>
                <w:sz w:val="18"/>
                <w:szCs w:val="18"/>
                <w:color w:val="auto"/>
              </w:rPr>
              <w:t>Total liabilities</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124,584.7</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119,228.2</w:t>
            </w:r>
          </w:p>
        </w:tc>
        <w:tc>
          <w:tcPr>
            <w:tcW w:w="80" w:type="dxa"/>
            <w:vAlign w:val="bottom"/>
            <w:shd w:val="clear" w:color="auto" w:fill="CCEEFF"/>
          </w:tcPr>
          <w:p>
            <w:pPr>
              <w:spacing w:after="0"/>
              <w:rPr>
                <w:sz w:val="18"/>
                <w:szCs w:val="18"/>
                <w:color w:val="auto"/>
              </w:rPr>
            </w:pP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12"/>
          </w:tcPr>
          <w:p>
            <w:pPr>
              <w:spacing w:after="0"/>
              <w:rPr>
                <w:sz w:val="20"/>
                <w:szCs w:val="20"/>
                <w:color w:val="auto"/>
              </w:rPr>
            </w:pPr>
            <w:r>
              <w:rPr>
                <w:rFonts w:ascii="Arial" w:cs="Arial" w:eastAsia="Arial" w:hAnsi="Arial"/>
                <w:sz w:val="18"/>
                <w:szCs w:val="18"/>
                <w:b w:val="1"/>
                <w:bCs w:val="1"/>
                <w:color w:val="auto"/>
              </w:rPr>
              <w:t>Stockholders’ equity</w:t>
            </w: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8940" w:type="dxa"/>
            <w:vAlign w:val="bottom"/>
            <w:gridSpan w:val="12"/>
            <w:shd w:val="clear" w:color="auto" w:fill="CCEEFF"/>
          </w:tcPr>
          <w:p>
            <w:pPr>
              <w:spacing w:after="0" w:line="201" w:lineRule="exact"/>
              <w:rPr>
                <w:sz w:val="20"/>
                <w:szCs w:val="20"/>
                <w:color w:val="auto"/>
              </w:rPr>
            </w:pPr>
            <w:r>
              <w:rPr>
                <w:rFonts w:ascii="Arial" w:cs="Arial" w:eastAsia="Arial" w:hAnsi="Arial"/>
                <w:sz w:val="18"/>
                <w:szCs w:val="18"/>
                <w:color w:val="auto"/>
                <w:w w:val="97"/>
              </w:rPr>
              <w:t>Series A preferred stock, par value $.01 per share with liquidation preference of $100 per share - 3.0 million shares</w:t>
            </w:r>
          </w:p>
        </w:tc>
        <w:tc>
          <w:tcPr>
            <w:tcW w:w="120" w:type="dxa"/>
            <w:vAlign w:val="bottom"/>
            <w:shd w:val="clear" w:color="auto" w:fill="CCEEFF"/>
          </w:tcPr>
          <w:p>
            <w:pPr>
              <w:spacing w:after="0"/>
              <w:rPr>
                <w:sz w:val="17"/>
                <w:szCs w:val="17"/>
                <w:color w:val="auto"/>
              </w:rPr>
            </w:pPr>
          </w:p>
        </w:tc>
        <w:tc>
          <w:tcPr>
            <w:tcW w:w="1200" w:type="dxa"/>
            <w:vAlign w:val="bottom"/>
            <w:gridSpan w:val="2"/>
            <w:vMerge w:val="restart"/>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tcBorders>
              <w:left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940" w:type="dxa"/>
            <w:vAlign w:val="bottom"/>
            <w:gridSpan w:val="12"/>
            <w:shd w:val="clear" w:color="auto" w:fill="CCEEFF"/>
          </w:tcPr>
          <w:p>
            <w:pPr>
              <w:ind w:left="180"/>
              <w:spacing w:after="0"/>
              <w:rPr>
                <w:sz w:val="20"/>
                <w:szCs w:val="20"/>
                <w:color w:val="auto"/>
              </w:rPr>
            </w:pPr>
            <w:r>
              <w:rPr>
                <w:rFonts w:ascii="Arial" w:cs="Arial" w:eastAsia="Arial" w:hAnsi="Arial"/>
                <w:sz w:val="18"/>
                <w:szCs w:val="18"/>
                <w:color w:val="auto"/>
              </w:rPr>
              <w:t>authorized, issued and outstanding in 2006 and 2005</w:t>
            </w:r>
          </w:p>
        </w:tc>
        <w:tc>
          <w:tcPr>
            <w:tcW w:w="120" w:type="dxa"/>
            <w:vAlign w:val="bottom"/>
            <w:shd w:val="clear" w:color="auto" w:fill="CCEEFF"/>
          </w:tcPr>
          <w:p>
            <w:pPr>
              <w:spacing w:after="0"/>
              <w:rPr>
                <w:sz w:val="20"/>
                <w:szCs w:val="20"/>
                <w:color w:val="auto"/>
              </w:rPr>
            </w:pPr>
          </w:p>
        </w:tc>
        <w:tc>
          <w:tcPr>
            <w:tcW w:w="1200" w:type="dxa"/>
            <w:vAlign w:val="bottom"/>
            <w:gridSpan w:val="2"/>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Borders>
              <w:left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8940" w:type="dxa"/>
            <w:vAlign w:val="bottom"/>
            <w:gridSpan w:val="12"/>
          </w:tcPr>
          <w:p>
            <w:pPr>
              <w:spacing w:after="0" w:line="201" w:lineRule="exact"/>
              <w:rPr>
                <w:sz w:val="20"/>
                <w:szCs w:val="20"/>
                <w:color w:val="auto"/>
              </w:rPr>
            </w:pPr>
            <w:r>
              <w:rPr>
                <w:rFonts w:ascii="Arial" w:cs="Arial" w:eastAsia="Arial" w:hAnsi="Arial"/>
                <w:sz w:val="18"/>
                <w:szCs w:val="18"/>
                <w:color w:val="auto"/>
                <w:w w:val="97"/>
              </w:rPr>
              <w:t>Series B preferred stock, par value $.01 per share with liquidation preference of $25 per share - 10.0 million shares</w:t>
            </w:r>
          </w:p>
        </w:tc>
        <w:tc>
          <w:tcPr>
            <w:tcW w:w="120" w:type="dxa"/>
            <w:vAlign w:val="bottom"/>
          </w:tcPr>
          <w:p>
            <w:pPr>
              <w:spacing w:after="0"/>
              <w:rPr>
                <w:sz w:val="17"/>
                <w:szCs w:val="17"/>
                <w:color w:val="auto"/>
              </w:rPr>
            </w:pPr>
          </w:p>
        </w:tc>
        <w:tc>
          <w:tcPr>
            <w:tcW w:w="9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0.1</w:t>
            </w: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940" w:type="dxa"/>
            <w:vAlign w:val="bottom"/>
            <w:gridSpan w:val="12"/>
          </w:tcPr>
          <w:p>
            <w:pPr>
              <w:ind w:left="180"/>
              <w:spacing w:after="0"/>
              <w:rPr>
                <w:sz w:val="20"/>
                <w:szCs w:val="20"/>
                <w:color w:val="auto"/>
              </w:rPr>
            </w:pPr>
            <w:r>
              <w:rPr>
                <w:rFonts w:ascii="Arial" w:cs="Arial" w:eastAsia="Arial" w:hAnsi="Arial"/>
                <w:sz w:val="18"/>
                <w:szCs w:val="18"/>
                <w:color w:val="auto"/>
              </w:rPr>
              <w:t>authorized, issued and outstanding in 2006 and 2005</w:t>
            </w:r>
          </w:p>
        </w:tc>
        <w:tc>
          <w:tcPr>
            <w:tcW w:w="120" w:type="dxa"/>
            <w:vAlign w:val="bottom"/>
          </w:tcPr>
          <w:p>
            <w:pPr>
              <w:spacing w:after="0"/>
              <w:rPr>
                <w:sz w:val="20"/>
                <w:szCs w:val="20"/>
                <w:color w:val="auto"/>
              </w:rPr>
            </w:pPr>
          </w:p>
        </w:tc>
        <w:tc>
          <w:tcPr>
            <w:tcW w:w="920" w:type="dxa"/>
            <w:vAlign w:val="bottom"/>
            <w:vMerge w:val="continue"/>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0.1</w:t>
            </w: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8940" w:type="dxa"/>
            <w:vAlign w:val="bottom"/>
            <w:gridSpan w:val="12"/>
            <w:shd w:val="clear" w:color="auto" w:fill="CCEEFF"/>
          </w:tcPr>
          <w:p>
            <w:pPr>
              <w:spacing w:after="0" w:line="201" w:lineRule="exact"/>
              <w:rPr>
                <w:sz w:val="20"/>
                <w:szCs w:val="20"/>
                <w:color w:val="auto"/>
              </w:rPr>
            </w:pPr>
            <w:r>
              <w:rPr>
                <w:rFonts w:ascii="Arial" w:cs="Arial" w:eastAsia="Arial" w:hAnsi="Arial"/>
                <w:sz w:val="18"/>
                <w:szCs w:val="18"/>
                <w:color w:val="auto"/>
                <w:w w:val="97"/>
              </w:rPr>
              <w:t>Common stock, par value $.01 per share - 2,500.0 million shares authorized, 382.5 million and 381.3 million shares</w:t>
            </w:r>
          </w:p>
        </w:tc>
        <w:tc>
          <w:tcPr>
            <w:tcW w:w="120" w:type="dxa"/>
            <w:vAlign w:val="bottom"/>
            <w:shd w:val="clear" w:color="auto" w:fill="CCEEFF"/>
          </w:tcPr>
          <w:p>
            <w:pPr>
              <w:spacing w:after="0"/>
              <w:rPr>
                <w:sz w:val="17"/>
                <w:szCs w:val="17"/>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3.8</w:t>
            </w:r>
          </w:p>
        </w:tc>
        <w:tc>
          <w:tcPr>
            <w:tcW w:w="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tcBorders>
              <w:left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940" w:type="dxa"/>
            <w:vAlign w:val="bottom"/>
            <w:gridSpan w:val="12"/>
            <w:shd w:val="clear" w:color="auto" w:fill="CCEEFF"/>
          </w:tcPr>
          <w:p>
            <w:pPr>
              <w:ind w:left="180"/>
              <w:spacing w:after="0"/>
              <w:rPr>
                <w:sz w:val="20"/>
                <w:szCs w:val="20"/>
                <w:color w:val="auto"/>
              </w:rPr>
            </w:pPr>
            <w:r>
              <w:rPr>
                <w:rFonts w:ascii="Arial" w:cs="Arial" w:eastAsia="Arial" w:hAnsi="Arial"/>
                <w:sz w:val="18"/>
                <w:szCs w:val="18"/>
                <w:color w:val="auto"/>
              </w:rPr>
              <w:t>issued, and 269.1 million and 280.6 million shares outstanding in 2006 and 2005, respectively</w:t>
            </w:r>
          </w:p>
        </w:tc>
        <w:tc>
          <w:tcPr>
            <w:tcW w:w="120" w:type="dxa"/>
            <w:vAlign w:val="bottom"/>
            <w:shd w:val="clear" w:color="auto" w:fill="CCEEFF"/>
          </w:tcPr>
          <w:p>
            <w:pPr>
              <w:spacing w:after="0"/>
              <w:rPr>
                <w:sz w:val="20"/>
                <w:szCs w:val="20"/>
                <w:color w:val="auto"/>
              </w:rPr>
            </w:pPr>
          </w:p>
        </w:tc>
        <w:tc>
          <w:tcPr>
            <w:tcW w:w="920" w:type="dxa"/>
            <w:vAlign w:val="bottom"/>
            <w:vMerge w:val="continue"/>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80" w:type="dxa"/>
            <w:vAlign w:val="bottom"/>
            <w:shd w:val="clear" w:color="auto" w:fill="CCEEFF"/>
          </w:tcPr>
          <w:p>
            <w:pPr>
              <w:spacing w:after="0"/>
              <w:rPr>
                <w:sz w:val="20"/>
                <w:szCs w:val="20"/>
                <w:color w:val="auto"/>
              </w:rPr>
            </w:pPr>
          </w:p>
        </w:tc>
        <w:tc>
          <w:tcPr>
            <w:tcW w:w="60" w:type="dxa"/>
            <w:vAlign w:val="bottom"/>
            <w:tcBorders>
              <w:left w:val="single" w:sz="8" w:color="CCEEFF"/>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-6947535</wp:posOffset>
            </wp:positionV>
            <wp:extent cx="12700"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-6947535</wp:posOffset>
            </wp:positionV>
            <wp:extent cx="12700"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24" w:right="199" w:bottom="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8940" w:type="dxa"/>
            <w:vAlign w:val="bottom"/>
          </w:tcPr>
          <w:p>
            <w:pPr>
              <w:spacing w:after="0"/>
              <w:rPr>
                <w:sz w:val="20"/>
                <w:szCs w:val="20"/>
                <w:color w:val="auto"/>
              </w:rPr>
            </w:pPr>
            <w:r>
              <w:rPr>
                <w:rFonts w:ascii="Arial" w:cs="Arial" w:eastAsia="Arial" w:hAnsi="Arial"/>
                <w:sz w:val="18"/>
                <w:szCs w:val="18"/>
                <w:color w:val="auto"/>
              </w:rPr>
              <w:t>Additional paid-in capital</w:t>
            </w: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8,068.8</w:t>
            </w:r>
          </w:p>
        </w:tc>
        <w:tc>
          <w:tcPr>
            <w:tcW w:w="2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8,000.0</w:t>
            </w:r>
          </w:p>
        </w:tc>
        <w:tc>
          <w:tcPr>
            <w:tcW w:w="100" w:type="dxa"/>
            <w:vAlign w:val="bottom"/>
          </w:tcPr>
          <w:p>
            <w:pPr>
              <w:spacing w:after="0"/>
              <w:rPr>
                <w:sz w:val="20"/>
                <w:szCs w:val="20"/>
                <w:color w:val="auto"/>
              </w:rPr>
            </w:pPr>
          </w:p>
        </w:tc>
      </w:tr>
      <w:tr>
        <w:trPr>
          <w:trHeight w:val="216"/>
        </w:trPr>
        <w:tc>
          <w:tcPr>
            <w:tcW w:w="8940" w:type="dxa"/>
            <w:vAlign w:val="bottom"/>
            <w:shd w:val="clear" w:color="auto" w:fill="CCEEFF"/>
          </w:tcPr>
          <w:p>
            <w:pPr>
              <w:spacing w:after="0"/>
              <w:rPr>
                <w:sz w:val="20"/>
                <w:szCs w:val="20"/>
                <w:color w:val="auto"/>
              </w:rPr>
            </w:pPr>
            <w:r>
              <w:rPr>
                <w:rFonts w:ascii="Arial" w:cs="Arial" w:eastAsia="Arial" w:hAnsi="Arial"/>
                <w:sz w:val="18"/>
                <w:szCs w:val="18"/>
                <w:color w:val="auto"/>
              </w:rPr>
              <w:t>Retained earnings</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2,504.8</w:t>
            </w:r>
          </w:p>
        </w:tc>
        <w:tc>
          <w:tcPr>
            <w:tcW w:w="2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2,008.6</w:t>
            </w:r>
          </w:p>
        </w:tc>
        <w:tc>
          <w:tcPr>
            <w:tcW w:w="100" w:type="dxa"/>
            <w:vAlign w:val="bottom"/>
            <w:shd w:val="clear" w:color="auto" w:fill="CCEEFF"/>
          </w:tcPr>
          <w:p>
            <w:pPr>
              <w:spacing w:after="0"/>
              <w:rPr>
                <w:sz w:val="18"/>
                <w:szCs w:val="18"/>
                <w:color w:val="auto"/>
              </w:rPr>
            </w:pPr>
          </w:p>
        </w:tc>
      </w:tr>
      <w:tr>
        <w:trPr>
          <w:trHeight w:val="216"/>
        </w:trPr>
        <w:tc>
          <w:tcPr>
            <w:tcW w:w="8940" w:type="dxa"/>
            <w:vAlign w:val="bottom"/>
          </w:tcPr>
          <w:p>
            <w:pPr>
              <w:spacing w:after="0"/>
              <w:rPr>
                <w:sz w:val="20"/>
                <w:szCs w:val="20"/>
                <w:color w:val="auto"/>
              </w:rPr>
            </w:pPr>
            <w:r>
              <w:rPr>
                <w:rFonts w:ascii="Arial" w:cs="Arial" w:eastAsia="Arial" w:hAnsi="Arial"/>
                <w:sz w:val="18"/>
                <w:szCs w:val="18"/>
                <w:color w:val="auto"/>
              </w:rPr>
              <w:t>Accumulated other comprehensive income</w:t>
            </w: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218.5</w:t>
            </w: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994.8</w:t>
            </w:r>
          </w:p>
        </w:tc>
        <w:tc>
          <w:tcPr>
            <w:tcW w:w="100" w:type="dxa"/>
            <w:vAlign w:val="bottom"/>
          </w:tcPr>
          <w:p>
            <w:pPr>
              <w:spacing w:after="0"/>
              <w:rPr>
                <w:sz w:val="18"/>
                <w:szCs w:val="18"/>
                <w:color w:val="auto"/>
              </w:rPr>
            </w:pPr>
          </w:p>
        </w:tc>
      </w:tr>
      <w:tr>
        <w:trPr>
          <w:trHeight w:val="216"/>
        </w:trPr>
        <w:tc>
          <w:tcPr>
            <w:tcW w:w="8940" w:type="dxa"/>
            <w:vAlign w:val="bottom"/>
            <w:shd w:val="clear" w:color="auto" w:fill="CCEEFF"/>
          </w:tcPr>
          <w:p>
            <w:pPr>
              <w:spacing w:after="0"/>
              <w:rPr>
                <w:sz w:val="20"/>
                <w:szCs w:val="20"/>
                <w:color w:val="auto"/>
              </w:rPr>
            </w:pPr>
            <w:r>
              <w:rPr>
                <w:rFonts w:ascii="Arial" w:cs="Arial" w:eastAsia="Arial" w:hAnsi="Arial"/>
                <w:sz w:val="18"/>
                <w:szCs w:val="18"/>
                <w:color w:val="auto"/>
              </w:rPr>
              <w:t>Treasury stock, at cost (113.4 million and 100.7 million shares in 2006 and 2005, respectively)</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(3,951.3)</w:t>
            </w:r>
          </w:p>
        </w:tc>
        <w:tc>
          <w:tcPr>
            <w:tcW w:w="11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(3,200.1)</w:t>
            </w:r>
          </w:p>
        </w:tc>
      </w:tr>
      <w:tr>
        <w:trPr>
          <w:trHeight w:val="210"/>
        </w:trPr>
        <w:tc>
          <w:tcPr>
            <w:tcW w:w="894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Total stockholders’ equity</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6,844.7</w:t>
            </w:r>
          </w:p>
        </w:tc>
        <w:tc>
          <w:tcPr>
            <w:tcW w:w="280" w:type="dxa"/>
            <w:vAlign w:val="bottom"/>
            <w:tcBorders>
              <w:bottom w:val="single" w:sz="8" w:color="CCEEFF"/>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7,807.2</w:t>
            </w:r>
          </w:p>
        </w:tc>
        <w:tc>
          <w:tcPr>
            <w:tcW w:w="100" w:type="dxa"/>
            <w:vAlign w:val="bottom"/>
            <w:tcBorders>
              <w:bottom w:val="single" w:sz="8" w:color="CCEEFF"/>
            </w:tcBorders>
          </w:tcPr>
          <w:p>
            <w:pPr>
              <w:spacing w:after="0"/>
              <w:rPr>
                <w:sz w:val="18"/>
                <w:szCs w:val="18"/>
                <w:color w:val="auto"/>
              </w:rPr>
            </w:pPr>
          </w:p>
        </w:tc>
      </w:tr>
      <w:tr>
        <w:trPr>
          <w:trHeight w:val="210"/>
        </w:trPr>
        <w:tc>
          <w:tcPr>
            <w:tcW w:w="89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liabilities and stockholders’ equity</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7"/>
              </w:rPr>
              <w:t>$   131,429.4</w:t>
            </w:r>
          </w:p>
        </w:tc>
        <w:tc>
          <w:tcPr>
            <w:tcW w:w="280" w:type="dxa"/>
            <w:vAlign w:val="bottom"/>
            <w:tcBorders>
              <w:bottom w:val="single" w:sz="8" w:color="CCEEFF"/>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   127,035.4</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
        </w:trPr>
        <w:tc>
          <w:tcPr>
            <w:tcW w:w="894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5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20" w:type="dxa"/>
            <w:vAlign w:val="bottom"/>
            <w:gridSpan w:val="5"/>
          </w:tcPr>
          <w:p>
            <w:pPr>
              <w:jc w:val="right"/>
              <w:ind w:right="291"/>
              <w:spacing w:after="0"/>
              <w:rPr>
                <w:sz w:val="20"/>
                <w:szCs w:val="20"/>
                <w:color w:val="auto"/>
              </w:rPr>
            </w:pPr>
            <w:r>
              <w:rPr>
                <w:rFonts w:ascii="Arial" w:cs="Arial" w:eastAsia="Arial" w:hAnsi="Arial"/>
                <w:sz w:val="14"/>
                <w:szCs w:val="14"/>
                <w:b w:val="1"/>
                <w:bCs w:val="1"/>
                <w:color w:val="auto"/>
                <w:w w:val="98"/>
              </w:rPr>
              <w:t>For the three months ended</w:t>
            </w: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300" w:type="dxa"/>
            <w:vAlign w:val="bottom"/>
            <w:gridSpan w:val="6"/>
          </w:tcPr>
          <w:p>
            <w:pPr>
              <w:ind w:left="200"/>
              <w:spacing w:after="0"/>
              <w:rPr>
                <w:sz w:val="20"/>
                <w:szCs w:val="20"/>
                <w:color w:val="auto"/>
              </w:rPr>
            </w:pPr>
            <w:r>
              <w:rPr>
                <w:rFonts w:ascii="Arial" w:cs="Arial" w:eastAsia="Arial" w:hAnsi="Arial"/>
                <w:sz w:val="14"/>
                <w:szCs w:val="14"/>
                <w:b w:val="1"/>
                <w:bCs w:val="1"/>
                <w:color w:val="auto"/>
              </w:rPr>
              <w:t>For the six months ended</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55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June 30,</w:t>
            </w:r>
          </w:p>
        </w:tc>
        <w:tc>
          <w:tcPr>
            <w:tcW w:w="96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gridSpan w:val="4"/>
          </w:tcPr>
          <w:p>
            <w:pPr>
              <w:jc w:val="right"/>
              <w:ind w:right="90"/>
              <w:spacing w:after="0"/>
              <w:rPr>
                <w:sz w:val="20"/>
                <w:szCs w:val="20"/>
                <w:color w:val="auto"/>
              </w:rPr>
            </w:pPr>
            <w:r>
              <w:rPr>
                <w:rFonts w:ascii="Arial" w:cs="Arial" w:eastAsia="Arial" w:hAnsi="Arial"/>
                <w:sz w:val="14"/>
                <w:szCs w:val="14"/>
                <w:b w:val="1"/>
                <w:bCs w:val="1"/>
                <w:color w:val="auto"/>
              </w:rPr>
              <w:t>June 30,</w:t>
            </w:r>
          </w:p>
        </w:tc>
        <w:tc>
          <w:tcPr>
            <w:tcW w:w="84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5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jc w:val="right"/>
              <w:ind w:right="332"/>
              <w:spacing w:after="0" w:line="129" w:lineRule="exact"/>
              <w:rPr>
                <w:sz w:val="20"/>
                <w:szCs w:val="20"/>
                <w:color w:val="auto"/>
              </w:rPr>
            </w:pPr>
            <w:r>
              <w:rPr>
                <w:rFonts w:ascii="Arial" w:cs="Arial" w:eastAsia="Arial" w:hAnsi="Arial"/>
                <w:sz w:val="14"/>
                <w:szCs w:val="14"/>
                <w:b w:val="1"/>
                <w:bCs w:val="1"/>
                <w:color w:val="auto"/>
              </w:rPr>
              <w:t>2006</w:t>
            </w:r>
          </w:p>
        </w:tc>
        <w:tc>
          <w:tcPr>
            <w:tcW w:w="16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960" w:type="dxa"/>
            <w:vAlign w:val="bottom"/>
            <w:tcBorders>
              <w:bottom w:val="single" w:sz="8" w:color="auto"/>
            </w:tcBorders>
          </w:tcPr>
          <w:p>
            <w:pPr>
              <w:jc w:val="right"/>
              <w:ind w:right="331"/>
              <w:spacing w:after="0" w:line="129" w:lineRule="exact"/>
              <w:rPr>
                <w:sz w:val="20"/>
                <w:szCs w:val="20"/>
                <w:color w:val="auto"/>
              </w:rPr>
            </w:pPr>
            <w:r>
              <w:rPr>
                <w:rFonts w:ascii="Arial" w:cs="Arial" w:eastAsia="Arial" w:hAnsi="Arial"/>
                <w:sz w:val="14"/>
                <w:szCs w:val="14"/>
                <w:b w:val="1"/>
                <w:bCs w:val="1"/>
                <w:color w:val="auto"/>
              </w:rPr>
              <w:t>2005</w:t>
            </w:r>
          </w:p>
        </w:tc>
        <w:tc>
          <w:tcPr>
            <w:tcW w:w="26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840" w:type="dxa"/>
            <w:vAlign w:val="bottom"/>
            <w:tcBorders>
              <w:bottom w:val="single" w:sz="8" w:color="auto"/>
            </w:tcBorders>
          </w:tcPr>
          <w:p>
            <w:pPr>
              <w:jc w:val="right"/>
              <w:ind w:right="312"/>
              <w:spacing w:after="0" w:line="129" w:lineRule="exact"/>
              <w:rPr>
                <w:sz w:val="20"/>
                <w:szCs w:val="20"/>
                <w:color w:val="auto"/>
              </w:rPr>
            </w:pPr>
            <w:r>
              <w:rPr>
                <w:rFonts w:ascii="Arial" w:cs="Arial" w:eastAsia="Arial" w:hAnsi="Arial"/>
                <w:sz w:val="14"/>
                <w:szCs w:val="14"/>
                <w:b w:val="1"/>
                <w:bCs w:val="1"/>
                <w:color w:val="auto"/>
              </w:rPr>
              <w:t>2006</w:t>
            </w:r>
          </w:p>
        </w:tc>
        <w:tc>
          <w:tcPr>
            <w:tcW w:w="28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840" w:type="dxa"/>
            <w:vAlign w:val="bottom"/>
            <w:tcBorders>
              <w:bottom w:val="single" w:sz="8" w:color="auto"/>
            </w:tcBorders>
          </w:tcPr>
          <w:p>
            <w:pPr>
              <w:jc w:val="right"/>
              <w:ind w:right="331"/>
              <w:spacing w:after="0" w:line="129" w:lineRule="exact"/>
              <w:rPr>
                <w:sz w:val="20"/>
                <w:szCs w:val="20"/>
                <w:color w:val="auto"/>
              </w:rPr>
            </w:pPr>
            <w:r>
              <w:rPr>
                <w:rFonts w:ascii="Arial" w:cs="Arial" w:eastAsia="Arial" w:hAnsi="Arial"/>
                <w:sz w:val="14"/>
                <w:szCs w:val="14"/>
                <w:b w:val="1"/>
                <w:bCs w:val="1"/>
                <w:color w:val="auto"/>
              </w:rPr>
              <w:t>2005</w:t>
            </w: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5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0" w:type="dxa"/>
            <w:vAlign w:val="bottom"/>
            <w:gridSpan w:val="5"/>
          </w:tcPr>
          <w:p>
            <w:pPr>
              <w:ind w:left="40"/>
              <w:spacing w:after="0" w:line="129" w:lineRule="exact"/>
              <w:rPr>
                <w:sz w:val="20"/>
                <w:szCs w:val="20"/>
                <w:color w:val="auto"/>
              </w:rPr>
            </w:pPr>
            <w:r>
              <w:rPr>
                <w:rFonts w:ascii="Arial" w:cs="Arial" w:eastAsia="Arial" w:hAnsi="Arial"/>
                <w:sz w:val="14"/>
                <w:szCs w:val="14"/>
                <w:b w:val="1"/>
                <w:bCs w:val="1"/>
                <w:color w:val="auto"/>
              </w:rPr>
              <w:t>(in millions, except per share data)</w:t>
            </w: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6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tcPr>
          <w:p>
            <w:pPr>
              <w:spacing w:after="0"/>
              <w:rPr>
                <w:sz w:val="20"/>
                <w:szCs w:val="20"/>
                <w:color w:val="auto"/>
              </w:rPr>
            </w:pPr>
            <w:r>
              <w:rPr>
                <w:rFonts w:ascii="Arial" w:cs="Arial" w:eastAsia="Arial" w:hAnsi="Arial"/>
                <w:sz w:val="18"/>
                <w:szCs w:val="18"/>
                <w:color w:val="auto"/>
              </w:rPr>
              <w:t>Premiums and other considerations</w:t>
            </w:r>
          </w:p>
        </w:tc>
        <w:tc>
          <w:tcPr>
            <w:tcW w:w="860" w:type="dxa"/>
            <w:vAlign w:val="bottom"/>
            <w:gridSpan w:val="2"/>
          </w:tcPr>
          <w:p>
            <w:pPr>
              <w:jc w:val="right"/>
              <w:ind w:right="85"/>
              <w:spacing w:after="0"/>
              <w:rPr>
                <w:sz w:val="20"/>
                <w:szCs w:val="20"/>
                <w:color w:val="auto"/>
              </w:rPr>
            </w:pPr>
            <w:r>
              <w:rPr>
                <w:rFonts w:ascii="Arial" w:cs="Arial" w:eastAsia="Arial" w:hAnsi="Arial"/>
                <w:sz w:val="18"/>
                <w:szCs w:val="18"/>
                <w:b w:val="1"/>
                <w:bCs w:val="1"/>
                <w:color w:val="auto"/>
              </w:rPr>
              <w:t>$</w:t>
            </w: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1,104.6</w:t>
            </w:r>
          </w:p>
        </w:tc>
        <w:tc>
          <w:tcPr>
            <w:tcW w:w="16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948.9</w:t>
            </w:r>
          </w:p>
        </w:tc>
        <w:tc>
          <w:tcPr>
            <w:tcW w:w="520" w:type="dxa"/>
            <w:vAlign w:val="bottom"/>
            <w:gridSpan w:val="2"/>
          </w:tcPr>
          <w:p>
            <w:pPr>
              <w:jc w:val="right"/>
              <w:ind w:right="70"/>
              <w:spacing w:after="0"/>
              <w:rPr>
                <w:sz w:val="20"/>
                <w:szCs w:val="20"/>
                <w:color w:val="auto"/>
              </w:rPr>
            </w:pPr>
            <w:r>
              <w:rPr>
                <w:rFonts w:ascii="Arial" w:cs="Arial" w:eastAsia="Arial" w:hAnsi="Arial"/>
                <w:sz w:val="18"/>
                <w:szCs w:val="18"/>
                <w:b w:val="1"/>
                <w:bCs w:val="1"/>
                <w:color w:val="auto"/>
              </w:rPr>
              <w:t>$</w:t>
            </w: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2,146.4</w:t>
            </w:r>
          </w:p>
        </w:tc>
        <w:tc>
          <w:tcPr>
            <w:tcW w:w="280" w:type="dxa"/>
            <w:vAlign w:val="bottom"/>
          </w:tcPr>
          <w:p>
            <w:pPr>
              <w:spacing w:after="0"/>
              <w:rPr>
                <w:sz w:val="18"/>
                <w:szCs w:val="18"/>
                <w:color w:val="auto"/>
              </w:rPr>
            </w:pPr>
          </w:p>
        </w:tc>
        <w:tc>
          <w:tcPr>
            <w:tcW w:w="260" w:type="dxa"/>
            <w:vAlign w:val="bottom"/>
            <w:gridSpan w:val="2"/>
          </w:tcPr>
          <w:p>
            <w:pPr>
              <w:jc w:val="right"/>
              <w:ind w:right="130"/>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1,883.0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Fees and other revenues</w:t>
            </w:r>
          </w:p>
        </w:tc>
        <w:tc>
          <w:tcPr>
            <w:tcW w:w="6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451.3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405.3</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900.1</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822.5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tcPr>
          <w:p>
            <w:pPr>
              <w:spacing w:after="0"/>
              <w:rPr>
                <w:sz w:val="20"/>
                <w:szCs w:val="20"/>
                <w:color w:val="auto"/>
              </w:rPr>
            </w:pPr>
            <w:r>
              <w:rPr>
                <w:rFonts w:ascii="Arial" w:cs="Arial" w:eastAsia="Arial" w:hAnsi="Arial"/>
                <w:sz w:val="18"/>
                <w:szCs w:val="18"/>
                <w:color w:val="auto"/>
              </w:rPr>
              <w:t>Net investment income</w:t>
            </w:r>
          </w:p>
        </w:tc>
        <w:tc>
          <w:tcPr>
            <w:tcW w:w="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911.6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836.0</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1,763.8</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1,629.9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Net realized/unrealized capital gains (losses)</w:t>
            </w:r>
          </w:p>
        </w:tc>
        <w:tc>
          <w:tcPr>
            <w:tcW w:w="6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(19.1)</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29.8</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500" w:type="dxa"/>
            <w:vAlign w:val="bottom"/>
          </w:tcPr>
          <w:p>
            <w:pPr>
              <w:ind w:left="160"/>
              <w:spacing w:after="0"/>
              <w:rPr>
                <w:sz w:val="20"/>
                <w:szCs w:val="20"/>
                <w:color w:val="auto"/>
              </w:rPr>
            </w:pPr>
            <w:r>
              <w:rPr>
                <w:rFonts w:ascii="Arial" w:cs="Arial" w:eastAsia="Arial" w:hAnsi="Arial"/>
                <w:sz w:val="18"/>
                <w:szCs w:val="18"/>
                <w:color w:val="auto"/>
              </w:rPr>
              <w:t>Total revenues</w:t>
            </w:r>
          </w:p>
        </w:tc>
        <w:tc>
          <w:tcPr>
            <w:tcW w:w="6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2,448.4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2,200.4</w:t>
            </w:r>
          </w:p>
        </w:tc>
        <w:tc>
          <w:tcPr>
            <w:tcW w:w="26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4,840.1</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4,344.1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6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tcPr>
          <w:p>
            <w:pPr>
              <w:spacing w:after="0"/>
              <w:rPr>
                <w:sz w:val="20"/>
                <w:szCs w:val="20"/>
                <w:color w:val="auto"/>
              </w:rPr>
            </w:pPr>
            <w:r>
              <w:rPr>
                <w:rFonts w:ascii="Arial" w:cs="Arial" w:eastAsia="Arial" w:hAnsi="Arial"/>
                <w:sz w:val="18"/>
                <w:szCs w:val="18"/>
                <w:color w:val="auto"/>
              </w:rPr>
              <w:t>Benefits, claims, and settlement expenses</w:t>
            </w:r>
          </w:p>
        </w:tc>
        <w:tc>
          <w:tcPr>
            <w:tcW w:w="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1,459.6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1,264.5</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2,801.4</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2,498.8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Dividends to policyholders</w:t>
            </w:r>
          </w:p>
        </w:tc>
        <w:tc>
          <w:tcPr>
            <w:tcW w:w="6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72.5</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72.2</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144.4</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Operating expenses</w:t>
            </w:r>
          </w:p>
        </w:tc>
        <w:tc>
          <w:tcPr>
            <w:tcW w:w="6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619.8</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580.8</w:t>
            </w:r>
          </w:p>
        </w:tc>
        <w:tc>
          <w:tcPr>
            <w:tcW w:w="26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1,224.2</w:t>
            </w:r>
          </w:p>
        </w:tc>
        <w:tc>
          <w:tcPr>
            <w:tcW w:w="2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1,137.7</w:t>
            </w:r>
          </w:p>
        </w:tc>
        <w:tc>
          <w:tcPr>
            <w:tcW w:w="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5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Total expenses</w:t>
            </w:r>
          </w:p>
        </w:tc>
        <w:tc>
          <w:tcPr>
            <w:tcW w:w="6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2,151.9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1,917.5</w:t>
            </w:r>
          </w:p>
        </w:tc>
        <w:tc>
          <w:tcPr>
            <w:tcW w:w="26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4,170.0</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3,781.6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500" w:type="dxa"/>
            <w:vAlign w:val="bottom"/>
          </w:tcPr>
          <w:p>
            <w:pPr>
              <w:spacing w:after="0"/>
              <w:rPr>
                <w:sz w:val="20"/>
                <w:szCs w:val="20"/>
                <w:color w:val="auto"/>
              </w:rPr>
            </w:pPr>
            <w:r>
              <w:rPr>
                <w:rFonts w:ascii="Arial" w:cs="Arial" w:eastAsia="Arial" w:hAnsi="Arial"/>
                <w:sz w:val="18"/>
                <w:szCs w:val="18"/>
                <w:color w:val="auto"/>
              </w:rPr>
              <w:t>Income from continuing operations before income taxes</w:t>
            </w:r>
          </w:p>
        </w:tc>
        <w:tc>
          <w:tcPr>
            <w:tcW w:w="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296.5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282.9</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670.1</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562.5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Income taxes</w:t>
            </w:r>
          </w:p>
        </w:tc>
        <w:tc>
          <w:tcPr>
            <w:tcW w:w="6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77.7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59.3</w:t>
            </w:r>
          </w:p>
        </w:tc>
        <w:tc>
          <w:tcPr>
            <w:tcW w:w="26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157.4</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134.0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500" w:type="dxa"/>
            <w:vAlign w:val="bottom"/>
          </w:tcPr>
          <w:p>
            <w:pPr>
              <w:spacing w:after="0"/>
              <w:rPr>
                <w:sz w:val="20"/>
                <w:szCs w:val="20"/>
                <w:color w:val="auto"/>
              </w:rPr>
            </w:pPr>
            <w:r>
              <w:rPr>
                <w:rFonts w:ascii="Arial" w:cs="Arial" w:eastAsia="Arial" w:hAnsi="Arial"/>
                <w:sz w:val="18"/>
                <w:szCs w:val="18"/>
                <w:color w:val="auto"/>
              </w:rPr>
              <w:t>Income from continuing operations, net of related income taxes</w:t>
            </w:r>
          </w:p>
        </w:tc>
        <w:tc>
          <w:tcPr>
            <w:tcW w:w="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218.8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223.6</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512.7</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428.5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Income from discontinued operations, net of related income taxes</w:t>
            </w:r>
          </w:p>
        </w:tc>
        <w:tc>
          <w:tcPr>
            <w:tcW w:w="6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500" w:type="dxa"/>
            <w:vAlign w:val="bottom"/>
          </w:tcPr>
          <w:p>
            <w:pPr>
              <w:spacing w:after="0"/>
              <w:rPr>
                <w:sz w:val="20"/>
                <w:szCs w:val="20"/>
                <w:color w:val="auto"/>
              </w:rPr>
            </w:pPr>
            <w:r>
              <w:rPr>
                <w:rFonts w:ascii="Arial" w:cs="Arial" w:eastAsia="Arial" w:hAnsi="Arial"/>
                <w:sz w:val="18"/>
                <w:szCs w:val="18"/>
                <w:color w:val="auto"/>
              </w:rPr>
              <w:t>Net income</w:t>
            </w:r>
          </w:p>
        </w:tc>
        <w:tc>
          <w:tcPr>
            <w:tcW w:w="6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218.8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238.9</w:t>
            </w:r>
          </w:p>
        </w:tc>
        <w:tc>
          <w:tcPr>
            <w:tcW w:w="26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512.7</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444.4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Preferred stock dividends</w:t>
            </w:r>
          </w:p>
        </w:tc>
        <w:tc>
          <w:tcPr>
            <w:tcW w:w="6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16.5</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55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income available to common stockholders</w:t>
            </w:r>
          </w:p>
        </w:tc>
        <w:tc>
          <w:tcPr>
            <w:tcW w:w="62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210.5</w:t>
            </w:r>
          </w:p>
        </w:tc>
        <w:tc>
          <w:tcPr>
            <w:tcW w:w="16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238.9</w:t>
            </w:r>
          </w:p>
        </w:tc>
        <w:tc>
          <w:tcPr>
            <w:tcW w:w="26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496.2</w:t>
            </w:r>
          </w:p>
        </w:tc>
        <w:tc>
          <w:tcPr>
            <w:tcW w:w="280" w:type="dxa"/>
            <w:vAlign w:val="bottom"/>
            <w:tcBorders>
              <w:bottom w:val="single" w:sz="8" w:color="CCEEFF"/>
            </w:tcBorders>
          </w:tcPr>
          <w:p>
            <w:pPr>
              <w:spacing w:after="0"/>
              <w:rPr>
                <w:sz w:val="21"/>
                <w:szCs w:val="21"/>
                <w:color w:val="auto"/>
              </w:rPr>
            </w:pPr>
          </w:p>
        </w:tc>
        <w:tc>
          <w:tcPr>
            <w:tcW w:w="2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0"/>
                <w:szCs w:val="10"/>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444.4</w:t>
            </w:r>
          </w:p>
        </w:tc>
        <w:tc>
          <w:tcPr>
            <w:tcW w:w="8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55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00" w:type="dxa"/>
            <w:vAlign w:val="bottom"/>
          </w:tcPr>
          <w:p>
            <w:pPr>
              <w:spacing w:after="0"/>
              <w:rPr>
                <w:sz w:val="20"/>
                <w:szCs w:val="20"/>
                <w:color w:val="auto"/>
              </w:rPr>
            </w:pPr>
            <w:r>
              <w:rPr>
                <w:rFonts w:ascii="Arial" w:cs="Arial" w:eastAsia="Arial" w:hAnsi="Arial"/>
                <w:sz w:val="18"/>
                <w:szCs w:val="18"/>
                <w:b w:val="1"/>
                <w:bCs w:val="1"/>
                <w:color w:val="auto"/>
              </w:rPr>
              <w:t>Earnings per common share</w:t>
            </w:r>
          </w:p>
        </w:tc>
        <w:tc>
          <w:tcPr>
            <w:tcW w:w="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Basic earnings per common share:</w:t>
            </w:r>
          </w:p>
        </w:tc>
        <w:tc>
          <w:tcPr>
            <w:tcW w:w="6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tcPr>
          <w:p>
            <w:pPr>
              <w:ind w:left="160"/>
              <w:spacing w:after="0"/>
              <w:rPr>
                <w:sz w:val="20"/>
                <w:szCs w:val="20"/>
                <w:color w:val="auto"/>
              </w:rPr>
            </w:pPr>
            <w:r>
              <w:rPr>
                <w:rFonts w:ascii="Arial" w:cs="Arial" w:eastAsia="Arial" w:hAnsi="Arial"/>
                <w:sz w:val="18"/>
                <w:szCs w:val="18"/>
                <w:color w:val="auto"/>
              </w:rPr>
              <w:t>Income from continuing operations, net of related income taxes</w:t>
            </w:r>
          </w:p>
        </w:tc>
        <w:tc>
          <w:tcPr>
            <w:tcW w:w="860" w:type="dxa"/>
            <w:vAlign w:val="bottom"/>
            <w:gridSpan w:val="2"/>
          </w:tcPr>
          <w:p>
            <w:pPr>
              <w:jc w:val="right"/>
              <w:ind w:right="85"/>
              <w:spacing w:after="0"/>
              <w:rPr>
                <w:sz w:val="20"/>
                <w:szCs w:val="20"/>
                <w:color w:val="auto"/>
              </w:rPr>
            </w:pPr>
            <w:r>
              <w:rPr>
                <w:rFonts w:ascii="Arial" w:cs="Arial" w:eastAsia="Arial" w:hAnsi="Arial"/>
                <w:sz w:val="18"/>
                <w:szCs w:val="18"/>
                <w:b w:val="1"/>
                <w:bCs w:val="1"/>
                <w:color w:val="auto"/>
              </w:rPr>
              <w:t>$</w:t>
            </w: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0.77</w:t>
            </w:r>
          </w:p>
        </w:tc>
        <w:tc>
          <w:tcPr>
            <w:tcW w:w="16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0.78</w:t>
            </w:r>
          </w:p>
        </w:tc>
        <w:tc>
          <w:tcPr>
            <w:tcW w:w="520" w:type="dxa"/>
            <w:vAlign w:val="bottom"/>
            <w:gridSpan w:val="2"/>
          </w:tcPr>
          <w:p>
            <w:pPr>
              <w:jc w:val="right"/>
              <w:ind w:right="70"/>
              <w:spacing w:after="0"/>
              <w:rPr>
                <w:sz w:val="20"/>
                <w:szCs w:val="20"/>
                <w:color w:val="auto"/>
              </w:rPr>
            </w:pPr>
            <w:r>
              <w:rPr>
                <w:rFonts w:ascii="Arial" w:cs="Arial" w:eastAsia="Arial" w:hAnsi="Arial"/>
                <w:sz w:val="18"/>
                <w:szCs w:val="18"/>
                <w:b w:val="1"/>
                <w:bCs w:val="1"/>
                <w:color w:val="auto"/>
              </w:rPr>
              <w:t>$</w:t>
            </w: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1.79</w:t>
            </w:r>
          </w:p>
        </w:tc>
        <w:tc>
          <w:tcPr>
            <w:tcW w:w="280" w:type="dxa"/>
            <w:vAlign w:val="bottom"/>
          </w:tcPr>
          <w:p>
            <w:pPr>
              <w:spacing w:after="0"/>
              <w:rPr>
                <w:sz w:val="18"/>
                <w:szCs w:val="18"/>
                <w:color w:val="auto"/>
              </w:rPr>
            </w:pPr>
          </w:p>
        </w:tc>
        <w:tc>
          <w:tcPr>
            <w:tcW w:w="260" w:type="dxa"/>
            <w:vAlign w:val="bottom"/>
            <w:gridSpan w:val="2"/>
          </w:tcPr>
          <w:p>
            <w:pPr>
              <w:jc w:val="right"/>
              <w:ind w:right="130"/>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1.45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Income from discontinued operations, net of related income taxes</w:t>
            </w:r>
          </w:p>
        </w:tc>
        <w:tc>
          <w:tcPr>
            <w:tcW w:w="6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0.05</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¾</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5500" w:type="dxa"/>
            <w:vAlign w:val="bottom"/>
            <w:tcBorders>
              <w:bottom w:val="single" w:sz="8" w:color="CCEEFF"/>
            </w:tcBorders>
          </w:tcPr>
          <w:p>
            <w:pPr>
              <w:ind w:left="160"/>
              <w:spacing w:after="0"/>
              <w:rPr>
                <w:sz w:val="20"/>
                <w:szCs w:val="20"/>
                <w:color w:val="auto"/>
              </w:rPr>
            </w:pPr>
            <w:r>
              <w:rPr>
                <w:rFonts w:ascii="Arial" w:cs="Arial" w:eastAsia="Arial" w:hAnsi="Arial"/>
                <w:sz w:val="18"/>
                <w:szCs w:val="18"/>
                <w:color w:val="auto"/>
              </w:rPr>
              <w:t>Net income</w:t>
            </w:r>
          </w:p>
        </w:tc>
        <w:tc>
          <w:tcPr>
            <w:tcW w:w="62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0.77</w:t>
            </w:r>
          </w:p>
        </w:tc>
        <w:tc>
          <w:tcPr>
            <w:tcW w:w="16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0.83</w:t>
            </w:r>
          </w:p>
        </w:tc>
        <w:tc>
          <w:tcPr>
            <w:tcW w:w="26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1.79</w:t>
            </w:r>
          </w:p>
        </w:tc>
        <w:tc>
          <w:tcPr>
            <w:tcW w:w="280" w:type="dxa"/>
            <w:vAlign w:val="bottom"/>
            <w:tcBorders>
              <w:bottom w:val="single" w:sz="8" w:color="CCEEFF"/>
            </w:tcBorders>
          </w:tcPr>
          <w:p>
            <w:pPr>
              <w:spacing w:after="0"/>
              <w:rPr>
                <w:sz w:val="21"/>
                <w:szCs w:val="21"/>
                <w:color w:val="auto"/>
              </w:rPr>
            </w:pPr>
          </w:p>
        </w:tc>
        <w:tc>
          <w:tcPr>
            <w:tcW w:w="2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0"/>
                <w:szCs w:val="10"/>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1.50</w:t>
            </w:r>
          </w:p>
        </w:tc>
        <w:tc>
          <w:tcPr>
            <w:tcW w:w="8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500" w:type="dxa"/>
            <w:vAlign w:val="bottom"/>
            <w:shd w:val="clear" w:color="auto" w:fill="CCEEFF"/>
          </w:tcPr>
          <w:p>
            <w:pPr>
              <w:spacing w:after="0" w:line="170" w:lineRule="exact"/>
              <w:rPr>
                <w:sz w:val="20"/>
                <w:szCs w:val="20"/>
                <w:color w:val="auto"/>
              </w:rPr>
            </w:pPr>
            <w:r>
              <w:rPr>
                <w:rFonts w:ascii="Arial" w:cs="Arial" w:eastAsia="Arial" w:hAnsi="Arial"/>
                <w:sz w:val="18"/>
                <w:szCs w:val="18"/>
                <w:color w:val="auto"/>
              </w:rPr>
              <w:t>Diluted earnings per common share:</w:t>
            </w:r>
          </w:p>
        </w:tc>
        <w:tc>
          <w:tcPr>
            <w:tcW w:w="6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tcPr>
          <w:p>
            <w:pPr>
              <w:ind w:left="160"/>
              <w:spacing w:after="0"/>
              <w:rPr>
                <w:sz w:val="20"/>
                <w:szCs w:val="20"/>
                <w:color w:val="auto"/>
              </w:rPr>
            </w:pPr>
            <w:r>
              <w:rPr>
                <w:rFonts w:ascii="Arial" w:cs="Arial" w:eastAsia="Arial" w:hAnsi="Arial"/>
                <w:sz w:val="18"/>
                <w:szCs w:val="18"/>
                <w:color w:val="auto"/>
              </w:rPr>
              <w:t>Income from continuing operations, net of related income taxes</w:t>
            </w:r>
          </w:p>
        </w:tc>
        <w:tc>
          <w:tcPr>
            <w:tcW w:w="860" w:type="dxa"/>
            <w:vAlign w:val="bottom"/>
            <w:gridSpan w:val="2"/>
          </w:tcPr>
          <w:p>
            <w:pPr>
              <w:jc w:val="right"/>
              <w:ind w:right="85"/>
              <w:spacing w:after="0"/>
              <w:rPr>
                <w:sz w:val="20"/>
                <w:szCs w:val="20"/>
                <w:color w:val="auto"/>
              </w:rPr>
            </w:pPr>
            <w:r>
              <w:rPr>
                <w:rFonts w:ascii="Arial" w:cs="Arial" w:eastAsia="Arial" w:hAnsi="Arial"/>
                <w:sz w:val="18"/>
                <w:szCs w:val="18"/>
                <w:b w:val="1"/>
                <w:bCs w:val="1"/>
                <w:color w:val="auto"/>
              </w:rPr>
              <w:t>$</w:t>
            </w: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0.76</w:t>
            </w:r>
          </w:p>
        </w:tc>
        <w:tc>
          <w:tcPr>
            <w:tcW w:w="16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0.77</w:t>
            </w:r>
          </w:p>
        </w:tc>
        <w:tc>
          <w:tcPr>
            <w:tcW w:w="520" w:type="dxa"/>
            <w:vAlign w:val="bottom"/>
            <w:gridSpan w:val="2"/>
          </w:tcPr>
          <w:p>
            <w:pPr>
              <w:jc w:val="right"/>
              <w:ind w:right="70"/>
              <w:spacing w:after="0"/>
              <w:rPr>
                <w:sz w:val="20"/>
                <w:szCs w:val="20"/>
                <w:color w:val="auto"/>
              </w:rPr>
            </w:pPr>
            <w:r>
              <w:rPr>
                <w:rFonts w:ascii="Arial" w:cs="Arial" w:eastAsia="Arial" w:hAnsi="Arial"/>
                <w:sz w:val="18"/>
                <w:szCs w:val="18"/>
                <w:b w:val="1"/>
                <w:bCs w:val="1"/>
                <w:color w:val="auto"/>
              </w:rPr>
              <w:t>$</w:t>
            </w: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1.78</w:t>
            </w:r>
          </w:p>
        </w:tc>
        <w:tc>
          <w:tcPr>
            <w:tcW w:w="280" w:type="dxa"/>
            <w:vAlign w:val="bottom"/>
          </w:tcPr>
          <w:p>
            <w:pPr>
              <w:spacing w:after="0"/>
              <w:rPr>
                <w:sz w:val="18"/>
                <w:szCs w:val="18"/>
                <w:color w:val="auto"/>
              </w:rPr>
            </w:pPr>
          </w:p>
        </w:tc>
        <w:tc>
          <w:tcPr>
            <w:tcW w:w="260" w:type="dxa"/>
            <w:vAlign w:val="bottom"/>
            <w:gridSpan w:val="2"/>
          </w:tcPr>
          <w:p>
            <w:pPr>
              <w:jc w:val="right"/>
              <w:ind w:right="130"/>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1.44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Income from discontinued operations, net of related income taxes</w:t>
            </w:r>
          </w:p>
        </w:tc>
        <w:tc>
          <w:tcPr>
            <w:tcW w:w="6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0.05</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¾</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500" w:type="dxa"/>
            <w:vAlign w:val="bottom"/>
          </w:tcPr>
          <w:p>
            <w:pPr>
              <w:ind w:left="160"/>
              <w:spacing w:after="0"/>
              <w:rPr>
                <w:sz w:val="20"/>
                <w:szCs w:val="20"/>
                <w:color w:val="auto"/>
              </w:rPr>
            </w:pPr>
            <w:r>
              <w:rPr>
                <w:rFonts w:ascii="Arial" w:cs="Arial" w:eastAsia="Arial" w:hAnsi="Arial"/>
                <w:sz w:val="18"/>
                <w:szCs w:val="18"/>
                <w:color w:val="auto"/>
              </w:rPr>
              <w:t>Net income</w:t>
            </w:r>
          </w:p>
        </w:tc>
        <w:tc>
          <w:tcPr>
            <w:tcW w:w="620" w:type="dxa"/>
            <w:vAlign w:val="bottom"/>
          </w:tcPr>
          <w:p>
            <w:pPr>
              <w:spacing w:after="0"/>
              <w:rPr>
                <w:sz w:val="18"/>
                <w:szCs w:val="18"/>
                <w:color w:val="auto"/>
              </w:rPr>
            </w:pPr>
          </w:p>
        </w:tc>
        <w:tc>
          <w:tcPr>
            <w:tcW w:w="24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0.76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0.82</w:t>
            </w:r>
          </w:p>
        </w:tc>
        <w:tc>
          <w:tcPr>
            <w:tcW w:w="260" w:type="dxa"/>
            <w:vAlign w:val="bottom"/>
          </w:tcPr>
          <w:p>
            <w:pPr>
              <w:spacing w:after="0"/>
              <w:rPr>
                <w:sz w:val="18"/>
                <w:szCs w:val="18"/>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1.78</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0"/>
                <w:szCs w:val="10"/>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5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vMerge w:val="restart"/>
          </w:tcPr>
          <w:p>
            <w:pPr>
              <w:jc w:val="center"/>
              <w:ind w:right="337"/>
              <w:spacing w:after="0"/>
              <w:rPr>
                <w:sz w:val="20"/>
                <w:szCs w:val="20"/>
                <w:color w:val="auto"/>
              </w:rPr>
            </w:pPr>
            <w:r>
              <w:rPr>
                <w:rFonts w:ascii="Arial" w:cs="Arial" w:eastAsia="Arial" w:hAnsi="Arial"/>
                <w:sz w:val="14"/>
                <w:szCs w:val="14"/>
                <w:b w:val="1"/>
                <w:bCs w:val="1"/>
                <w:color w:val="auto"/>
                <w:w w:val="89"/>
              </w:rPr>
              <w:t>Series A</w:t>
            </w:r>
          </w:p>
        </w:tc>
        <w:tc>
          <w:tcPr>
            <w:tcW w:w="880" w:type="dxa"/>
            <w:vAlign w:val="bottom"/>
            <w:vMerge w:val="restart"/>
          </w:tcPr>
          <w:p>
            <w:pPr>
              <w:jc w:val="center"/>
              <w:ind w:right="137"/>
              <w:spacing w:after="0"/>
              <w:rPr>
                <w:sz w:val="20"/>
                <w:szCs w:val="20"/>
                <w:color w:val="auto"/>
              </w:rPr>
            </w:pPr>
            <w:r>
              <w:rPr>
                <w:rFonts w:ascii="Arial" w:cs="Arial" w:eastAsia="Arial" w:hAnsi="Arial"/>
                <w:sz w:val="14"/>
                <w:szCs w:val="14"/>
                <w:b w:val="1"/>
                <w:bCs w:val="1"/>
                <w:color w:val="auto"/>
                <w:w w:val="89"/>
              </w:rPr>
              <w:t>Series B</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6"/>
              </w:rPr>
              <w:t>Additional</w:t>
            </w:r>
          </w:p>
        </w:tc>
        <w:tc>
          <w:tcPr>
            <w:tcW w:w="9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40" w:type="dxa"/>
            <w:vAlign w:val="bottom"/>
          </w:tcPr>
          <w:p>
            <w:pPr>
              <w:jc w:val="center"/>
              <w:ind w:right="118"/>
              <w:spacing w:after="0"/>
              <w:rPr>
                <w:sz w:val="20"/>
                <w:szCs w:val="20"/>
                <w:color w:val="auto"/>
              </w:rPr>
            </w:pPr>
            <w:r>
              <w:rPr>
                <w:rFonts w:ascii="Arial" w:cs="Arial" w:eastAsia="Arial" w:hAnsi="Arial"/>
                <w:sz w:val="14"/>
                <w:szCs w:val="14"/>
                <w:b w:val="1"/>
                <w:bCs w:val="1"/>
                <w:color w:val="auto"/>
                <w:w w:val="93"/>
              </w:rPr>
              <w:t>Accumulated</w:t>
            </w:r>
          </w:p>
        </w:tc>
        <w:tc>
          <w:tcPr>
            <w:tcW w:w="9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89"/>
              </w:rPr>
              <w:t>Total</w:t>
            </w:r>
          </w:p>
        </w:tc>
        <w:tc>
          <w:tcPr>
            <w:tcW w:w="0" w:type="dxa"/>
            <w:vAlign w:val="bottom"/>
          </w:tcPr>
          <w:p>
            <w:pPr>
              <w:spacing w:after="0"/>
              <w:rPr>
                <w:sz w:val="1"/>
                <w:szCs w:val="1"/>
                <w:color w:val="auto"/>
              </w:rPr>
            </w:pPr>
          </w:p>
        </w:tc>
      </w:tr>
      <w:tr>
        <w:trPr>
          <w:trHeight w:val="135"/>
        </w:trPr>
        <w:tc>
          <w:tcPr>
            <w:tcW w:w="2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vMerge w:val="continue"/>
          </w:tcPr>
          <w:p>
            <w:pPr>
              <w:spacing w:after="0"/>
              <w:rPr>
                <w:sz w:val="11"/>
                <w:szCs w:val="11"/>
                <w:color w:val="auto"/>
              </w:rPr>
            </w:pPr>
          </w:p>
        </w:tc>
        <w:tc>
          <w:tcPr>
            <w:tcW w:w="88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vMerge w:val="restart"/>
          </w:tcPr>
          <w:p>
            <w:pPr>
              <w:jc w:val="right"/>
              <w:ind w:right="115"/>
              <w:spacing w:after="0"/>
              <w:rPr>
                <w:sz w:val="20"/>
                <w:szCs w:val="20"/>
                <w:color w:val="auto"/>
              </w:rPr>
            </w:pPr>
            <w:r>
              <w:rPr>
                <w:rFonts w:ascii="Arial" w:cs="Arial" w:eastAsia="Arial" w:hAnsi="Arial"/>
                <w:sz w:val="14"/>
                <w:szCs w:val="14"/>
                <w:b w:val="1"/>
                <w:bCs w:val="1"/>
                <w:color w:val="auto"/>
                <w:w w:val="88"/>
              </w:rPr>
              <w:t>Common</w:t>
            </w:r>
          </w:p>
        </w:tc>
        <w:tc>
          <w:tcPr>
            <w:tcW w:w="1040" w:type="dxa"/>
            <w:vAlign w:val="bottom"/>
            <w:vMerge w:val="continue"/>
          </w:tcPr>
          <w:p>
            <w:pPr>
              <w:spacing w:after="0"/>
              <w:rPr>
                <w:sz w:val="11"/>
                <w:szCs w:val="11"/>
                <w:color w:val="auto"/>
              </w:rPr>
            </w:pPr>
          </w:p>
        </w:tc>
        <w:tc>
          <w:tcPr>
            <w:tcW w:w="900" w:type="dxa"/>
            <w:vAlign w:val="bottom"/>
            <w:vMerge w:val="restart"/>
          </w:tcPr>
          <w:p>
            <w:pPr>
              <w:jc w:val="right"/>
              <w:ind w:right="75"/>
              <w:spacing w:after="0"/>
              <w:rPr>
                <w:sz w:val="20"/>
                <w:szCs w:val="20"/>
                <w:color w:val="auto"/>
              </w:rPr>
            </w:pPr>
            <w:r>
              <w:rPr>
                <w:rFonts w:ascii="Arial" w:cs="Arial" w:eastAsia="Arial" w:hAnsi="Arial"/>
                <w:sz w:val="14"/>
                <w:szCs w:val="14"/>
                <w:b w:val="1"/>
                <w:bCs w:val="1"/>
                <w:color w:val="auto"/>
              </w:rPr>
              <w:t>Retained</w:t>
            </w:r>
          </w:p>
        </w:tc>
        <w:tc>
          <w:tcPr>
            <w:tcW w:w="200" w:type="dxa"/>
            <w:vAlign w:val="bottom"/>
          </w:tcPr>
          <w:p>
            <w:pPr>
              <w:spacing w:after="0"/>
              <w:rPr>
                <w:sz w:val="11"/>
                <w:szCs w:val="11"/>
                <w:color w:val="auto"/>
              </w:rPr>
            </w:pPr>
          </w:p>
        </w:tc>
        <w:tc>
          <w:tcPr>
            <w:tcW w:w="1140" w:type="dxa"/>
            <w:vAlign w:val="bottom"/>
          </w:tcPr>
          <w:p>
            <w:pPr>
              <w:jc w:val="center"/>
              <w:ind w:right="98"/>
              <w:spacing w:after="0" w:line="135" w:lineRule="exact"/>
              <w:rPr>
                <w:sz w:val="20"/>
                <w:szCs w:val="20"/>
                <w:color w:val="auto"/>
              </w:rPr>
            </w:pPr>
            <w:r>
              <w:rPr>
                <w:rFonts w:ascii="Arial" w:cs="Arial" w:eastAsia="Arial" w:hAnsi="Arial"/>
                <w:sz w:val="14"/>
                <w:szCs w:val="14"/>
                <w:b w:val="1"/>
                <w:bCs w:val="1"/>
                <w:color w:val="auto"/>
                <w:w w:val="91"/>
              </w:rPr>
              <w:t>other</w:t>
            </w:r>
          </w:p>
        </w:tc>
        <w:tc>
          <w:tcPr>
            <w:tcW w:w="940" w:type="dxa"/>
            <w:vAlign w:val="bottom"/>
            <w:vMerge w:val="restart"/>
          </w:tcPr>
          <w:p>
            <w:pPr>
              <w:jc w:val="right"/>
              <w:ind w:right="135"/>
              <w:spacing w:after="0"/>
              <w:rPr>
                <w:sz w:val="20"/>
                <w:szCs w:val="20"/>
                <w:color w:val="auto"/>
              </w:rPr>
            </w:pPr>
            <w:r>
              <w:rPr>
                <w:rFonts w:ascii="Arial" w:cs="Arial" w:eastAsia="Arial" w:hAnsi="Arial"/>
                <w:sz w:val="14"/>
                <w:szCs w:val="14"/>
                <w:b w:val="1"/>
                <w:bCs w:val="1"/>
                <w:color w:val="auto"/>
              </w:rPr>
              <w:t>Treasury</w:t>
            </w:r>
          </w:p>
        </w:tc>
        <w:tc>
          <w:tcPr>
            <w:tcW w:w="180" w:type="dxa"/>
            <w:vAlign w:val="bottom"/>
          </w:tcPr>
          <w:p>
            <w:pPr>
              <w:spacing w:after="0"/>
              <w:rPr>
                <w:sz w:val="11"/>
                <w:szCs w:val="11"/>
                <w:color w:val="auto"/>
              </w:rPr>
            </w:pPr>
          </w:p>
        </w:tc>
        <w:tc>
          <w:tcPr>
            <w:tcW w:w="118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jc w:val="center"/>
              <w:ind w:right="337"/>
              <w:spacing w:after="0" w:line="135" w:lineRule="exact"/>
              <w:rPr>
                <w:sz w:val="20"/>
                <w:szCs w:val="20"/>
                <w:color w:val="auto"/>
              </w:rPr>
            </w:pPr>
            <w:r>
              <w:rPr>
                <w:rFonts w:ascii="Arial" w:cs="Arial" w:eastAsia="Arial" w:hAnsi="Arial"/>
                <w:sz w:val="14"/>
                <w:szCs w:val="14"/>
                <w:b w:val="1"/>
                <w:bCs w:val="1"/>
                <w:color w:val="auto"/>
                <w:w w:val="94"/>
              </w:rPr>
              <w:t>preferred</w:t>
            </w:r>
          </w:p>
        </w:tc>
        <w:tc>
          <w:tcPr>
            <w:tcW w:w="880" w:type="dxa"/>
            <w:vAlign w:val="bottom"/>
          </w:tcPr>
          <w:p>
            <w:pPr>
              <w:jc w:val="center"/>
              <w:ind w:right="137"/>
              <w:spacing w:after="0" w:line="135" w:lineRule="exact"/>
              <w:rPr>
                <w:sz w:val="20"/>
                <w:szCs w:val="20"/>
                <w:color w:val="auto"/>
              </w:rPr>
            </w:pPr>
            <w:r>
              <w:rPr>
                <w:rFonts w:ascii="Arial" w:cs="Arial" w:eastAsia="Arial" w:hAnsi="Arial"/>
                <w:sz w:val="14"/>
                <w:szCs w:val="14"/>
                <w:b w:val="1"/>
                <w:bCs w:val="1"/>
                <w:color w:val="auto"/>
                <w:w w:val="94"/>
              </w:rPr>
              <w:t>preferred</w:t>
            </w:r>
          </w:p>
        </w:tc>
        <w:tc>
          <w:tcPr>
            <w:tcW w:w="180" w:type="dxa"/>
            <w:vAlign w:val="bottom"/>
          </w:tcPr>
          <w:p>
            <w:pPr>
              <w:spacing w:after="0"/>
              <w:rPr>
                <w:sz w:val="11"/>
                <w:szCs w:val="11"/>
                <w:color w:val="auto"/>
              </w:rPr>
            </w:pPr>
          </w:p>
        </w:tc>
        <w:tc>
          <w:tcPr>
            <w:tcW w:w="760" w:type="dxa"/>
            <w:vAlign w:val="bottom"/>
            <w:vMerge w:val="continue"/>
          </w:tcPr>
          <w:p>
            <w:pPr>
              <w:spacing w:after="0"/>
              <w:rPr>
                <w:sz w:val="11"/>
                <w:szCs w:val="11"/>
                <w:color w:val="auto"/>
              </w:rPr>
            </w:pPr>
          </w:p>
        </w:tc>
        <w:tc>
          <w:tcPr>
            <w:tcW w:w="10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5"/>
              </w:rPr>
              <w:t>paid-in</w:t>
            </w:r>
          </w:p>
        </w:tc>
        <w:tc>
          <w:tcPr>
            <w:tcW w:w="900" w:type="dxa"/>
            <w:vAlign w:val="bottom"/>
            <w:vMerge w:val="continue"/>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tcPr>
          <w:p>
            <w:pPr>
              <w:jc w:val="center"/>
              <w:ind w:right="98"/>
              <w:spacing w:after="0" w:line="135" w:lineRule="exact"/>
              <w:rPr>
                <w:sz w:val="20"/>
                <w:szCs w:val="20"/>
                <w:color w:val="auto"/>
              </w:rPr>
            </w:pPr>
            <w:r>
              <w:rPr>
                <w:rFonts w:ascii="Arial" w:cs="Arial" w:eastAsia="Arial" w:hAnsi="Arial"/>
                <w:sz w:val="14"/>
                <w:szCs w:val="14"/>
                <w:b w:val="1"/>
                <w:bCs w:val="1"/>
                <w:color w:val="auto"/>
                <w:w w:val="89"/>
              </w:rPr>
              <w:t>comprehensive</w:t>
            </w:r>
          </w:p>
        </w:tc>
        <w:tc>
          <w:tcPr>
            <w:tcW w:w="94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118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0"/>
              </w:rPr>
              <w:t>stockholders’</w:t>
            </w:r>
          </w:p>
        </w:tc>
        <w:tc>
          <w:tcPr>
            <w:tcW w:w="0" w:type="dxa"/>
            <w:vAlign w:val="bottom"/>
          </w:tcPr>
          <w:p>
            <w:pPr>
              <w:spacing w:after="0"/>
              <w:rPr>
                <w:sz w:val="1"/>
                <w:szCs w:val="1"/>
                <w:color w:val="auto"/>
              </w:rPr>
            </w:pPr>
          </w:p>
        </w:tc>
      </w:tr>
      <w:tr>
        <w:trPr>
          <w:trHeight w:val="162"/>
        </w:trPr>
        <w:tc>
          <w:tcPr>
            <w:tcW w:w="2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jc w:val="center"/>
              <w:ind w:right="357"/>
              <w:spacing w:after="0"/>
              <w:rPr>
                <w:sz w:val="20"/>
                <w:szCs w:val="20"/>
                <w:color w:val="auto"/>
              </w:rPr>
            </w:pPr>
            <w:r>
              <w:rPr>
                <w:rFonts w:ascii="Arial" w:cs="Arial" w:eastAsia="Arial" w:hAnsi="Arial"/>
                <w:sz w:val="14"/>
                <w:szCs w:val="14"/>
                <w:b w:val="1"/>
                <w:bCs w:val="1"/>
                <w:color w:val="auto"/>
                <w:w w:val="87"/>
              </w:rPr>
              <w:t>stock</w:t>
            </w:r>
          </w:p>
        </w:tc>
        <w:tc>
          <w:tcPr>
            <w:tcW w:w="880" w:type="dxa"/>
            <w:vAlign w:val="bottom"/>
          </w:tcPr>
          <w:p>
            <w:pPr>
              <w:jc w:val="center"/>
              <w:ind w:right="157"/>
              <w:spacing w:after="0"/>
              <w:rPr>
                <w:sz w:val="20"/>
                <w:szCs w:val="20"/>
                <w:color w:val="auto"/>
              </w:rPr>
            </w:pPr>
            <w:r>
              <w:rPr>
                <w:rFonts w:ascii="Arial" w:cs="Arial" w:eastAsia="Arial" w:hAnsi="Arial"/>
                <w:sz w:val="14"/>
                <w:szCs w:val="14"/>
                <w:b w:val="1"/>
                <w:bCs w:val="1"/>
                <w:color w:val="auto"/>
                <w:w w:val="87"/>
              </w:rPr>
              <w:t>stock</w:t>
            </w:r>
          </w:p>
        </w:tc>
        <w:tc>
          <w:tcPr>
            <w:tcW w:w="180" w:type="dxa"/>
            <w:vAlign w:val="bottom"/>
          </w:tcPr>
          <w:p>
            <w:pPr>
              <w:spacing w:after="0"/>
              <w:rPr>
                <w:sz w:val="14"/>
                <w:szCs w:val="14"/>
                <w:color w:val="auto"/>
              </w:rPr>
            </w:pPr>
          </w:p>
        </w:tc>
        <w:tc>
          <w:tcPr>
            <w:tcW w:w="760" w:type="dxa"/>
            <w:vAlign w:val="bottom"/>
          </w:tcPr>
          <w:p>
            <w:pPr>
              <w:jc w:val="right"/>
              <w:ind w:right="235"/>
              <w:spacing w:after="0"/>
              <w:rPr>
                <w:sz w:val="20"/>
                <w:szCs w:val="20"/>
                <w:color w:val="auto"/>
              </w:rPr>
            </w:pPr>
            <w:r>
              <w:rPr>
                <w:rFonts w:ascii="Arial" w:cs="Arial" w:eastAsia="Arial" w:hAnsi="Arial"/>
                <w:sz w:val="14"/>
                <w:szCs w:val="14"/>
                <w:b w:val="1"/>
                <w:bCs w:val="1"/>
                <w:color w:val="auto"/>
              </w:rPr>
              <w:t>stock</w:t>
            </w: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94"/>
              </w:rPr>
              <w:t>capital</w:t>
            </w:r>
          </w:p>
        </w:tc>
        <w:tc>
          <w:tcPr>
            <w:tcW w:w="900" w:type="dxa"/>
            <w:vAlign w:val="bottom"/>
          </w:tcPr>
          <w:p>
            <w:pPr>
              <w:jc w:val="right"/>
              <w:ind w:right="95"/>
              <w:spacing w:after="0"/>
              <w:rPr>
                <w:sz w:val="20"/>
                <w:szCs w:val="20"/>
                <w:color w:val="auto"/>
              </w:rPr>
            </w:pPr>
            <w:r>
              <w:rPr>
                <w:rFonts w:ascii="Arial" w:cs="Arial" w:eastAsia="Arial" w:hAnsi="Arial"/>
                <w:sz w:val="14"/>
                <w:szCs w:val="14"/>
                <w:b w:val="1"/>
                <w:bCs w:val="1"/>
                <w:color w:val="auto"/>
              </w:rPr>
              <w:t>earnings</w:t>
            </w:r>
          </w:p>
        </w:tc>
        <w:tc>
          <w:tcPr>
            <w:tcW w:w="200" w:type="dxa"/>
            <w:vAlign w:val="bottom"/>
          </w:tcPr>
          <w:p>
            <w:pPr>
              <w:spacing w:after="0"/>
              <w:rPr>
                <w:sz w:val="14"/>
                <w:szCs w:val="14"/>
                <w:color w:val="auto"/>
              </w:rPr>
            </w:pPr>
          </w:p>
        </w:tc>
        <w:tc>
          <w:tcPr>
            <w:tcW w:w="1140" w:type="dxa"/>
            <w:vAlign w:val="bottom"/>
          </w:tcPr>
          <w:p>
            <w:pPr>
              <w:jc w:val="center"/>
              <w:ind w:right="98"/>
              <w:spacing w:after="0"/>
              <w:rPr>
                <w:sz w:val="20"/>
                <w:szCs w:val="20"/>
                <w:color w:val="auto"/>
              </w:rPr>
            </w:pPr>
            <w:r>
              <w:rPr>
                <w:rFonts w:ascii="Arial" w:cs="Arial" w:eastAsia="Arial" w:hAnsi="Arial"/>
                <w:sz w:val="14"/>
                <w:szCs w:val="14"/>
                <w:b w:val="1"/>
                <w:bCs w:val="1"/>
                <w:color w:val="auto"/>
                <w:w w:val="89"/>
              </w:rPr>
              <w:t>income</w:t>
            </w:r>
          </w:p>
        </w:tc>
        <w:tc>
          <w:tcPr>
            <w:tcW w:w="940" w:type="dxa"/>
            <w:vAlign w:val="bottom"/>
          </w:tcPr>
          <w:p>
            <w:pPr>
              <w:jc w:val="right"/>
              <w:ind w:right="255"/>
              <w:spacing w:after="0"/>
              <w:rPr>
                <w:sz w:val="20"/>
                <w:szCs w:val="20"/>
                <w:color w:val="auto"/>
              </w:rPr>
            </w:pPr>
            <w:r>
              <w:rPr>
                <w:rFonts w:ascii="Arial" w:cs="Arial" w:eastAsia="Arial" w:hAnsi="Arial"/>
                <w:sz w:val="14"/>
                <w:szCs w:val="14"/>
                <w:b w:val="1"/>
                <w:bCs w:val="1"/>
                <w:color w:val="auto"/>
              </w:rPr>
              <w:t>stock</w:t>
            </w:r>
          </w:p>
        </w:tc>
        <w:tc>
          <w:tcPr>
            <w:tcW w:w="180" w:type="dxa"/>
            <w:vAlign w:val="bottom"/>
          </w:tcPr>
          <w:p>
            <w:pPr>
              <w:spacing w:after="0"/>
              <w:rPr>
                <w:sz w:val="14"/>
                <w:szCs w:val="14"/>
                <w:color w:val="auto"/>
              </w:rPr>
            </w:pPr>
          </w:p>
        </w:tc>
        <w:tc>
          <w:tcPr>
            <w:tcW w:w="11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equity</w:t>
            </w:r>
          </w:p>
        </w:tc>
        <w:tc>
          <w:tcPr>
            <w:tcW w:w="0" w:type="dxa"/>
            <w:vAlign w:val="bottom"/>
          </w:tcPr>
          <w:p>
            <w:pPr>
              <w:spacing w:after="0"/>
              <w:rPr>
                <w:sz w:val="1"/>
                <w:szCs w:val="1"/>
                <w:color w:val="auto"/>
              </w:rPr>
            </w:pPr>
          </w:p>
        </w:tc>
      </w:tr>
      <w:tr>
        <w:trPr>
          <w:trHeight w:val="129"/>
        </w:trPr>
        <w:tc>
          <w:tcPr>
            <w:tcW w:w="2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1940" w:type="dxa"/>
            <w:vAlign w:val="bottom"/>
            <w:tcBorders>
              <w:top w:val="single" w:sz="8" w:color="auto"/>
            </w:tcBorders>
            <w:gridSpan w:val="2"/>
          </w:tcPr>
          <w:p>
            <w:pPr>
              <w:jc w:val="right"/>
              <w:ind w:right="275"/>
              <w:spacing w:after="0" w:line="129" w:lineRule="exact"/>
              <w:rPr>
                <w:sz w:val="20"/>
                <w:szCs w:val="20"/>
                <w:color w:val="auto"/>
              </w:rPr>
            </w:pPr>
            <w:r>
              <w:rPr>
                <w:rFonts w:ascii="Arial" w:cs="Arial" w:eastAsia="Arial" w:hAnsi="Arial"/>
                <w:sz w:val="14"/>
                <w:szCs w:val="14"/>
                <w:b w:val="1"/>
                <w:bCs w:val="1"/>
                <w:color w:val="auto"/>
              </w:rPr>
              <w:t>(in millions)</w:t>
            </w:r>
          </w:p>
        </w:tc>
        <w:tc>
          <w:tcPr>
            <w:tcW w:w="200" w:type="dxa"/>
            <w:vAlign w:val="bottom"/>
            <w:tcBorders>
              <w:top w:val="single" w:sz="8" w:color="auto"/>
            </w:tcBorders>
          </w:tcPr>
          <w:p>
            <w:pPr>
              <w:spacing w:after="0"/>
              <w:rPr>
                <w:sz w:val="11"/>
                <w:szCs w:val="11"/>
                <w:color w:val="auto"/>
              </w:rPr>
            </w:pPr>
          </w:p>
        </w:tc>
        <w:tc>
          <w:tcPr>
            <w:tcW w:w="114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6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Balances at January 1, 2005</w:t>
            </w: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ind w:left="600"/>
              <w:spacing w:after="0"/>
              <w:rPr>
                <w:sz w:val="20"/>
                <w:szCs w:val="20"/>
                <w:color w:val="auto"/>
              </w:rPr>
            </w:pPr>
            <w:r>
              <w:rPr>
                <w:rFonts w:ascii="Arial" w:cs="Arial" w:eastAsia="Arial" w:hAnsi="Arial"/>
                <w:sz w:val="18"/>
                <w:szCs w:val="18"/>
                <w:color w:val="auto"/>
              </w:rPr>
              <w:t>—  $</w:t>
            </w:r>
          </w:p>
        </w:tc>
        <w:tc>
          <w:tcPr>
            <w:tcW w:w="88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3.8</w:t>
            </w:r>
          </w:p>
        </w:tc>
        <w:tc>
          <w:tcPr>
            <w:tcW w:w="1040" w:type="dxa"/>
            <w:vAlign w:val="bottom"/>
            <w:shd w:val="clear" w:color="auto" w:fill="CCEEFF"/>
          </w:tcPr>
          <w:p>
            <w:pPr>
              <w:jc w:val="right"/>
              <w:ind w:right="18"/>
              <w:spacing w:after="0"/>
              <w:rPr>
                <w:sz w:val="20"/>
                <w:szCs w:val="20"/>
                <w:color w:val="auto"/>
              </w:rPr>
            </w:pPr>
            <w:r>
              <w:rPr>
                <w:rFonts w:ascii="Arial" w:cs="Arial" w:eastAsia="Arial" w:hAnsi="Arial"/>
                <w:sz w:val="18"/>
                <w:szCs w:val="18"/>
                <w:color w:val="auto"/>
              </w:rPr>
              <w:t>$  7,269.4</w:t>
            </w:r>
          </w:p>
        </w:tc>
        <w:tc>
          <w:tcPr>
            <w:tcW w:w="9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$ 1,289.5</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1,313.3</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 (2,331.7)</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7,544.3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00" w:type="dxa"/>
            <w:vAlign w:val="bottom"/>
          </w:tcPr>
          <w:p>
            <w:pPr>
              <w:spacing w:after="0"/>
              <w:rPr>
                <w:sz w:val="20"/>
                <w:szCs w:val="20"/>
                <w:color w:val="auto"/>
              </w:rPr>
            </w:pPr>
            <w:r>
              <w:rPr>
                <w:rFonts w:ascii="Arial" w:cs="Arial" w:eastAsia="Arial" w:hAnsi="Arial"/>
                <w:sz w:val="18"/>
                <w:szCs w:val="18"/>
                <w:color w:val="auto"/>
              </w:rPr>
              <w:t>Series A preferred stock issued</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ind w:left="60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76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8"/>
              <w:spacing w:after="0"/>
              <w:rPr>
                <w:sz w:val="20"/>
                <w:szCs w:val="20"/>
                <w:color w:val="auto"/>
              </w:rPr>
            </w:pPr>
            <w:r>
              <w:rPr>
                <w:rFonts w:ascii="Arial" w:cs="Arial" w:eastAsia="Arial" w:hAnsi="Arial"/>
                <w:sz w:val="18"/>
                <w:szCs w:val="18"/>
                <w:color w:val="auto"/>
              </w:rPr>
              <w:t>296.0</w:t>
            </w:r>
          </w:p>
        </w:tc>
        <w:tc>
          <w:tcPr>
            <w:tcW w:w="90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55"/>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296.0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00" w:type="dxa"/>
            <w:vAlign w:val="bottom"/>
            <w:shd w:val="clear" w:color="auto" w:fill="CCEEFF"/>
          </w:tcPr>
          <w:p>
            <w:pPr>
              <w:spacing w:after="0"/>
              <w:rPr>
                <w:sz w:val="20"/>
                <w:szCs w:val="20"/>
                <w:color w:val="auto"/>
              </w:rPr>
            </w:pPr>
            <w:r>
              <w:rPr>
                <w:rFonts w:ascii="Arial" w:cs="Arial" w:eastAsia="Arial" w:hAnsi="Arial"/>
                <w:sz w:val="18"/>
                <w:szCs w:val="18"/>
                <w:color w:val="auto"/>
              </w:rPr>
              <w:t>Series B preferred stock issued</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0.1</w:t>
            </w:r>
          </w:p>
        </w:tc>
        <w:tc>
          <w:tcPr>
            <w:tcW w:w="18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18"/>
              <w:spacing w:after="0"/>
              <w:rPr>
                <w:sz w:val="20"/>
                <w:szCs w:val="20"/>
                <w:color w:val="auto"/>
              </w:rPr>
            </w:pPr>
            <w:r>
              <w:rPr>
                <w:rFonts w:ascii="Arial" w:cs="Arial" w:eastAsia="Arial" w:hAnsi="Arial"/>
                <w:sz w:val="18"/>
                <w:szCs w:val="18"/>
                <w:color w:val="auto"/>
              </w:rPr>
              <w:t>245.9</w:t>
            </w:r>
          </w:p>
        </w:tc>
        <w:tc>
          <w:tcPr>
            <w:tcW w:w="9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ind w:right="55"/>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00" w:type="dxa"/>
            <w:vAlign w:val="bottom"/>
          </w:tcPr>
          <w:p>
            <w:pPr>
              <w:spacing w:after="0"/>
              <w:rPr>
                <w:sz w:val="20"/>
                <w:szCs w:val="20"/>
                <w:color w:val="auto"/>
              </w:rPr>
            </w:pPr>
            <w:r>
              <w:rPr>
                <w:rFonts w:ascii="Arial" w:cs="Arial" w:eastAsia="Arial" w:hAnsi="Arial"/>
                <w:sz w:val="18"/>
                <w:szCs w:val="18"/>
                <w:color w:val="auto"/>
              </w:rPr>
              <w:t>Common stock issued</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ind w:left="60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76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8"/>
              <w:spacing w:after="0"/>
              <w:rPr>
                <w:sz w:val="20"/>
                <w:szCs w:val="20"/>
                <w:color w:val="auto"/>
              </w:rPr>
            </w:pPr>
            <w:r>
              <w:rPr>
                <w:rFonts w:ascii="Arial" w:cs="Arial" w:eastAsia="Arial" w:hAnsi="Arial"/>
                <w:sz w:val="18"/>
                <w:szCs w:val="18"/>
                <w:color w:val="auto"/>
              </w:rPr>
              <w:t>25.8</w:t>
            </w:r>
          </w:p>
        </w:tc>
        <w:tc>
          <w:tcPr>
            <w:tcW w:w="90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55"/>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25.8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6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Capital transactions of equity</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60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7"/>
              </w:rPr>
              <w:t>method investee, net of related</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6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income taxes</w:t>
            </w:r>
          </w:p>
        </w:tc>
        <w:tc>
          <w:tcPr>
            <w:tcW w:w="2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080" w:type="dxa"/>
            <w:vAlign w:val="bottom"/>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0"/>
                <w:szCs w:val="20"/>
                <w:color w:val="auto"/>
              </w:rPr>
            </w:pPr>
          </w:p>
        </w:tc>
        <w:tc>
          <w:tcPr>
            <w:tcW w:w="76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18"/>
              <w:spacing w:after="0"/>
              <w:rPr>
                <w:sz w:val="20"/>
                <w:szCs w:val="20"/>
                <w:color w:val="auto"/>
              </w:rPr>
            </w:pPr>
            <w:r>
              <w:rPr>
                <w:rFonts w:ascii="Arial" w:cs="Arial" w:eastAsia="Arial" w:hAnsi="Arial"/>
                <w:sz w:val="18"/>
                <w:szCs w:val="18"/>
                <w:color w:val="auto"/>
              </w:rPr>
              <w:t>0.4</w:t>
            </w:r>
          </w:p>
        </w:tc>
        <w:tc>
          <w:tcPr>
            <w:tcW w:w="9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0"/>
                <w:szCs w:val="20"/>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ind w:right="55"/>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0"/>
                <w:szCs w:val="20"/>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0" w:gutter="0" w:footer="0" w:header="0"/>
        </w:sectPr>
      </w:pPr>
    </w:p>
    <w:bookmarkStart w:id="3" w:name="page4"/>
    <w:bookmarkEnd w:id="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720" w:type="dxa"/>
            <w:vAlign w:val="bottom"/>
            <w:gridSpan w:val="2"/>
          </w:tcPr>
          <w:p>
            <w:pPr>
              <w:spacing w:after="0"/>
              <w:rPr>
                <w:sz w:val="20"/>
                <w:szCs w:val="20"/>
                <w:color w:val="auto"/>
              </w:rPr>
            </w:pPr>
            <w:r>
              <w:rPr>
                <w:rFonts w:ascii="Arial" w:cs="Arial" w:eastAsia="Arial" w:hAnsi="Arial"/>
                <w:sz w:val="18"/>
                <w:szCs w:val="18"/>
                <w:color w:val="auto"/>
              </w:rPr>
              <w:t>Stock-based compensation, and</w:t>
            </w: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700" w:type="dxa"/>
            <w:vAlign w:val="bottom"/>
          </w:tcPr>
          <w:p>
            <w:pPr>
              <w:ind w:left="160"/>
              <w:spacing w:after="0"/>
              <w:rPr>
                <w:sz w:val="20"/>
                <w:szCs w:val="20"/>
                <w:color w:val="auto"/>
              </w:rPr>
            </w:pPr>
            <w:r>
              <w:rPr>
                <w:rFonts w:ascii="Arial" w:cs="Arial" w:eastAsia="Arial" w:hAnsi="Arial"/>
                <w:sz w:val="18"/>
                <w:szCs w:val="18"/>
                <w:color w:val="auto"/>
              </w:rPr>
              <w:t>additional related tax benefits</w:t>
            </w: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68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23.0</w:t>
            </w:r>
          </w:p>
        </w:tc>
        <w:tc>
          <w:tcPr>
            <w:tcW w:w="220" w:type="dxa"/>
            <w:vAlign w:val="bottom"/>
          </w:tcPr>
          <w:p>
            <w:pPr>
              <w:spacing w:after="0"/>
              <w:rPr>
                <w:sz w:val="20"/>
                <w:szCs w:val="20"/>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23.0</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00" w:type="dxa"/>
            <w:vAlign w:val="bottom"/>
            <w:shd w:val="clear" w:color="auto" w:fill="CCEEFF"/>
          </w:tcPr>
          <w:p>
            <w:pPr>
              <w:spacing w:after="0"/>
              <w:rPr>
                <w:sz w:val="20"/>
                <w:szCs w:val="20"/>
                <w:color w:val="auto"/>
              </w:rPr>
            </w:pPr>
            <w:r>
              <w:rPr>
                <w:rFonts w:ascii="Arial" w:cs="Arial" w:eastAsia="Arial" w:hAnsi="Arial"/>
                <w:sz w:val="18"/>
                <w:szCs w:val="18"/>
                <w:color w:val="auto"/>
                <w:w w:val="98"/>
              </w:rPr>
              <w:t>Treasury stock acquired, common</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(868.4)</w:t>
            </w:r>
          </w:p>
        </w:tc>
        <w:tc>
          <w:tcPr>
            <w:tcW w:w="3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(868.4)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00" w:type="dxa"/>
            <w:vAlign w:val="bottom"/>
          </w:tcPr>
          <w:p>
            <w:pPr>
              <w:spacing w:after="0"/>
              <w:rPr>
                <w:sz w:val="20"/>
                <w:szCs w:val="20"/>
                <w:color w:val="auto"/>
              </w:rPr>
            </w:pPr>
            <w:r>
              <w:rPr>
                <w:rFonts w:ascii="Arial" w:cs="Arial" w:eastAsia="Arial" w:hAnsi="Arial"/>
                <w:sz w:val="18"/>
                <w:szCs w:val="18"/>
                <w:color w:val="auto"/>
              </w:rPr>
              <w:t>Comprehensive income:</w:t>
            </w: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income</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444.4</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444.4</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00" w:type="dxa"/>
            <w:vAlign w:val="bottom"/>
          </w:tcPr>
          <w:p>
            <w:pPr>
              <w:ind w:left="160"/>
              <w:spacing w:after="0"/>
              <w:rPr>
                <w:sz w:val="20"/>
                <w:szCs w:val="20"/>
                <w:color w:val="auto"/>
              </w:rPr>
            </w:pPr>
            <w:r>
              <w:rPr>
                <w:rFonts w:ascii="Arial" w:cs="Arial" w:eastAsia="Arial" w:hAnsi="Arial"/>
                <w:sz w:val="18"/>
                <w:szCs w:val="18"/>
                <w:color w:val="auto"/>
              </w:rPr>
              <w:t>Net unrealized gains</w:t>
            </w: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8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164.7</w:t>
            </w:r>
          </w:p>
        </w:tc>
        <w:tc>
          <w:tcPr>
            <w:tcW w:w="1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164.7</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700" w:type="dxa"/>
            <w:vAlign w:val="bottom"/>
            <w:shd w:val="clear" w:color="auto" w:fill="CCEEFF"/>
          </w:tcPr>
          <w:p>
            <w:pPr>
              <w:ind w:left="160"/>
              <w:spacing w:after="0" w:line="201" w:lineRule="exact"/>
              <w:rPr>
                <w:sz w:val="20"/>
                <w:szCs w:val="20"/>
                <w:color w:val="auto"/>
              </w:rPr>
            </w:pPr>
            <w:r>
              <w:rPr>
                <w:rFonts w:ascii="Arial" w:cs="Arial" w:eastAsia="Arial" w:hAnsi="Arial"/>
                <w:sz w:val="18"/>
                <w:szCs w:val="18"/>
                <w:color w:val="auto"/>
              </w:rPr>
              <w:t>Provision for deferred income</w:t>
            </w:r>
          </w:p>
        </w:tc>
        <w:tc>
          <w:tcPr>
            <w:tcW w:w="8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7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taxes</w:t>
            </w:r>
          </w:p>
        </w:tc>
        <w:tc>
          <w:tcPr>
            <w:tcW w:w="80" w:type="dxa"/>
            <w:vAlign w:val="bottom"/>
            <w:shd w:val="clear" w:color="auto" w:fill="CCEEFF"/>
          </w:tcPr>
          <w:p>
            <w:pPr>
              <w:spacing w:after="0"/>
              <w:rPr>
                <w:sz w:val="20"/>
                <w:szCs w:val="20"/>
                <w:color w:val="auto"/>
              </w:rPr>
            </w:pPr>
          </w:p>
        </w:tc>
        <w:tc>
          <w:tcPr>
            <w:tcW w:w="420" w:type="dxa"/>
            <w:vAlign w:val="bottom"/>
            <w:shd w:val="clear" w:color="auto" w:fill="CCEEFF"/>
          </w:tcPr>
          <w:p>
            <w:pPr>
              <w:spacing w:after="0"/>
              <w:rPr>
                <w:sz w:val="20"/>
                <w:szCs w:val="20"/>
                <w:color w:val="auto"/>
              </w:rPr>
            </w:pPr>
          </w:p>
        </w:tc>
        <w:tc>
          <w:tcPr>
            <w:tcW w:w="68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20"/>
                <w:szCs w:val="20"/>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0"/>
                <w:szCs w:val="20"/>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0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(41.0)</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(41.0)</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700" w:type="dxa"/>
            <w:vAlign w:val="bottom"/>
          </w:tcPr>
          <w:p>
            <w:pPr>
              <w:ind w:left="160"/>
              <w:spacing w:after="0" w:line="201" w:lineRule="exact"/>
              <w:rPr>
                <w:sz w:val="20"/>
                <w:szCs w:val="20"/>
                <w:color w:val="auto"/>
              </w:rPr>
            </w:pPr>
            <w:r>
              <w:rPr>
                <w:rFonts w:ascii="Arial" w:cs="Arial" w:eastAsia="Arial" w:hAnsi="Arial"/>
                <w:sz w:val="18"/>
                <w:szCs w:val="18"/>
                <w:color w:val="auto"/>
              </w:rPr>
              <w:t>Foreign currency translation</w:t>
            </w:r>
          </w:p>
        </w:tc>
        <w:tc>
          <w:tcPr>
            <w:tcW w:w="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00" w:type="dxa"/>
            <w:vAlign w:val="bottom"/>
          </w:tcPr>
          <w:p>
            <w:pPr>
              <w:ind w:left="340"/>
              <w:spacing w:after="0"/>
              <w:rPr>
                <w:sz w:val="20"/>
                <w:szCs w:val="20"/>
                <w:color w:val="auto"/>
              </w:rPr>
            </w:pPr>
            <w:r>
              <w:rPr>
                <w:rFonts w:ascii="Arial" w:cs="Arial" w:eastAsia="Arial" w:hAnsi="Arial"/>
                <w:sz w:val="18"/>
                <w:szCs w:val="18"/>
                <w:color w:val="auto"/>
              </w:rPr>
              <w:t>adjustment, net of related</w:t>
            </w: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700" w:type="dxa"/>
            <w:vAlign w:val="bottom"/>
            <w:tcBorders>
              <w:bottom w:val="single" w:sz="8" w:color="CCEEFF"/>
            </w:tcBorders>
          </w:tcPr>
          <w:p>
            <w:pPr>
              <w:ind w:left="340"/>
              <w:spacing w:after="0"/>
              <w:rPr>
                <w:sz w:val="20"/>
                <w:szCs w:val="20"/>
                <w:color w:val="auto"/>
              </w:rPr>
            </w:pPr>
            <w:r>
              <w:rPr>
                <w:rFonts w:ascii="Arial" w:cs="Arial" w:eastAsia="Arial" w:hAnsi="Arial"/>
                <w:sz w:val="18"/>
                <w:szCs w:val="18"/>
                <w:color w:val="auto"/>
              </w:rPr>
              <w:t>income taxes</w:t>
            </w:r>
          </w:p>
        </w:tc>
        <w:tc>
          <w:tcPr>
            <w:tcW w:w="80" w:type="dxa"/>
            <w:vAlign w:val="bottom"/>
            <w:tcBorders>
              <w:bottom w:val="single" w:sz="8" w:color="CCEEFF"/>
            </w:tcBorders>
          </w:tcPr>
          <w:p>
            <w:pPr>
              <w:spacing w:after="0"/>
              <w:rPr>
                <w:sz w:val="20"/>
                <w:szCs w:val="20"/>
                <w:color w:val="auto"/>
              </w:rPr>
            </w:pPr>
          </w:p>
        </w:tc>
        <w:tc>
          <w:tcPr>
            <w:tcW w:w="420" w:type="dxa"/>
            <w:vAlign w:val="bottom"/>
            <w:tcBorders>
              <w:bottom w:val="single" w:sz="8" w:color="CCEEFF"/>
            </w:tcBorders>
          </w:tcPr>
          <w:p>
            <w:pPr>
              <w:spacing w:after="0"/>
              <w:rPr>
                <w:sz w:val="20"/>
                <w:szCs w:val="20"/>
                <w:color w:val="auto"/>
              </w:rPr>
            </w:pPr>
          </w:p>
        </w:tc>
        <w:tc>
          <w:tcPr>
            <w:tcW w:w="680" w:type="dxa"/>
            <w:vAlign w:val="bottom"/>
            <w:tcBorders>
              <w:bottom w:val="single" w:sz="8" w:color="CCEEFF"/>
            </w:tcBorders>
            <w:gridSpan w:val="2"/>
          </w:tcPr>
          <w:p>
            <w:pPr>
              <w:ind w:left="3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tcPr>
          <w:p>
            <w:pPr>
              <w:spacing w:after="0"/>
              <w:rPr>
                <w:sz w:val="20"/>
                <w:szCs w:val="20"/>
                <w:color w:val="auto"/>
              </w:rPr>
            </w:pPr>
          </w:p>
        </w:tc>
        <w:tc>
          <w:tcPr>
            <w:tcW w:w="52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tcPr>
          <w:p>
            <w:pPr>
              <w:spacing w:after="0"/>
              <w:rPr>
                <w:sz w:val="20"/>
                <w:szCs w:val="20"/>
                <w:color w:val="auto"/>
              </w:rPr>
            </w:pPr>
          </w:p>
        </w:tc>
        <w:tc>
          <w:tcPr>
            <w:tcW w:w="300" w:type="dxa"/>
            <w:vAlign w:val="bottom"/>
            <w:tcBorders>
              <w:bottom w:val="single" w:sz="8" w:color="CCEEFF"/>
            </w:tcBorders>
          </w:tcPr>
          <w:p>
            <w:pPr>
              <w:spacing w:after="0"/>
              <w:rPr>
                <w:sz w:val="20"/>
                <w:szCs w:val="20"/>
                <w:color w:val="auto"/>
              </w:rPr>
            </w:pPr>
          </w:p>
        </w:tc>
        <w:tc>
          <w:tcPr>
            <w:tcW w:w="660" w:type="dxa"/>
            <w:vAlign w:val="bottom"/>
            <w:tcBorders>
              <w:bottom w:val="single" w:sz="8" w:color="CCEEFF"/>
            </w:tcBorders>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tcPr>
          <w:p>
            <w:pPr>
              <w:spacing w:after="0"/>
              <w:rPr>
                <w:sz w:val="20"/>
                <w:szCs w:val="20"/>
                <w:color w:val="auto"/>
              </w:rPr>
            </w:pPr>
          </w:p>
        </w:tc>
        <w:tc>
          <w:tcPr>
            <w:tcW w:w="64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20"/>
                <w:szCs w:val="20"/>
                <w:color w:val="auto"/>
              </w:rPr>
            </w:pPr>
          </w:p>
        </w:tc>
        <w:tc>
          <w:tcPr>
            <w:tcW w:w="820" w:type="dxa"/>
            <w:vAlign w:val="bottom"/>
            <w:tcBorders>
              <w:bottom w:val="single" w:sz="8" w:color="CCEEFF"/>
            </w:tcBorders>
            <w:gridSpan w:val="2"/>
          </w:tcPr>
          <w:p>
            <w:pPr>
              <w:jc w:val="right"/>
              <w:ind w:right="140"/>
              <w:spacing w:after="0"/>
              <w:rPr>
                <w:sz w:val="20"/>
                <w:szCs w:val="20"/>
                <w:color w:val="auto"/>
              </w:rPr>
            </w:pPr>
            <w:r>
              <w:rPr>
                <w:rFonts w:ascii="Arial" w:cs="Arial" w:eastAsia="Arial" w:hAnsi="Arial"/>
                <w:sz w:val="18"/>
                <w:szCs w:val="18"/>
                <w:color w:val="auto"/>
              </w:rPr>
              <w:t>—</w:t>
            </w:r>
          </w:p>
        </w:tc>
        <w:tc>
          <w:tcPr>
            <w:tcW w:w="40" w:type="dxa"/>
            <w:vAlign w:val="bottom"/>
            <w:tcBorders>
              <w:bottom w:val="single" w:sz="8" w:color="CCEEFF"/>
            </w:tcBorders>
          </w:tcPr>
          <w:p>
            <w:pPr>
              <w:spacing w:after="0"/>
              <w:rPr>
                <w:sz w:val="20"/>
                <w:szCs w:val="20"/>
                <w:color w:val="auto"/>
              </w:rPr>
            </w:pPr>
          </w:p>
        </w:tc>
        <w:tc>
          <w:tcPr>
            <w:tcW w:w="340" w:type="dxa"/>
            <w:vAlign w:val="bottom"/>
            <w:tcBorders>
              <w:bottom w:val="single" w:sz="8" w:color="CCEEFF"/>
            </w:tcBorders>
          </w:tcPr>
          <w:p>
            <w:pPr>
              <w:spacing w:after="0"/>
              <w:rPr>
                <w:sz w:val="20"/>
                <w:szCs w:val="20"/>
                <w:color w:val="auto"/>
              </w:rPr>
            </w:pPr>
          </w:p>
        </w:tc>
        <w:tc>
          <w:tcPr>
            <w:tcW w:w="86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16.9</w:t>
            </w:r>
          </w:p>
        </w:tc>
        <w:tc>
          <w:tcPr>
            <w:tcW w:w="140" w:type="dxa"/>
            <w:vAlign w:val="bottom"/>
            <w:tcBorders>
              <w:bottom w:val="single" w:sz="8" w:color="CCEEFF"/>
            </w:tcBorders>
          </w:tcPr>
          <w:p>
            <w:pPr>
              <w:spacing w:after="0"/>
              <w:rPr>
                <w:sz w:val="20"/>
                <w:szCs w:val="20"/>
                <w:color w:val="auto"/>
              </w:rPr>
            </w:pPr>
          </w:p>
        </w:tc>
        <w:tc>
          <w:tcPr>
            <w:tcW w:w="900" w:type="dxa"/>
            <w:vAlign w:val="bottom"/>
            <w:tcBorders>
              <w:bottom w:val="single" w:sz="8" w:color="CCEEFF"/>
            </w:tcBorders>
            <w:gridSpan w:val="2"/>
          </w:tcPr>
          <w:p>
            <w:pPr>
              <w:jc w:val="right"/>
              <w:ind w:right="1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16.9</w:t>
            </w:r>
          </w:p>
        </w:tc>
        <w:tc>
          <w:tcPr>
            <w:tcW w:w="100" w:type="dxa"/>
            <w:vAlign w:val="bottom"/>
            <w:tcBorders>
              <w:bottom w:val="single" w:sz="8" w:color="CCEEFF"/>
            </w:tcBorders>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70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8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585.0</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270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Balances at June 30, 2005</w:t>
            </w:r>
          </w:p>
        </w:tc>
        <w:tc>
          <w:tcPr>
            <w:tcW w:w="80" w:type="dxa"/>
            <w:vAlign w:val="bottom"/>
            <w:tcBorders>
              <w:bottom w:val="single" w:sz="8" w:color="CCEEFF"/>
            </w:tcBorders>
          </w:tcPr>
          <w:p>
            <w:pPr>
              <w:spacing w:after="0"/>
              <w:rPr>
                <w:sz w:val="21"/>
                <w:szCs w:val="21"/>
                <w:color w:val="auto"/>
              </w:rPr>
            </w:pPr>
          </w:p>
        </w:tc>
        <w:tc>
          <w:tcPr>
            <w:tcW w:w="4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auto"/>
            </w:tcBorders>
          </w:tcPr>
          <w:p>
            <w:pPr>
              <w:ind w:left="320"/>
              <w:spacing w:after="0"/>
              <w:rPr>
                <w:sz w:val="20"/>
                <w:szCs w:val="20"/>
                <w:color w:val="auto"/>
              </w:rPr>
            </w:pPr>
            <w:r>
              <w:rPr>
                <w:rFonts w:ascii="Arial" w:cs="Arial" w:eastAsia="Arial" w:hAnsi="Arial"/>
                <w:sz w:val="18"/>
                <w:szCs w:val="18"/>
                <w:color w:val="auto"/>
                <w:w w:val="99"/>
              </w:rPr>
              <w:t>—</w:t>
            </w:r>
          </w:p>
        </w:tc>
        <w:tc>
          <w:tcPr>
            <w:tcW w:w="160" w:type="dxa"/>
            <w:vAlign w:val="bottom"/>
            <w:tcBorders>
              <w:bottom w:val="single" w:sz="8" w:color="CCEEFF"/>
            </w:tcBorders>
          </w:tcPr>
          <w:p>
            <w:pPr>
              <w:spacing w:after="0"/>
              <w:rPr>
                <w:sz w:val="21"/>
                <w:szCs w:val="21"/>
                <w:color w:val="auto"/>
              </w:rPr>
            </w:pPr>
          </w:p>
        </w:tc>
        <w:tc>
          <w:tcPr>
            <w:tcW w:w="380" w:type="dxa"/>
            <w:vAlign w:val="bottom"/>
            <w:tcBorders>
              <w:bottom w:val="single" w:sz="8" w:color="auto"/>
            </w:tcBorders>
          </w:tcPr>
          <w:p>
            <w:pPr>
              <w:jc w:val="right"/>
              <w:ind w:right="225"/>
              <w:spacing w:after="0"/>
              <w:rPr>
                <w:sz w:val="20"/>
                <w:szCs w:val="20"/>
                <w:color w:val="auto"/>
              </w:rPr>
            </w:pPr>
            <w:r>
              <w:rPr>
                <w:rFonts w:ascii="Arial" w:cs="Arial" w:eastAsia="Arial" w:hAnsi="Arial"/>
                <w:sz w:val="15"/>
                <w:szCs w:val="15"/>
                <w:color w:val="auto"/>
                <w:w w:val="71"/>
              </w:rPr>
              <w:t>$</w:t>
            </w: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200" w:type="dxa"/>
            <w:vAlign w:val="bottom"/>
            <w:tcBorders>
              <w:bottom w:val="single" w:sz="8" w:color="CCEEFF"/>
            </w:tcBorders>
          </w:tcPr>
          <w:p>
            <w:pPr>
              <w:spacing w:after="0"/>
              <w:rPr>
                <w:sz w:val="21"/>
                <w:szCs w:val="21"/>
                <w:color w:val="auto"/>
              </w:rPr>
            </w:pPr>
          </w:p>
        </w:tc>
        <w:tc>
          <w:tcPr>
            <w:tcW w:w="300" w:type="dxa"/>
            <w:vAlign w:val="bottom"/>
            <w:tcBorders>
              <w:bottom w:val="single" w:sz="8" w:color="auto"/>
            </w:tcBorders>
          </w:tcPr>
          <w:p>
            <w:pPr>
              <w:jc w:val="right"/>
              <w:ind w:right="145"/>
              <w:spacing w:after="0"/>
              <w:rPr>
                <w:sz w:val="20"/>
                <w:szCs w:val="20"/>
                <w:color w:val="auto"/>
              </w:rPr>
            </w:pPr>
            <w:r>
              <w:rPr>
                <w:rFonts w:ascii="Arial" w:cs="Arial" w:eastAsia="Arial" w:hAnsi="Arial"/>
                <w:sz w:val="15"/>
                <w:szCs w:val="15"/>
                <w:color w:val="auto"/>
                <w:w w:val="71"/>
              </w:rPr>
              <w:t>$</w:t>
            </w: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w:t>
            </w:r>
          </w:p>
        </w:tc>
        <w:tc>
          <w:tcPr>
            <w:tcW w:w="22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7,860.5</w:t>
            </w:r>
          </w:p>
        </w:tc>
        <w:tc>
          <w:tcPr>
            <w:tcW w:w="220" w:type="dxa"/>
            <w:vAlign w:val="bottom"/>
            <w:tcBorders>
              <w:bottom w:val="single" w:sz="8" w:color="CCEEFF"/>
            </w:tcBorders>
          </w:tcPr>
          <w:p>
            <w:pPr>
              <w:spacing w:after="0"/>
              <w:rPr>
                <w:sz w:val="21"/>
                <w:szCs w:val="21"/>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$ 1,733.9</w:t>
            </w:r>
          </w:p>
        </w:tc>
        <w:tc>
          <w:tcPr>
            <w:tcW w:w="120" w:type="dxa"/>
            <w:vAlign w:val="bottom"/>
            <w:tcBorders>
              <w:bottom w:val="single" w:sz="8" w:color="CCEEFF"/>
            </w:tcBorders>
          </w:tcPr>
          <w:p>
            <w:pPr>
              <w:spacing w:after="0"/>
              <w:rPr>
                <w:sz w:val="21"/>
                <w:szCs w:val="21"/>
                <w:color w:val="auto"/>
              </w:rPr>
            </w:pPr>
          </w:p>
        </w:tc>
        <w:tc>
          <w:tcPr>
            <w:tcW w:w="4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1,453.9</w:t>
            </w:r>
          </w:p>
        </w:tc>
        <w:tc>
          <w:tcPr>
            <w:tcW w:w="140" w:type="dxa"/>
            <w:vAlign w:val="bottom"/>
            <w:tcBorders>
              <w:bottom w:val="single" w:sz="8" w:color="CCEEFF"/>
            </w:tcBorders>
          </w:tcPr>
          <w:p>
            <w:pPr>
              <w:spacing w:after="0"/>
              <w:rPr>
                <w:sz w:val="21"/>
                <w:szCs w:val="21"/>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 (3,200.1</w:t>
            </w:r>
          </w:p>
        </w:tc>
        <w:tc>
          <w:tcPr>
            <w:tcW w:w="160" w:type="dxa"/>
            <w:vAlign w:val="bottom"/>
            <w:tcBorders>
              <w:bottom w:val="single" w:sz="8" w:color="CCEEFF"/>
            </w:tcBorders>
          </w:tcPr>
          <w:p>
            <w:pPr>
              <w:jc w:val="right"/>
              <w:ind w:right="20"/>
              <w:spacing w:after="0"/>
              <w:rPr>
                <w:sz w:val="20"/>
                <w:szCs w:val="20"/>
                <w:color w:val="auto"/>
              </w:rPr>
            </w:pPr>
            <w:r>
              <w:rPr>
                <w:rFonts w:ascii="Arial" w:cs="Arial" w:eastAsia="Arial" w:hAnsi="Arial"/>
                <w:sz w:val="16"/>
                <w:szCs w:val="16"/>
                <w:color w:val="auto"/>
                <w:w w:val="74"/>
              </w:rPr>
              <w:t>)</w:t>
            </w:r>
          </w:p>
        </w:tc>
        <w:tc>
          <w:tcPr>
            <w:tcW w:w="3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7,852.1</w:t>
            </w:r>
          </w:p>
        </w:tc>
        <w:tc>
          <w:tcPr>
            <w:tcW w:w="10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27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700" w:type="dxa"/>
            <w:vAlign w:val="bottom"/>
          </w:tcPr>
          <w:p>
            <w:pPr>
              <w:spacing w:after="0"/>
              <w:rPr>
                <w:sz w:val="20"/>
                <w:szCs w:val="20"/>
                <w:color w:val="auto"/>
              </w:rPr>
            </w:pPr>
            <w:r>
              <w:rPr>
                <w:rFonts w:ascii="Arial" w:cs="Arial" w:eastAsia="Arial" w:hAnsi="Arial"/>
                <w:sz w:val="18"/>
                <w:szCs w:val="18"/>
                <w:b w:val="1"/>
                <w:bCs w:val="1"/>
                <w:color w:val="auto"/>
              </w:rPr>
              <w:t>Balances at January 1, 2006</w:t>
            </w:r>
          </w:p>
        </w:tc>
        <w:tc>
          <w:tcPr>
            <w:tcW w:w="500" w:type="dxa"/>
            <w:vAlign w:val="bottom"/>
            <w:gridSpan w:val="2"/>
          </w:tcPr>
          <w:p>
            <w:pPr>
              <w:jc w:val="right"/>
              <w:ind w:right="230"/>
              <w:spacing w:after="0"/>
              <w:rPr>
                <w:sz w:val="20"/>
                <w:szCs w:val="20"/>
                <w:color w:val="auto"/>
              </w:rPr>
            </w:pPr>
            <w:r>
              <w:rPr>
                <w:rFonts w:ascii="Arial" w:cs="Arial" w:eastAsia="Arial" w:hAnsi="Arial"/>
                <w:sz w:val="18"/>
                <w:szCs w:val="18"/>
                <w:b w:val="1"/>
                <w:bCs w:val="1"/>
                <w:color w:val="auto"/>
              </w:rPr>
              <w:t>$</w:t>
            </w:r>
          </w:p>
        </w:tc>
        <w:tc>
          <w:tcPr>
            <w:tcW w:w="680" w:type="dxa"/>
            <w:vAlign w:val="bottom"/>
            <w:gridSpan w:val="2"/>
          </w:tcPr>
          <w:p>
            <w:pPr>
              <w:ind w:left="320"/>
              <w:spacing w:after="0"/>
              <w:rPr>
                <w:sz w:val="20"/>
                <w:szCs w:val="20"/>
                <w:color w:val="auto"/>
              </w:rPr>
            </w:pPr>
            <w:r>
              <w:rPr>
                <w:rFonts w:ascii="Arial" w:cs="Arial" w:eastAsia="Arial" w:hAnsi="Arial"/>
                <w:sz w:val="18"/>
                <w:szCs w:val="18"/>
                <w:b w:val="1"/>
                <w:bCs w:val="1"/>
                <w:color w:val="auto"/>
              </w:rPr>
              <w:t>—</w:t>
            </w:r>
          </w:p>
        </w:tc>
        <w:tc>
          <w:tcPr>
            <w:tcW w:w="380" w:type="dxa"/>
            <w:vAlign w:val="bottom"/>
          </w:tcPr>
          <w:p>
            <w:pPr>
              <w:jc w:val="right"/>
              <w:ind w:right="225"/>
              <w:spacing w:after="0"/>
              <w:rPr>
                <w:sz w:val="20"/>
                <w:szCs w:val="20"/>
                <w:color w:val="auto"/>
              </w:rPr>
            </w:pPr>
            <w:r>
              <w:rPr>
                <w:rFonts w:ascii="Arial" w:cs="Arial" w:eastAsia="Arial" w:hAnsi="Arial"/>
                <w:sz w:val="15"/>
                <w:szCs w:val="15"/>
                <w:b w:val="1"/>
                <w:bCs w:val="1"/>
                <w:color w:val="auto"/>
                <w:w w:val="71"/>
              </w:rPr>
              <w:t>$</w:t>
            </w:r>
          </w:p>
        </w:tc>
        <w:tc>
          <w:tcPr>
            <w:tcW w:w="52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500" w:type="dxa"/>
            <w:vAlign w:val="bottom"/>
            <w:gridSpan w:val="2"/>
          </w:tcPr>
          <w:p>
            <w:pPr>
              <w:jc w:val="right"/>
              <w:ind w:right="145"/>
              <w:spacing w:after="0"/>
              <w:rPr>
                <w:sz w:val="20"/>
                <w:szCs w:val="20"/>
                <w:color w:val="auto"/>
              </w:rPr>
            </w:pPr>
            <w:r>
              <w:rPr>
                <w:rFonts w:ascii="Arial" w:cs="Arial" w:eastAsia="Arial" w:hAnsi="Arial"/>
                <w:sz w:val="18"/>
                <w:szCs w:val="18"/>
                <w:b w:val="1"/>
                <w:bCs w:val="1"/>
                <w:color w:val="auto"/>
              </w:rPr>
              <w:t>$</w:t>
            </w:r>
          </w:p>
        </w:tc>
        <w:tc>
          <w:tcPr>
            <w:tcW w:w="440" w:type="dxa"/>
            <w:vAlign w:val="bottom"/>
          </w:tcPr>
          <w:p>
            <w:pPr>
              <w:jc w:val="right"/>
              <w:spacing w:after="0"/>
              <w:rPr>
                <w:sz w:val="20"/>
                <w:szCs w:val="20"/>
                <w:color w:val="auto"/>
              </w:rPr>
            </w:pPr>
            <w:r>
              <w:rPr>
                <w:rFonts w:ascii="Arial" w:cs="Arial" w:eastAsia="Arial" w:hAnsi="Arial"/>
                <w:sz w:val="18"/>
                <w:szCs w:val="18"/>
                <w:b w:val="1"/>
                <w:bCs w:val="1"/>
                <w:color w:val="auto"/>
              </w:rPr>
              <w:t>3.8</w:t>
            </w:r>
          </w:p>
        </w:tc>
        <w:tc>
          <w:tcPr>
            <w:tcW w:w="220" w:type="dxa"/>
            <w:vAlign w:val="bottom"/>
          </w:tcPr>
          <w:p>
            <w:pPr>
              <w:spacing w:after="0"/>
              <w:rPr>
                <w:sz w:val="18"/>
                <w:szCs w:val="18"/>
                <w:color w:val="auto"/>
              </w:rPr>
            </w:pPr>
          </w:p>
        </w:tc>
        <w:tc>
          <w:tcPr>
            <w:tcW w:w="180" w:type="dxa"/>
            <w:vAlign w:val="bottom"/>
          </w:tcPr>
          <w:p>
            <w:pPr>
              <w:jc w:val="right"/>
              <w:ind w:right="25"/>
              <w:spacing w:after="0"/>
              <w:rPr>
                <w:sz w:val="20"/>
                <w:szCs w:val="20"/>
                <w:color w:val="auto"/>
              </w:rPr>
            </w:pPr>
            <w:r>
              <w:rPr>
                <w:rFonts w:ascii="Arial" w:cs="Arial" w:eastAsia="Arial" w:hAnsi="Arial"/>
                <w:sz w:val="15"/>
                <w:szCs w:val="15"/>
                <w:b w:val="1"/>
                <w:bCs w:val="1"/>
                <w:color w:val="auto"/>
                <w:w w:val="71"/>
              </w:rPr>
              <w:t>$</w:t>
            </w: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8,000.0</w:t>
            </w:r>
          </w:p>
        </w:tc>
        <w:tc>
          <w:tcPr>
            <w:tcW w:w="920" w:type="dxa"/>
            <w:vAlign w:val="bottom"/>
            <w:gridSpan w:val="2"/>
          </w:tcPr>
          <w:p>
            <w:pPr>
              <w:jc w:val="right"/>
              <w:spacing w:after="0"/>
              <w:rPr>
                <w:sz w:val="20"/>
                <w:szCs w:val="20"/>
                <w:color w:val="auto"/>
              </w:rPr>
            </w:pPr>
            <w:r>
              <w:rPr>
                <w:rFonts w:ascii="Arial" w:cs="Arial" w:eastAsia="Arial" w:hAnsi="Arial"/>
                <w:sz w:val="18"/>
                <w:szCs w:val="18"/>
                <w:b w:val="1"/>
                <w:bCs w:val="1"/>
                <w:color w:val="auto"/>
              </w:rPr>
              <w:t>$ 2,008.6</w:t>
            </w:r>
          </w:p>
        </w:tc>
        <w:tc>
          <w:tcPr>
            <w:tcW w:w="120" w:type="dxa"/>
            <w:vAlign w:val="bottom"/>
          </w:tcPr>
          <w:p>
            <w:pPr>
              <w:spacing w:after="0"/>
              <w:rPr>
                <w:sz w:val="18"/>
                <w:szCs w:val="18"/>
                <w:color w:val="auto"/>
              </w:rPr>
            </w:pPr>
          </w:p>
        </w:tc>
        <w:tc>
          <w:tcPr>
            <w:tcW w:w="380" w:type="dxa"/>
            <w:vAlign w:val="bottom"/>
            <w:gridSpan w:val="2"/>
          </w:tcPr>
          <w:p>
            <w:pPr>
              <w:jc w:val="right"/>
              <w:ind w:right="150"/>
              <w:spacing w:after="0"/>
              <w:rPr>
                <w:sz w:val="20"/>
                <w:szCs w:val="20"/>
                <w:color w:val="auto"/>
              </w:rPr>
            </w:pPr>
            <w:r>
              <w:rPr>
                <w:rFonts w:ascii="Arial" w:cs="Arial" w:eastAsia="Arial" w:hAnsi="Arial"/>
                <w:sz w:val="18"/>
                <w:szCs w:val="18"/>
                <w:b w:val="1"/>
                <w:bCs w:val="1"/>
                <w:color w:val="auto"/>
              </w:rPr>
              <w:t>$</w:t>
            </w: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994.8</w:t>
            </w:r>
          </w:p>
        </w:tc>
        <w:tc>
          <w:tcPr>
            <w:tcW w:w="140" w:type="dxa"/>
            <w:vAlign w:val="bottom"/>
          </w:tcPr>
          <w:p>
            <w:pPr>
              <w:spacing w:after="0"/>
              <w:rPr>
                <w:sz w:val="18"/>
                <w:szCs w:val="18"/>
                <w:color w:val="auto"/>
              </w:rPr>
            </w:pPr>
          </w:p>
        </w:tc>
        <w:tc>
          <w:tcPr>
            <w:tcW w:w="90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w w:val="89"/>
              </w:rPr>
              <w:t>$ (3,200.1)</w:t>
            </w:r>
          </w:p>
        </w:tc>
        <w:tc>
          <w:tcPr>
            <w:tcW w:w="360" w:type="dxa"/>
            <w:vAlign w:val="bottom"/>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7,807.2</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00" w:type="dxa"/>
            <w:vAlign w:val="bottom"/>
            <w:shd w:val="clear" w:color="auto" w:fill="CCEEFF"/>
          </w:tcPr>
          <w:p>
            <w:pPr>
              <w:spacing w:after="0"/>
              <w:rPr>
                <w:sz w:val="20"/>
                <w:szCs w:val="20"/>
                <w:color w:val="auto"/>
              </w:rPr>
            </w:pPr>
            <w:r>
              <w:rPr>
                <w:rFonts w:ascii="Arial" w:cs="Arial" w:eastAsia="Arial" w:hAnsi="Arial"/>
                <w:sz w:val="18"/>
                <w:szCs w:val="18"/>
                <w:color w:val="auto"/>
              </w:rPr>
              <w:t>Common stock issued</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320"/>
              <w:spacing w:after="0"/>
              <w:rPr>
                <w:sz w:val="20"/>
                <w:szCs w:val="20"/>
                <w:color w:val="auto"/>
              </w:rPr>
            </w:pPr>
            <w:r>
              <w:rPr>
                <w:rFonts w:ascii="Arial" w:cs="Arial" w:eastAsia="Arial" w:hAnsi="Arial"/>
                <w:sz w:val="18"/>
                <w:szCs w:val="18"/>
                <w:b w:val="1"/>
                <w:bCs w:val="1"/>
                <w:color w:val="auto"/>
              </w:rPr>
              <w:t>—</w:t>
            </w:r>
          </w:p>
        </w:tc>
        <w:tc>
          <w:tcPr>
            <w:tcW w:w="3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38.3</w:t>
            </w:r>
          </w:p>
        </w:tc>
        <w:tc>
          <w:tcPr>
            <w:tcW w:w="2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3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38.3</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700" w:type="dxa"/>
            <w:vAlign w:val="bottom"/>
          </w:tcPr>
          <w:p>
            <w:pPr>
              <w:spacing w:after="0" w:line="201" w:lineRule="exact"/>
              <w:rPr>
                <w:sz w:val="20"/>
                <w:szCs w:val="20"/>
                <w:color w:val="auto"/>
              </w:rPr>
            </w:pPr>
            <w:r>
              <w:rPr>
                <w:rFonts w:ascii="Arial" w:cs="Arial" w:eastAsia="Arial" w:hAnsi="Arial"/>
                <w:sz w:val="18"/>
                <w:szCs w:val="18"/>
                <w:color w:val="auto"/>
              </w:rPr>
              <w:t>Capital transactions of equity</w:t>
            </w:r>
          </w:p>
        </w:tc>
        <w:tc>
          <w:tcPr>
            <w:tcW w:w="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00" w:type="dxa"/>
            <w:vAlign w:val="bottom"/>
          </w:tcPr>
          <w:p>
            <w:pPr>
              <w:ind w:left="160"/>
              <w:spacing w:after="0"/>
              <w:rPr>
                <w:sz w:val="20"/>
                <w:szCs w:val="20"/>
                <w:color w:val="auto"/>
              </w:rPr>
            </w:pPr>
            <w:r>
              <w:rPr>
                <w:rFonts w:ascii="Arial" w:cs="Arial" w:eastAsia="Arial" w:hAnsi="Arial"/>
                <w:sz w:val="18"/>
                <w:szCs w:val="18"/>
                <w:color w:val="auto"/>
              </w:rPr>
              <w:t>method investee, net of related</w:t>
            </w: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80" w:type="dxa"/>
            <w:vAlign w:val="bottom"/>
            <w:gridSpan w:val="2"/>
            <w:vMerge w:val="restart"/>
          </w:tcPr>
          <w:p>
            <w:pPr>
              <w:ind w:left="320"/>
              <w:spacing w:after="0"/>
              <w:rPr>
                <w:sz w:val="20"/>
                <w:szCs w:val="20"/>
                <w:color w:val="auto"/>
              </w:rPr>
            </w:pPr>
            <w:r>
              <w:rPr>
                <w:rFonts w:ascii="Arial" w:cs="Arial" w:eastAsia="Arial" w:hAnsi="Arial"/>
                <w:sz w:val="18"/>
                <w:szCs w:val="18"/>
                <w:b w:val="1"/>
                <w:bCs w:val="1"/>
                <w:color w:val="auto"/>
              </w:rPr>
              <w:t>—</w:t>
            </w:r>
          </w:p>
        </w:tc>
        <w:tc>
          <w:tcPr>
            <w:tcW w:w="380" w:type="dxa"/>
            <w:vAlign w:val="bottom"/>
          </w:tcPr>
          <w:p>
            <w:pPr>
              <w:spacing w:after="0"/>
              <w:rPr>
                <w:sz w:val="18"/>
                <w:szCs w:val="18"/>
                <w:color w:val="auto"/>
              </w:rPr>
            </w:pPr>
          </w:p>
        </w:tc>
        <w:tc>
          <w:tcPr>
            <w:tcW w:w="5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6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6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0.8</w:t>
            </w:r>
          </w:p>
        </w:tc>
        <w:tc>
          <w:tcPr>
            <w:tcW w:w="220" w:type="dxa"/>
            <w:vAlign w:val="bottom"/>
          </w:tcPr>
          <w:p>
            <w:pPr>
              <w:spacing w:after="0"/>
              <w:rPr>
                <w:sz w:val="18"/>
                <w:szCs w:val="18"/>
                <w:color w:val="auto"/>
              </w:rPr>
            </w:pPr>
          </w:p>
        </w:tc>
        <w:tc>
          <w:tcPr>
            <w:tcW w:w="82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gridSpan w:val="2"/>
            <w:vMerge w:val="restart"/>
          </w:tcPr>
          <w:p>
            <w:pPr>
              <w:jc w:val="right"/>
              <w:ind w:right="160"/>
              <w:spacing w:after="0"/>
              <w:rPr>
                <w:sz w:val="20"/>
                <w:szCs w:val="20"/>
                <w:color w:val="auto"/>
              </w:rPr>
            </w:pPr>
            <w:r>
              <w:rPr>
                <w:rFonts w:ascii="Arial" w:cs="Arial" w:eastAsia="Arial" w:hAnsi="Arial"/>
                <w:sz w:val="18"/>
                <w:szCs w:val="18"/>
                <w:b w:val="1"/>
                <w:bCs w:val="1"/>
                <w:color w:val="auto"/>
              </w:rPr>
              <w:t>—</w:t>
            </w:r>
          </w:p>
        </w:tc>
        <w:tc>
          <w:tcPr>
            <w:tcW w:w="90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18"/>
                <w:szCs w:val="18"/>
                <w:color w:val="auto"/>
              </w:rPr>
            </w:pPr>
          </w:p>
        </w:tc>
        <w:tc>
          <w:tcPr>
            <w:tcW w:w="86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0.8</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700" w:type="dxa"/>
            <w:vAlign w:val="bottom"/>
          </w:tcPr>
          <w:p>
            <w:pPr>
              <w:ind w:left="160"/>
              <w:spacing w:after="0"/>
              <w:rPr>
                <w:sz w:val="20"/>
                <w:szCs w:val="20"/>
                <w:color w:val="auto"/>
              </w:rPr>
            </w:pPr>
            <w:r>
              <w:rPr>
                <w:rFonts w:ascii="Arial" w:cs="Arial" w:eastAsia="Arial" w:hAnsi="Arial"/>
                <w:sz w:val="18"/>
                <w:szCs w:val="18"/>
                <w:color w:val="auto"/>
              </w:rPr>
              <w:t>income taxes</w:t>
            </w: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680" w:type="dxa"/>
            <w:vAlign w:val="bottom"/>
            <w:gridSpan w:val="2"/>
            <w:vMerge w:val="continue"/>
          </w:tcPr>
          <w:p>
            <w:pPr>
              <w:spacing w:after="0"/>
              <w:rPr>
                <w:sz w:val="20"/>
                <w:szCs w:val="20"/>
                <w:color w:val="auto"/>
              </w:rPr>
            </w:pPr>
          </w:p>
        </w:tc>
        <w:tc>
          <w:tcPr>
            <w:tcW w:w="380" w:type="dxa"/>
            <w:vAlign w:val="bottom"/>
          </w:tcPr>
          <w:p>
            <w:pPr>
              <w:spacing w:after="0"/>
              <w:rPr>
                <w:sz w:val="20"/>
                <w:szCs w:val="20"/>
                <w:color w:val="auto"/>
              </w:rPr>
            </w:pPr>
          </w:p>
        </w:tc>
        <w:tc>
          <w:tcPr>
            <w:tcW w:w="520" w:type="dxa"/>
            <w:vAlign w:val="bottom"/>
            <w:vMerge w:val="continue"/>
          </w:tcPr>
          <w:p>
            <w:pPr>
              <w:spacing w:after="0"/>
              <w:rPr>
                <w:sz w:val="20"/>
                <w:szCs w:val="20"/>
                <w:color w:val="auto"/>
              </w:rPr>
            </w:pPr>
          </w:p>
        </w:tc>
        <w:tc>
          <w:tcPr>
            <w:tcW w:w="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60" w:type="dxa"/>
            <w:vAlign w:val="bottom"/>
            <w:gridSpan w:val="2"/>
            <w:vMerge w:val="continue"/>
          </w:tcPr>
          <w:p>
            <w:pPr>
              <w:spacing w:after="0"/>
              <w:rPr>
                <w:sz w:val="20"/>
                <w:szCs w:val="20"/>
                <w:color w:val="auto"/>
              </w:rPr>
            </w:pPr>
          </w:p>
        </w:tc>
        <w:tc>
          <w:tcPr>
            <w:tcW w:w="180" w:type="dxa"/>
            <w:vAlign w:val="bottom"/>
          </w:tcPr>
          <w:p>
            <w:pPr>
              <w:spacing w:after="0"/>
              <w:rPr>
                <w:sz w:val="20"/>
                <w:szCs w:val="20"/>
                <w:color w:val="auto"/>
              </w:rPr>
            </w:pPr>
          </w:p>
        </w:tc>
        <w:tc>
          <w:tcPr>
            <w:tcW w:w="640" w:type="dxa"/>
            <w:vAlign w:val="bottom"/>
            <w:vMerge w:val="continue"/>
          </w:tcPr>
          <w:p>
            <w:pPr>
              <w:spacing w:after="0"/>
              <w:rPr>
                <w:sz w:val="20"/>
                <w:szCs w:val="20"/>
                <w:color w:val="auto"/>
              </w:rPr>
            </w:pPr>
          </w:p>
        </w:tc>
        <w:tc>
          <w:tcPr>
            <w:tcW w:w="220" w:type="dxa"/>
            <w:vAlign w:val="bottom"/>
          </w:tcPr>
          <w:p>
            <w:pPr>
              <w:spacing w:after="0"/>
              <w:rPr>
                <w:sz w:val="20"/>
                <w:szCs w:val="20"/>
                <w:color w:val="auto"/>
              </w:rPr>
            </w:pPr>
          </w:p>
        </w:tc>
        <w:tc>
          <w:tcPr>
            <w:tcW w:w="820" w:type="dxa"/>
            <w:vAlign w:val="bottom"/>
            <w:gridSpan w:val="2"/>
            <w:vMerge w:val="continue"/>
          </w:tcPr>
          <w:p>
            <w:pPr>
              <w:spacing w:after="0"/>
              <w:rPr>
                <w:sz w:val="20"/>
                <w:szCs w:val="20"/>
                <w:color w:val="auto"/>
              </w:rPr>
            </w:pPr>
          </w:p>
        </w:tc>
        <w:tc>
          <w:tcPr>
            <w:tcW w:w="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0" w:type="dxa"/>
            <w:vAlign w:val="bottom"/>
            <w:gridSpan w:val="2"/>
            <w:vMerge w:val="continue"/>
          </w:tcPr>
          <w:p>
            <w:pPr>
              <w:spacing w:after="0"/>
              <w:rPr>
                <w:sz w:val="20"/>
                <w:szCs w:val="20"/>
                <w:color w:val="auto"/>
              </w:rPr>
            </w:pPr>
          </w:p>
        </w:tc>
        <w:tc>
          <w:tcPr>
            <w:tcW w:w="900" w:type="dxa"/>
            <w:vAlign w:val="bottom"/>
            <w:gridSpan w:val="2"/>
            <w:vMerge w:val="continue"/>
          </w:tcPr>
          <w:p>
            <w:pPr>
              <w:spacing w:after="0"/>
              <w:rPr>
                <w:sz w:val="20"/>
                <w:szCs w:val="20"/>
                <w:color w:val="auto"/>
              </w:rPr>
            </w:pPr>
          </w:p>
        </w:tc>
        <w:tc>
          <w:tcPr>
            <w:tcW w:w="360" w:type="dxa"/>
            <w:vAlign w:val="bottom"/>
          </w:tcPr>
          <w:p>
            <w:pPr>
              <w:spacing w:after="0"/>
              <w:rPr>
                <w:sz w:val="20"/>
                <w:szCs w:val="20"/>
                <w:color w:val="auto"/>
              </w:rPr>
            </w:pPr>
          </w:p>
        </w:tc>
        <w:tc>
          <w:tcPr>
            <w:tcW w:w="86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7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Stock-based compensation, and</w:t>
            </w:r>
          </w:p>
        </w:tc>
        <w:tc>
          <w:tcPr>
            <w:tcW w:w="8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680" w:type="dxa"/>
            <w:vAlign w:val="bottom"/>
            <w:gridSpan w:val="2"/>
            <w:vMerge w:val="restart"/>
            <w:shd w:val="clear" w:color="auto" w:fill="CCEEFF"/>
          </w:tcPr>
          <w:p>
            <w:pPr>
              <w:ind w:left="320"/>
              <w:spacing w:after="0"/>
              <w:rPr>
                <w:sz w:val="20"/>
                <w:szCs w:val="20"/>
                <w:color w:val="auto"/>
              </w:rPr>
            </w:pPr>
            <w:r>
              <w:rPr>
                <w:rFonts w:ascii="Arial" w:cs="Arial" w:eastAsia="Arial" w:hAnsi="Arial"/>
                <w:sz w:val="18"/>
                <w:szCs w:val="18"/>
                <w:b w:val="1"/>
                <w:bCs w:val="1"/>
                <w:color w:val="auto"/>
              </w:rPr>
              <w:t>—</w:t>
            </w:r>
          </w:p>
        </w:tc>
        <w:tc>
          <w:tcPr>
            <w:tcW w:w="380" w:type="dxa"/>
            <w:vAlign w:val="bottom"/>
            <w:shd w:val="clear" w:color="auto" w:fill="CCEEFF"/>
          </w:tcPr>
          <w:p>
            <w:pPr>
              <w:spacing w:after="0"/>
              <w:rPr>
                <w:sz w:val="17"/>
                <w:szCs w:val="17"/>
                <w:color w:val="auto"/>
              </w:rPr>
            </w:pPr>
          </w:p>
        </w:tc>
        <w:tc>
          <w:tcPr>
            <w:tcW w:w="5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66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7"/>
                <w:szCs w:val="17"/>
                <w:color w:val="auto"/>
              </w:rPr>
            </w:pP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29.7</w:t>
            </w:r>
          </w:p>
        </w:tc>
        <w:tc>
          <w:tcPr>
            <w:tcW w:w="220" w:type="dxa"/>
            <w:vAlign w:val="bottom"/>
            <w:shd w:val="clear" w:color="auto" w:fill="CCEEFF"/>
          </w:tcPr>
          <w:p>
            <w:pPr>
              <w:spacing w:after="0"/>
              <w:rPr>
                <w:sz w:val="17"/>
                <w:szCs w:val="17"/>
                <w:color w:val="auto"/>
              </w:rPr>
            </w:pPr>
          </w:p>
        </w:tc>
        <w:tc>
          <w:tcPr>
            <w:tcW w:w="82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90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360" w:type="dxa"/>
            <w:vAlign w:val="bottom"/>
            <w:shd w:val="clear" w:color="auto" w:fill="CCEEFF"/>
          </w:tcPr>
          <w:p>
            <w:pPr>
              <w:spacing w:after="0"/>
              <w:rPr>
                <w:sz w:val="17"/>
                <w:szCs w:val="17"/>
                <w:color w:val="auto"/>
              </w:rPr>
            </w:pP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29.7</w:t>
            </w: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7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additional related tax benefits</w:t>
            </w:r>
          </w:p>
        </w:tc>
        <w:tc>
          <w:tcPr>
            <w:tcW w:w="80" w:type="dxa"/>
            <w:vAlign w:val="bottom"/>
            <w:shd w:val="clear" w:color="auto" w:fill="CCEEFF"/>
          </w:tcPr>
          <w:p>
            <w:pPr>
              <w:spacing w:after="0"/>
              <w:rPr>
                <w:sz w:val="20"/>
                <w:szCs w:val="20"/>
                <w:color w:val="auto"/>
              </w:rPr>
            </w:pPr>
          </w:p>
        </w:tc>
        <w:tc>
          <w:tcPr>
            <w:tcW w:w="420" w:type="dxa"/>
            <w:vAlign w:val="bottom"/>
            <w:shd w:val="clear" w:color="auto" w:fill="CCEEFF"/>
          </w:tcPr>
          <w:p>
            <w:pPr>
              <w:spacing w:after="0"/>
              <w:rPr>
                <w:sz w:val="20"/>
                <w:szCs w:val="20"/>
                <w:color w:val="auto"/>
              </w:rPr>
            </w:pPr>
          </w:p>
        </w:tc>
        <w:tc>
          <w:tcPr>
            <w:tcW w:w="680" w:type="dxa"/>
            <w:vAlign w:val="bottom"/>
            <w:gridSpan w:val="2"/>
            <w:vMerge w:val="continue"/>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520" w:type="dxa"/>
            <w:vAlign w:val="bottom"/>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660" w:type="dxa"/>
            <w:vAlign w:val="bottom"/>
            <w:gridSpan w:val="2"/>
            <w:vMerge w:val="continue"/>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640" w:type="dxa"/>
            <w:vAlign w:val="bottom"/>
            <w:vMerge w:val="continue"/>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820" w:type="dxa"/>
            <w:vAlign w:val="bottom"/>
            <w:gridSpan w:val="2"/>
            <w:vMerge w:val="continue"/>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000" w:type="dxa"/>
            <w:vAlign w:val="bottom"/>
            <w:gridSpan w:val="2"/>
            <w:vMerge w:val="continue"/>
            <w:shd w:val="clear" w:color="auto" w:fill="CCEEFF"/>
          </w:tcPr>
          <w:p>
            <w:pPr>
              <w:spacing w:after="0"/>
              <w:rPr>
                <w:sz w:val="20"/>
                <w:szCs w:val="20"/>
                <w:color w:val="auto"/>
              </w:rPr>
            </w:pPr>
          </w:p>
        </w:tc>
        <w:tc>
          <w:tcPr>
            <w:tcW w:w="900" w:type="dxa"/>
            <w:vAlign w:val="bottom"/>
            <w:gridSpan w:val="2"/>
            <w:vMerge w:val="continue"/>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860" w:type="dxa"/>
            <w:vAlign w:val="bottom"/>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00" w:type="dxa"/>
            <w:vAlign w:val="bottom"/>
          </w:tcPr>
          <w:p>
            <w:pPr>
              <w:spacing w:after="0"/>
              <w:rPr>
                <w:sz w:val="20"/>
                <w:szCs w:val="20"/>
                <w:color w:val="auto"/>
              </w:rPr>
            </w:pPr>
            <w:r>
              <w:rPr>
                <w:rFonts w:ascii="Arial" w:cs="Arial" w:eastAsia="Arial" w:hAnsi="Arial"/>
                <w:sz w:val="18"/>
                <w:szCs w:val="18"/>
                <w:color w:val="auto"/>
                <w:w w:val="98"/>
              </w:rPr>
              <w:t>Treasury stock acquired, common</w:t>
            </w: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80" w:type="dxa"/>
            <w:vAlign w:val="bottom"/>
            <w:gridSpan w:val="2"/>
          </w:tcPr>
          <w:p>
            <w:pPr>
              <w:ind w:left="320"/>
              <w:spacing w:after="0"/>
              <w:rPr>
                <w:sz w:val="20"/>
                <w:szCs w:val="20"/>
                <w:color w:val="auto"/>
              </w:rPr>
            </w:pPr>
            <w:r>
              <w:rPr>
                <w:rFonts w:ascii="Arial" w:cs="Arial" w:eastAsia="Arial" w:hAnsi="Arial"/>
                <w:sz w:val="18"/>
                <w:szCs w:val="18"/>
                <w:b w:val="1"/>
                <w:bCs w:val="1"/>
                <w:color w:val="auto"/>
              </w:rPr>
              <w:t>—</w:t>
            </w:r>
          </w:p>
        </w:tc>
        <w:tc>
          <w:tcPr>
            <w:tcW w:w="3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90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(751.2)</w:t>
            </w:r>
          </w:p>
        </w:tc>
        <w:tc>
          <w:tcPr>
            <w:tcW w:w="36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(751.2)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00" w:type="dxa"/>
            <w:vAlign w:val="bottom"/>
            <w:shd w:val="clear" w:color="auto" w:fill="CCEEFF"/>
          </w:tcPr>
          <w:p>
            <w:pPr>
              <w:spacing w:after="0"/>
              <w:rPr>
                <w:sz w:val="20"/>
                <w:szCs w:val="20"/>
                <w:color w:val="auto"/>
              </w:rPr>
            </w:pPr>
            <w:r>
              <w:rPr>
                <w:rFonts w:ascii="Arial" w:cs="Arial" w:eastAsia="Arial" w:hAnsi="Arial"/>
                <w:sz w:val="18"/>
                <w:szCs w:val="18"/>
                <w:color w:val="auto"/>
                <w:w w:val="94"/>
              </w:rPr>
              <w:t>Dividends to preferred stockholders</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320"/>
              <w:spacing w:after="0"/>
              <w:rPr>
                <w:sz w:val="20"/>
                <w:szCs w:val="20"/>
                <w:color w:val="auto"/>
              </w:rPr>
            </w:pPr>
            <w:r>
              <w:rPr>
                <w:rFonts w:ascii="Arial" w:cs="Arial" w:eastAsia="Arial" w:hAnsi="Arial"/>
                <w:sz w:val="18"/>
                <w:szCs w:val="18"/>
                <w:b w:val="1"/>
                <w:bCs w:val="1"/>
                <w:color w:val="auto"/>
              </w:rPr>
              <w:t>—</w:t>
            </w:r>
          </w:p>
        </w:tc>
        <w:tc>
          <w:tcPr>
            <w:tcW w:w="3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(16.5)</w:t>
            </w:r>
          </w:p>
        </w:tc>
        <w:tc>
          <w:tcPr>
            <w:tcW w:w="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3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(16.5)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00" w:type="dxa"/>
            <w:vAlign w:val="bottom"/>
          </w:tcPr>
          <w:p>
            <w:pPr>
              <w:spacing w:after="0"/>
              <w:rPr>
                <w:sz w:val="20"/>
                <w:szCs w:val="20"/>
                <w:color w:val="auto"/>
              </w:rPr>
            </w:pPr>
            <w:r>
              <w:rPr>
                <w:rFonts w:ascii="Arial" w:cs="Arial" w:eastAsia="Arial" w:hAnsi="Arial"/>
                <w:sz w:val="18"/>
                <w:szCs w:val="18"/>
                <w:color w:val="auto"/>
              </w:rPr>
              <w:t>Comprehensive loss:</w:t>
            </w: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income</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320"/>
              <w:spacing w:after="0"/>
              <w:rPr>
                <w:sz w:val="20"/>
                <w:szCs w:val="20"/>
                <w:color w:val="auto"/>
              </w:rPr>
            </w:pPr>
            <w:r>
              <w:rPr>
                <w:rFonts w:ascii="Arial" w:cs="Arial" w:eastAsia="Arial" w:hAnsi="Arial"/>
                <w:sz w:val="18"/>
                <w:szCs w:val="18"/>
                <w:b w:val="1"/>
                <w:bCs w:val="1"/>
                <w:color w:val="auto"/>
              </w:rPr>
              <w:t>—</w:t>
            </w:r>
          </w:p>
        </w:tc>
        <w:tc>
          <w:tcPr>
            <w:tcW w:w="3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512.7</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3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512.7</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00" w:type="dxa"/>
            <w:vAlign w:val="bottom"/>
          </w:tcPr>
          <w:p>
            <w:pPr>
              <w:ind w:left="160"/>
              <w:spacing w:after="0"/>
              <w:rPr>
                <w:sz w:val="20"/>
                <w:szCs w:val="20"/>
                <w:color w:val="auto"/>
              </w:rPr>
            </w:pPr>
            <w:r>
              <w:rPr>
                <w:rFonts w:ascii="Arial" w:cs="Arial" w:eastAsia="Arial" w:hAnsi="Arial"/>
                <w:sz w:val="18"/>
                <w:szCs w:val="18"/>
                <w:color w:val="auto"/>
              </w:rPr>
              <w:t>Net unrealized losses</w:t>
            </w: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80" w:type="dxa"/>
            <w:vAlign w:val="bottom"/>
            <w:gridSpan w:val="2"/>
          </w:tcPr>
          <w:p>
            <w:pPr>
              <w:ind w:left="320"/>
              <w:spacing w:after="0"/>
              <w:rPr>
                <w:sz w:val="20"/>
                <w:szCs w:val="20"/>
                <w:color w:val="auto"/>
              </w:rPr>
            </w:pPr>
            <w:r>
              <w:rPr>
                <w:rFonts w:ascii="Arial" w:cs="Arial" w:eastAsia="Arial" w:hAnsi="Arial"/>
                <w:sz w:val="18"/>
                <w:szCs w:val="18"/>
                <w:b w:val="1"/>
                <w:bCs w:val="1"/>
                <w:color w:val="auto"/>
              </w:rPr>
              <w:t>—</w:t>
            </w:r>
          </w:p>
        </w:tc>
        <w:tc>
          <w:tcPr>
            <w:tcW w:w="3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(1,113.0)</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(1,113.0)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700" w:type="dxa"/>
            <w:vAlign w:val="bottom"/>
            <w:shd w:val="clear" w:color="auto" w:fill="CCEEFF"/>
          </w:tcPr>
          <w:p>
            <w:pPr>
              <w:ind w:left="160"/>
              <w:spacing w:after="0" w:line="201" w:lineRule="exact"/>
              <w:rPr>
                <w:sz w:val="20"/>
                <w:szCs w:val="20"/>
                <w:color w:val="auto"/>
              </w:rPr>
            </w:pPr>
            <w:r>
              <w:rPr>
                <w:rFonts w:ascii="Arial" w:cs="Arial" w:eastAsia="Arial" w:hAnsi="Arial"/>
                <w:sz w:val="18"/>
                <w:szCs w:val="18"/>
                <w:color w:val="auto"/>
                <w:w w:val="95"/>
              </w:rPr>
              <w:t>Provision for deferred income tax</w:t>
            </w:r>
          </w:p>
        </w:tc>
        <w:tc>
          <w:tcPr>
            <w:tcW w:w="8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680" w:type="dxa"/>
            <w:vAlign w:val="bottom"/>
            <w:gridSpan w:val="2"/>
            <w:vMerge w:val="restart"/>
            <w:shd w:val="clear" w:color="auto" w:fill="CCEEFF"/>
          </w:tcPr>
          <w:p>
            <w:pPr>
              <w:ind w:left="320"/>
              <w:spacing w:after="0"/>
              <w:rPr>
                <w:sz w:val="20"/>
                <w:szCs w:val="20"/>
                <w:color w:val="auto"/>
              </w:rPr>
            </w:pPr>
            <w:r>
              <w:rPr>
                <w:rFonts w:ascii="Arial" w:cs="Arial" w:eastAsia="Arial" w:hAnsi="Arial"/>
                <w:sz w:val="18"/>
                <w:szCs w:val="18"/>
                <w:b w:val="1"/>
                <w:bCs w:val="1"/>
                <w:color w:val="auto"/>
              </w:rPr>
              <w:t>—</w:t>
            </w:r>
          </w:p>
        </w:tc>
        <w:tc>
          <w:tcPr>
            <w:tcW w:w="380" w:type="dxa"/>
            <w:vAlign w:val="bottom"/>
            <w:shd w:val="clear" w:color="auto" w:fill="CCEEFF"/>
          </w:tcPr>
          <w:p>
            <w:pPr>
              <w:spacing w:after="0"/>
              <w:rPr>
                <w:sz w:val="17"/>
                <w:szCs w:val="17"/>
                <w:color w:val="auto"/>
              </w:rPr>
            </w:pPr>
          </w:p>
        </w:tc>
        <w:tc>
          <w:tcPr>
            <w:tcW w:w="5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66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7"/>
                <w:szCs w:val="17"/>
                <w:color w:val="auto"/>
              </w:rPr>
            </w:pP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7"/>
                <w:szCs w:val="17"/>
                <w:color w:val="auto"/>
              </w:rPr>
            </w:pPr>
          </w:p>
        </w:tc>
        <w:tc>
          <w:tcPr>
            <w:tcW w:w="82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369.6</w:t>
            </w:r>
          </w:p>
        </w:tc>
        <w:tc>
          <w:tcPr>
            <w:tcW w:w="140" w:type="dxa"/>
            <w:vAlign w:val="bottom"/>
            <w:shd w:val="clear" w:color="auto" w:fill="CCEEFF"/>
          </w:tcPr>
          <w:p>
            <w:pPr>
              <w:spacing w:after="0"/>
              <w:rPr>
                <w:sz w:val="17"/>
                <w:szCs w:val="17"/>
                <w:color w:val="auto"/>
              </w:rPr>
            </w:pPr>
          </w:p>
        </w:tc>
        <w:tc>
          <w:tcPr>
            <w:tcW w:w="90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360" w:type="dxa"/>
            <w:vAlign w:val="bottom"/>
            <w:shd w:val="clear" w:color="auto" w:fill="CCEEFF"/>
          </w:tcPr>
          <w:p>
            <w:pPr>
              <w:spacing w:after="0"/>
              <w:rPr>
                <w:sz w:val="17"/>
                <w:szCs w:val="17"/>
                <w:color w:val="auto"/>
              </w:rPr>
            </w:pP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369.6</w:t>
            </w: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7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benefits</w:t>
            </w:r>
          </w:p>
        </w:tc>
        <w:tc>
          <w:tcPr>
            <w:tcW w:w="80" w:type="dxa"/>
            <w:vAlign w:val="bottom"/>
            <w:shd w:val="clear" w:color="auto" w:fill="CCEEFF"/>
          </w:tcPr>
          <w:p>
            <w:pPr>
              <w:spacing w:after="0"/>
              <w:rPr>
                <w:sz w:val="20"/>
                <w:szCs w:val="20"/>
                <w:color w:val="auto"/>
              </w:rPr>
            </w:pPr>
          </w:p>
        </w:tc>
        <w:tc>
          <w:tcPr>
            <w:tcW w:w="420" w:type="dxa"/>
            <w:vAlign w:val="bottom"/>
            <w:shd w:val="clear" w:color="auto" w:fill="CCEEFF"/>
          </w:tcPr>
          <w:p>
            <w:pPr>
              <w:spacing w:after="0"/>
              <w:rPr>
                <w:sz w:val="20"/>
                <w:szCs w:val="20"/>
                <w:color w:val="auto"/>
              </w:rPr>
            </w:pPr>
          </w:p>
        </w:tc>
        <w:tc>
          <w:tcPr>
            <w:tcW w:w="680" w:type="dxa"/>
            <w:vAlign w:val="bottom"/>
            <w:gridSpan w:val="2"/>
            <w:vMerge w:val="continue"/>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520" w:type="dxa"/>
            <w:vAlign w:val="bottom"/>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660" w:type="dxa"/>
            <w:vAlign w:val="bottom"/>
            <w:gridSpan w:val="2"/>
            <w:vMerge w:val="continue"/>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640" w:type="dxa"/>
            <w:vAlign w:val="bottom"/>
            <w:vMerge w:val="continue"/>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820" w:type="dxa"/>
            <w:vAlign w:val="bottom"/>
            <w:gridSpan w:val="2"/>
            <w:vMerge w:val="continue"/>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860" w:type="dxa"/>
            <w:vAlign w:val="bottom"/>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00" w:type="dxa"/>
            <w:vAlign w:val="bottom"/>
            <w:gridSpan w:val="2"/>
            <w:vMerge w:val="continue"/>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860" w:type="dxa"/>
            <w:vAlign w:val="bottom"/>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700" w:type="dxa"/>
            <w:vAlign w:val="bottom"/>
          </w:tcPr>
          <w:p>
            <w:pPr>
              <w:ind w:left="160"/>
              <w:spacing w:after="0" w:line="201" w:lineRule="exact"/>
              <w:rPr>
                <w:sz w:val="20"/>
                <w:szCs w:val="20"/>
                <w:color w:val="auto"/>
              </w:rPr>
            </w:pPr>
            <w:r>
              <w:rPr>
                <w:rFonts w:ascii="Arial" w:cs="Arial" w:eastAsia="Arial" w:hAnsi="Arial"/>
                <w:sz w:val="18"/>
                <w:szCs w:val="18"/>
                <w:color w:val="auto"/>
              </w:rPr>
              <w:t>Foreign currency translation</w:t>
            </w:r>
          </w:p>
        </w:tc>
        <w:tc>
          <w:tcPr>
            <w:tcW w:w="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00" w:type="dxa"/>
            <w:vAlign w:val="bottom"/>
          </w:tcPr>
          <w:p>
            <w:pPr>
              <w:ind w:left="340"/>
              <w:spacing w:after="0"/>
              <w:rPr>
                <w:sz w:val="20"/>
                <w:szCs w:val="20"/>
                <w:color w:val="auto"/>
              </w:rPr>
            </w:pPr>
            <w:r>
              <w:rPr>
                <w:rFonts w:ascii="Arial" w:cs="Arial" w:eastAsia="Arial" w:hAnsi="Arial"/>
                <w:sz w:val="18"/>
                <w:szCs w:val="18"/>
                <w:color w:val="auto"/>
              </w:rPr>
              <w:t>adjustment, net of related</w:t>
            </w: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80" w:type="dxa"/>
            <w:vAlign w:val="bottom"/>
            <w:gridSpan w:val="2"/>
            <w:vMerge w:val="restart"/>
          </w:tcPr>
          <w:p>
            <w:pPr>
              <w:ind w:left="320"/>
              <w:spacing w:after="0"/>
              <w:rPr>
                <w:sz w:val="20"/>
                <w:szCs w:val="20"/>
                <w:color w:val="auto"/>
              </w:rPr>
            </w:pPr>
            <w:r>
              <w:rPr>
                <w:rFonts w:ascii="Arial" w:cs="Arial" w:eastAsia="Arial" w:hAnsi="Arial"/>
                <w:sz w:val="18"/>
                <w:szCs w:val="18"/>
                <w:b w:val="1"/>
                <w:bCs w:val="1"/>
                <w:color w:val="auto"/>
              </w:rPr>
              <w:t>—</w:t>
            </w:r>
          </w:p>
        </w:tc>
        <w:tc>
          <w:tcPr>
            <w:tcW w:w="380" w:type="dxa"/>
            <w:vAlign w:val="bottom"/>
          </w:tcPr>
          <w:p>
            <w:pPr>
              <w:spacing w:after="0"/>
              <w:rPr>
                <w:sz w:val="18"/>
                <w:szCs w:val="18"/>
                <w:color w:val="auto"/>
              </w:rPr>
            </w:pPr>
          </w:p>
        </w:tc>
        <w:tc>
          <w:tcPr>
            <w:tcW w:w="5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6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6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82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gridSpan w:val="2"/>
            <w:vMerge w:val="restart"/>
          </w:tcPr>
          <w:p>
            <w:pPr>
              <w:jc w:val="right"/>
              <w:ind w:right="80"/>
              <w:spacing w:after="0"/>
              <w:rPr>
                <w:sz w:val="20"/>
                <w:szCs w:val="20"/>
                <w:color w:val="auto"/>
              </w:rPr>
            </w:pPr>
            <w:r>
              <w:rPr>
                <w:rFonts w:ascii="Arial" w:cs="Arial" w:eastAsia="Arial" w:hAnsi="Arial"/>
                <w:sz w:val="18"/>
                <w:szCs w:val="18"/>
                <w:b w:val="1"/>
                <w:bCs w:val="1"/>
                <w:color w:val="auto"/>
              </w:rPr>
              <w:t>(32.9)</w:t>
            </w:r>
          </w:p>
        </w:tc>
        <w:tc>
          <w:tcPr>
            <w:tcW w:w="90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18"/>
                <w:szCs w:val="18"/>
                <w:color w:val="auto"/>
              </w:rPr>
            </w:pPr>
          </w:p>
        </w:tc>
        <w:tc>
          <w:tcPr>
            <w:tcW w:w="960" w:type="dxa"/>
            <w:vAlign w:val="bottom"/>
            <w:gridSpan w:val="2"/>
            <w:vMerge w:val="restart"/>
          </w:tcPr>
          <w:p>
            <w:pPr>
              <w:jc w:val="right"/>
              <w:ind w:right="40"/>
              <w:spacing w:after="0"/>
              <w:rPr>
                <w:sz w:val="20"/>
                <w:szCs w:val="20"/>
                <w:color w:val="auto"/>
              </w:rPr>
            </w:pPr>
            <w:r>
              <w:rPr>
                <w:rFonts w:ascii="Arial" w:cs="Arial" w:eastAsia="Arial" w:hAnsi="Arial"/>
                <w:sz w:val="18"/>
                <w:szCs w:val="18"/>
                <w:b w:val="1"/>
                <w:bCs w:val="1"/>
                <w:color w:val="auto"/>
              </w:rPr>
              <w:t>(32.9)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700" w:type="dxa"/>
            <w:vAlign w:val="bottom"/>
          </w:tcPr>
          <w:p>
            <w:pPr>
              <w:ind w:left="340"/>
              <w:spacing w:after="0"/>
              <w:rPr>
                <w:sz w:val="20"/>
                <w:szCs w:val="20"/>
                <w:color w:val="auto"/>
              </w:rPr>
            </w:pPr>
            <w:r>
              <w:rPr>
                <w:rFonts w:ascii="Arial" w:cs="Arial" w:eastAsia="Arial" w:hAnsi="Arial"/>
                <w:sz w:val="18"/>
                <w:szCs w:val="18"/>
                <w:color w:val="auto"/>
              </w:rPr>
              <w:t>income taxes</w:t>
            </w: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680" w:type="dxa"/>
            <w:vAlign w:val="bottom"/>
            <w:gridSpan w:val="2"/>
            <w:vMerge w:val="continue"/>
          </w:tcPr>
          <w:p>
            <w:pPr>
              <w:spacing w:after="0"/>
              <w:rPr>
                <w:sz w:val="20"/>
                <w:szCs w:val="20"/>
                <w:color w:val="auto"/>
              </w:rPr>
            </w:pPr>
          </w:p>
        </w:tc>
        <w:tc>
          <w:tcPr>
            <w:tcW w:w="380" w:type="dxa"/>
            <w:vAlign w:val="bottom"/>
          </w:tcPr>
          <w:p>
            <w:pPr>
              <w:spacing w:after="0"/>
              <w:rPr>
                <w:sz w:val="20"/>
                <w:szCs w:val="20"/>
                <w:color w:val="auto"/>
              </w:rPr>
            </w:pPr>
          </w:p>
        </w:tc>
        <w:tc>
          <w:tcPr>
            <w:tcW w:w="520" w:type="dxa"/>
            <w:vAlign w:val="bottom"/>
            <w:vMerge w:val="continue"/>
          </w:tcPr>
          <w:p>
            <w:pPr>
              <w:spacing w:after="0"/>
              <w:rPr>
                <w:sz w:val="20"/>
                <w:szCs w:val="20"/>
                <w:color w:val="auto"/>
              </w:rPr>
            </w:pPr>
          </w:p>
        </w:tc>
        <w:tc>
          <w:tcPr>
            <w:tcW w:w="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60" w:type="dxa"/>
            <w:vAlign w:val="bottom"/>
            <w:gridSpan w:val="2"/>
            <w:vMerge w:val="continue"/>
          </w:tcPr>
          <w:p>
            <w:pPr>
              <w:spacing w:after="0"/>
              <w:rPr>
                <w:sz w:val="20"/>
                <w:szCs w:val="20"/>
                <w:color w:val="auto"/>
              </w:rPr>
            </w:pPr>
          </w:p>
        </w:tc>
        <w:tc>
          <w:tcPr>
            <w:tcW w:w="180" w:type="dxa"/>
            <w:vAlign w:val="bottom"/>
          </w:tcPr>
          <w:p>
            <w:pPr>
              <w:spacing w:after="0"/>
              <w:rPr>
                <w:sz w:val="20"/>
                <w:szCs w:val="20"/>
                <w:color w:val="auto"/>
              </w:rPr>
            </w:pPr>
          </w:p>
        </w:tc>
        <w:tc>
          <w:tcPr>
            <w:tcW w:w="640" w:type="dxa"/>
            <w:vAlign w:val="bottom"/>
            <w:vMerge w:val="continue"/>
          </w:tcPr>
          <w:p>
            <w:pPr>
              <w:spacing w:after="0"/>
              <w:rPr>
                <w:sz w:val="20"/>
                <w:szCs w:val="20"/>
                <w:color w:val="auto"/>
              </w:rPr>
            </w:pPr>
          </w:p>
        </w:tc>
        <w:tc>
          <w:tcPr>
            <w:tcW w:w="220" w:type="dxa"/>
            <w:vAlign w:val="bottom"/>
          </w:tcPr>
          <w:p>
            <w:pPr>
              <w:spacing w:after="0"/>
              <w:rPr>
                <w:sz w:val="20"/>
                <w:szCs w:val="20"/>
                <w:color w:val="auto"/>
              </w:rPr>
            </w:pPr>
          </w:p>
        </w:tc>
        <w:tc>
          <w:tcPr>
            <w:tcW w:w="820" w:type="dxa"/>
            <w:vAlign w:val="bottom"/>
            <w:gridSpan w:val="2"/>
            <w:vMerge w:val="continue"/>
          </w:tcPr>
          <w:p>
            <w:pPr>
              <w:spacing w:after="0"/>
              <w:rPr>
                <w:sz w:val="20"/>
                <w:szCs w:val="20"/>
                <w:color w:val="auto"/>
              </w:rPr>
            </w:pPr>
          </w:p>
        </w:tc>
        <w:tc>
          <w:tcPr>
            <w:tcW w:w="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0" w:type="dxa"/>
            <w:vAlign w:val="bottom"/>
            <w:gridSpan w:val="2"/>
            <w:vMerge w:val="continue"/>
          </w:tcPr>
          <w:p>
            <w:pPr>
              <w:spacing w:after="0"/>
              <w:rPr>
                <w:sz w:val="20"/>
                <w:szCs w:val="20"/>
                <w:color w:val="auto"/>
              </w:rPr>
            </w:pPr>
          </w:p>
        </w:tc>
        <w:tc>
          <w:tcPr>
            <w:tcW w:w="900" w:type="dxa"/>
            <w:vAlign w:val="bottom"/>
            <w:gridSpan w:val="2"/>
            <w:vMerge w:val="continue"/>
          </w:tcPr>
          <w:p>
            <w:pPr>
              <w:spacing w:after="0"/>
              <w:rPr>
                <w:sz w:val="20"/>
                <w:szCs w:val="20"/>
                <w:color w:val="auto"/>
              </w:rPr>
            </w:pPr>
          </w:p>
        </w:tc>
        <w:tc>
          <w:tcPr>
            <w:tcW w:w="360" w:type="dxa"/>
            <w:vAlign w:val="bottom"/>
          </w:tcPr>
          <w:p>
            <w:pPr>
              <w:spacing w:after="0"/>
              <w:rPr>
                <w:sz w:val="20"/>
                <w:szCs w:val="20"/>
                <w:color w:val="auto"/>
              </w:rPr>
            </w:pPr>
          </w:p>
        </w:tc>
        <w:tc>
          <w:tcPr>
            <w:tcW w:w="960" w:type="dxa"/>
            <w:vAlign w:val="bottom"/>
            <w:gridSpan w:val="2"/>
            <w:vMerge w:val="continue"/>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70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Comprehensive loss</w:t>
            </w:r>
          </w:p>
        </w:tc>
        <w:tc>
          <w:tcPr>
            <w:tcW w:w="80" w:type="dxa"/>
            <w:vAlign w:val="bottom"/>
            <w:shd w:val="clear" w:color="auto" w:fill="CCEEFF"/>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6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7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4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86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7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2700" w:type="dxa"/>
            <w:vAlign w:val="bottom"/>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(263.6)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700" w:type="dxa"/>
            <w:vAlign w:val="bottom"/>
          </w:tcPr>
          <w:p>
            <w:pPr>
              <w:spacing w:after="0"/>
              <w:rPr>
                <w:sz w:val="20"/>
                <w:szCs w:val="20"/>
                <w:color w:val="auto"/>
              </w:rPr>
            </w:pPr>
            <w:r>
              <w:rPr>
                <w:rFonts w:ascii="Arial" w:cs="Arial" w:eastAsia="Arial" w:hAnsi="Arial"/>
                <w:sz w:val="18"/>
                <w:szCs w:val="18"/>
                <w:b w:val="1"/>
                <w:bCs w:val="1"/>
                <w:color w:val="auto"/>
              </w:rPr>
              <w:t>Balances at June 30, 2006</w:t>
            </w:r>
          </w:p>
        </w:tc>
        <w:tc>
          <w:tcPr>
            <w:tcW w:w="80" w:type="dxa"/>
            <w:vAlign w:val="bottom"/>
          </w:tcPr>
          <w:p>
            <w:pPr>
              <w:spacing w:after="0"/>
              <w:rPr>
                <w:sz w:val="19"/>
                <w:szCs w:val="19"/>
                <w:color w:val="auto"/>
              </w:rPr>
            </w:pPr>
          </w:p>
        </w:tc>
        <w:tc>
          <w:tcPr>
            <w:tcW w:w="42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w w:val="79"/>
              </w:rPr>
              <w:t>$</w:t>
            </w:r>
          </w:p>
        </w:tc>
        <w:tc>
          <w:tcPr>
            <w:tcW w:w="520" w:type="dxa"/>
            <w:vAlign w:val="bottom"/>
            <w:tcBorders>
              <w:top w:val="single" w:sz="8" w:color="auto"/>
              <w:bottom w:val="single" w:sz="8" w:color="auto"/>
            </w:tcBorders>
          </w:tcPr>
          <w:p>
            <w:pPr>
              <w:ind w:left="320"/>
              <w:spacing w:after="0"/>
              <w:rPr>
                <w:sz w:val="20"/>
                <w:szCs w:val="20"/>
                <w:color w:val="auto"/>
              </w:rPr>
            </w:pPr>
            <w:r>
              <w:rPr>
                <w:rFonts w:ascii="Arial" w:cs="Arial" w:eastAsia="Arial" w:hAnsi="Arial"/>
                <w:sz w:val="18"/>
                <w:szCs w:val="18"/>
                <w:b w:val="1"/>
                <w:bCs w:val="1"/>
                <w:color w:val="auto"/>
                <w:w w:val="99"/>
              </w:rPr>
              <w:t>—</w:t>
            </w:r>
          </w:p>
        </w:tc>
        <w:tc>
          <w:tcPr>
            <w:tcW w:w="160" w:type="dxa"/>
            <w:vAlign w:val="bottom"/>
          </w:tcPr>
          <w:p>
            <w:pPr>
              <w:spacing w:after="0"/>
              <w:rPr>
                <w:sz w:val="19"/>
                <w:szCs w:val="19"/>
                <w:color w:val="auto"/>
              </w:rPr>
            </w:pPr>
          </w:p>
        </w:tc>
        <w:tc>
          <w:tcPr>
            <w:tcW w:w="380" w:type="dxa"/>
            <w:vAlign w:val="bottom"/>
            <w:tcBorders>
              <w:top w:val="single" w:sz="8" w:color="auto"/>
              <w:bottom w:val="single" w:sz="8" w:color="auto"/>
            </w:tcBorders>
          </w:tcPr>
          <w:p>
            <w:pPr>
              <w:jc w:val="right"/>
              <w:ind w:right="225"/>
              <w:spacing w:after="0"/>
              <w:rPr>
                <w:sz w:val="20"/>
                <w:szCs w:val="20"/>
                <w:color w:val="auto"/>
              </w:rPr>
            </w:pPr>
            <w:r>
              <w:rPr>
                <w:rFonts w:ascii="Arial" w:cs="Arial" w:eastAsia="Arial" w:hAnsi="Arial"/>
                <w:sz w:val="15"/>
                <w:szCs w:val="15"/>
                <w:b w:val="1"/>
                <w:bCs w:val="1"/>
                <w:color w:val="auto"/>
                <w:w w:val="71"/>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0.1</w:t>
            </w:r>
          </w:p>
        </w:tc>
        <w:tc>
          <w:tcPr>
            <w:tcW w:w="200" w:type="dxa"/>
            <w:vAlign w:val="bottom"/>
          </w:tcPr>
          <w:p>
            <w:pPr>
              <w:spacing w:after="0"/>
              <w:rPr>
                <w:sz w:val="19"/>
                <w:szCs w:val="19"/>
                <w:color w:val="auto"/>
              </w:rPr>
            </w:pPr>
          </w:p>
        </w:tc>
        <w:tc>
          <w:tcPr>
            <w:tcW w:w="300" w:type="dxa"/>
            <w:vAlign w:val="bottom"/>
            <w:tcBorders>
              <w:top w:val="single" w:sz="8" w:color="auto"/>
              <w:bottom w:val="single" w:sz="8" w:color="auto"/>
            </w:tcBorders>
          </w:tcPr>
          <w:p>
            <w:pPr>
              <w:jc w:val="right"/>
              <w:ind w:right="145"/>
              <w:spacing w:after="0"/>
              <w:rPr>
                <w:sz w:val="20"/>
                <w:szCs w:val="20"/>
                <w:color w:val="auto"/>
              </w:rPr>
            </w:pPr>
            <w:r>
              <w:rPr>
                <w:rFonts w:ascii="Arial" w:cs="Arial" w:eastAsia="Arial" w:hAnsi="Arial"/>
                <w:sz w:val="15"/>
                <w:szCs w:val="15"/>
                <w:b w:val="1"/>
                <w:bCs w:val="1"/>
                <w:color w:val="auto"/>
                <w:w w:val="71"/>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3.8</w:t>
            </w:r>
          </w:p>
        </w:tc>
        <w:tc>
          <w:tcPr>
            <w:tcW w:w="2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b w:val="1"/>
                <w:bCs w:val="1"/>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8,068.8</w:t>
            </w:r>
          </w:p>
        </w:tc>
        <w:tc>
          <w:tcPr>
            <w:tcW w:w="220" w:type="dxa"/>
            <w:vAlign w:val="bottom"/>
          </w:tcPr>
          <w:p>
            <w:pPr>
              <w:spacing w:after="0"/>
              <w:rPr>
                <w:sz w:val="19"/>
                <w:szCs w:val="19"/>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87"/>
              </w:rPr>
              <w:t>$ 2,504.8</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4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218.5</w:t>
            </w:r>
          </w:p>
        </w:tc>
        <w:tc>
          <w:tcPr>
            <w:tcW w:w="140" w:type="dxa"/>
            <w:vAlign w:val="bottom"/>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86"/>
              </w:rPr>
              <w:t>$ (3,951.3</w:t>
            </w:r>
          </w:p>
        </w:tc>
        <w:tc>
          <w:tcPr>
            <w:tcW w:w="160" w:type="dxa"/>
            <w:vAlign w:val="bottom"/>
          </w:tcPr>
          <w:p>
            <w:pPr>
              <w:jc w:val="right"/>
              <w:ind w:right="20"/>
              <w:spacing w:after="0"/>
              <w:rPr>
                <w:sz w:val="20"/>
                <w:szCs w:val="20"/>
                <w:color w:val="auto"/>
              </w:rPr>
            </w:pPr>
            <w:r>
              <w:rPr>
                <w:rFonts w:ascii="Arial" w:cs="Arial" w:eastAsia="Arial" w:hAnsi="Arial"/>
                <w:sz w:val="16"/>
                <w:szCs w:val="16"/>
                <w:b w:val="1"/>
                <w:bCs w:val="1"/>
                <w:color w:val="auto"/>
                <w:w w:val="74"/>
              </w:rPr>
              <w:t>)</w:t>
            </w:r>
          </w:p>
        </w:tc>
        <w:tc>
          <w:tcPr>
            <w:tcW w:w="36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6,844.7</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2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60" w:type="dxa"/>
            <w:vAlign w:val="bottom"/>
            <w:gridSpan w:val="2"/>
          </w:tcPr>
          <w:p>
            <w:pPr>
              <w:jc w:val="right"/>
              <w:ind w:right="200"/>
              <w:spacing w:after="0"/>
              <w:rPr>
                <w:sz w:val="20"/>
                <w:szCs w:val="20"/>
                <w:color w:val="auto"/>
              </w:rPr>
            </w:pPr>
            <w:r>
              <w:rPr>
                <w:rFonts w:ascii="Arial" w:cs="Arial" w:eastAsia="Arial" w:hAnsi="Arial"/>
                <w:sz w:val="18"/>
                <w:szCs w:val="18"/>
                <w:color w:val="auto"/>
              </w:rPr>
              <w:t>5</w:t>
            </w: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20" w:type="dxa"/>
            <w:vAlign w:val="bottom"/>
            <w:tcBorders>
              <w:bottom w:val="single" w:sz="8" w:color="010101"/>
            </w:tcBorders>
          </w:tcPr>
          <w:p>
            <w:pPr>
              <w:spacing w:after="0"/>
              <w:rPr>
                <w:sz w:val="24"/>
                <w:szCs w:val="24"/>
                <w:color w:val="auto"/>
              </w:rPr>
            </w:pPr>
          </w:p>
        </w:tc>
        <w:tc>
          <w:tcPr>
            <w:tcW w:w="270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20" w:type="dxa"/>
            <w:vAlign w:val="bottom"/>
            <w:tcBorders>
              <w:bottom w:val="single" w:sz="8" w:color="010101"/>
            </w:tcBorders>
          </w:tcPr>
          <w:p>
            <w:pPr>
              <w:spacing w:after="0"/>
              <w:rPr>
                <w:sz w:val="24"/>
                <w:szCs w:val="24"/>
                <w:color w:val="auto"/>
              </w:rPr>
            </w:pPr>
          </w:p>
        </w:tc>
        <w:tc>
          <w:tcPr>
            <w:tcW w:w="52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380" w:type="dxa"/>
            <w:vAlign w:val="bottom"/>
            <w:tcBorders>
              <w:bottom w:val="single" w:sz="8" w:color="010101"/>
            </w:tcBorders>
          </w:tcPr>
          <w:p>
            <w:pPr>
              <w:spacing w:after="0"/>
              <w:rPr>
                <w:sz w:val="24"/>
                <w:szCs w:val="24"/>
                <w:color w:val="auto"/>
              </w:rPr>
            </w:pPr>
          </w:p>
        </w:tc>
        <w:tc>
          <w:tcPr>
            <w:tcW w:w="52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300" w:type="dxa"/>
            <w:vAlign w:val="bottom"/>
            <w:tcBorders>
              <w:bottom w:val="single" w:sz="8" w:color="010101"/>
            </w:tcBorders>
          </w:tcPr>
          <w:p>
            <w:pPr>
              <w:spacing w:after="0"/>
              <w:rPr>
                <w:sz w:val="24"/>
                <w:szCs w:val="24"/>
                <w:color w:val="auto"/>
              </w:rPr>
            </w:pPr>
          </w:p>
        </w:tc>
        <w:tc>
          <w:tcPr>
            <w:tcW w:w="44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64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70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340" w:type="dxa"/>
            <w:vAlign w:val="bottom"/>
            <w:tcBorders>
              <w:bottom w:val="single" w:sz="8" w:color="010101"/>
            </w:tcBorders>
          </w:tcPr>
          <w:p>
            <w:pPr>
              <w:spacing w:after="0"/>
              <w:rPr>
                <w:sz w:val="24"/>
                <w:szCs w:val="24"/>
                <w:color w:val="auto"/>
              </w:rPr>
            </w:pPr>
          </w:p>
        </w:tc>
        <w:tc>
          <w:tcPr>
            <w:tcW w:w="86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74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360" w:type="dxa"/>
            <w:vAlign w:val="bottom"/>
            <w:tcBorders>
              <w:bottom w:val="single" w:sz="8" w:color="010101"/>
            </w:tcBorders>
          </w:tcPr>
          <w:p>
            <w:pPr>
              <w:spacing w:after="0"/>
              <w:rPr>
                <w:sz w:val="24"/>
                <w:szCs w:val="24"/>
                <w:color w:val="auto"/>
              </w:rPr>
            </w:pPr>
          </w:p>
        </w:tc>
        <w:tc>
          <w:tcPr>
            <w:tcW w:w="86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179" w:lineRule="exact"/>
        <w:rPr>
          <w:sz w:val="20"/>
          <w:szCs w:val="20"/>
          <w:color w:val="auto"/>
        </w:rPr>
      </w:pPr>
    </w:p>
    <w:p>
      <w:pPr>
        <w:jc w:val="center"/>
        <w:ind w:left="8760"/>
        <w:spacing w:after="0"/>
        <w:rPr>
          <w:sz w:val="20"/>
          <w:szCs w:val="20"/>
          <w:color w:val="auto"/>
        </w:rPr>
      </w:pPr>
      <w:r>
        <w:rPr>
          <w:rFonts w:ascii="Arial" w:cs="Arial" w:eastAsia="Arial" w:hAnsi="Arial"/>
          <w:sz w:val="14"/>
          <w:szCs w:val="14"/>
          <w:b w:val="1"/>
          <w:bCs w:val="1"/>
          <w:color w:val="auto"/>
        </w:rPr>
        <w:t>For six months ended</w:t>
      </w:r>
    </w:p>
    <w:p>
      <w:pPr>
        <w:jc w:val="center"/>
        <w:ind w:left="8760"/>
        <w:spacing w:after="0" w:line="221" w:lineRule="auto"/>
        <w:rPr>
          <w:sz w:val="20"/>
          <w:szCs w:val="20"/>
          <w:color w:val="auto"/>
        </w:rPr>
      </w:pPr>
      <w:r>
        <w:rPr>
          <w:rFonts w:ascii="Arial" w:cs="Arial" w:eastAsia="Arial" w:hAnsi="Arial"/>
          <w:sz w:val="14"/>
          <w:szCs w:val="14"/>
          <w:b w:val="1"/>
          <w:bCs w:val="1"/>
          <w:color w:val="auto"/>
        </w:rPr>
        <w:t>June 30,</w:t>
      </w:r>
    </w:p>
    <w:tbl>
      <w:tblPr>
        <w:tblLayout w:type="fixed"/>
        <w:tblInd w:w="0" w:type="dxa"/>
        <w:tblCellMar>
          <w:top w:w="0" w:type="dxa"/>
          <w:left w:w="0" w:type="dxa"/>
          <w:bottom w:w="0" w:type="dxa"/>
          <w:right w:w="0" w:type="dxa"/>
        </w:tblCellMar>
      </w:tblPr>
      <w:tr>
        <w:trPr>
          <w:trHeight w:val="136"/>
        </w:trPr>
        <w:tc>
          <w:tcPr>
            <w:tcW w:w="736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260" w:type="dxa"/>
            <w:vAlign w:val="bottom"/>
            <w:tcBorders>
              <w:top w:val="single" w:sz="8" w:color="auto"/>
              <w:bottom w:val="single" w:sz="8" w:color="auto"/>
            </w:tcBorders>
          </w:tcPr>
          <w:p>
            <w:pPr>
              <w:spacing w:after="0"/>
              <w:rPr>
                <w:sz w:val="11"/>
                <w:szCs w:val="11"/>
                <w:color w:val="auto"/>
              </w:rPr>
            </w:pPr>
          </w:p>
        </w:tc>
        <w:tc>
          <w:tcPr>
            <w:tcW w:w="840" w:type="dxa"/>
            <w:vAlign w:val="bottom"/>
            <w:tcBorders>
              <w:top w:val="single" w:sz="8" w:color="auto"/>
              <w:bottom w:val="single" w:sz="8" w:color="auto"/>
            </w:tcBorders>
          </w:tcPr>
          <w:p>
            <w:pPr>
              <w:jc w:val="right"/>
              <w:ind w:right="311"/>
              <w:spacing w:after="0" w:line="136" w:lineRule="exact"/>
              <w:rPr>
                <w:sz w:val="20"/>
                <w:szCs w:val="20"/>
                <w:color w:val="auto"/>
              </w:rPr>
            </w:pPr>
            <w:r>
              <w:rPr>
                <w:rFonts w:ascii="Arial" w:cs="Arial" w:eastAsia="Arial" w:hAnsi="Arial"/>
                <w:sz w:val="14"/>
                <w:szCs w:val="14"/>
                <w:b w:val="1"/>
                <w:bCs w:val="1"/>
                <w:color w:val="auto"/>
              </w:rPr>
              <w:t>2006</w:t>
            </w:r>
          </w:p>
        </w:tc>
        <w:tc>
          <w:tcPr>
            <w:tcW w:w="1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980" w:type="dxa"/>
            <w:vAlign w:val="bottom"/>
            <w:tcBorders>
              <w:top w:val="single" w:sz="8" w:color="auto"/>
              <w:bottom w:val="single" w:sz="8" w:color="auto"/>
            </w:tcBorders>
          </w:tcPr>
          <w:p>
            <w:pPr>
              <w:jc w:val="center"/>
              <w:ind w:right="33"/>
              <w:spacing w:after="0" w:line="136" w:lineRule="exact"/>
              <w:rPr>
                <w:sz w:val="20"/>
                <w:szCs w:val="20"/>
                <w:color w:val="auto"/>
              </w:rPr>
            </w:pPr>
            <w:r>
              <w:rPr>
                <w:rFonts w:ascii="Arial" w:cs="Arial" w:eastAsia="Arial" w:hAnsi="Arial"/>
                <w:sz w:val="14"/>
                <w:szCs w:val="14"/>
                <w:b w:val="1"/>
                <w:bCs w:val="1"/>
                <w:color w:val="auto"/>
                <w:w w:val="96"/>
              </w:rPr>
              <w:t>2005</w:t>
            </w:r>
          </w:p>
        </w:tc>
        <w:tc>
          <w:tcPr>
            <w:tcW w:w="100" w:type="dxa"/>
            <w:vAlign w:val="bottom"/>
          </w:tcPr>
          <w:p>
            <w:pPr>
              <w:spacing w:after="0"/>
              <w:rPr>
                <w:sz w:val="11"/>
                <w:szCs w:val="11"/>
                <w:color w:val="auto"/>
              </w:rPr>
            </w:pPr>
          </w:p>
        </w:tc>
      </w:tr>
      <w:tr>
        <w:trPr>
          <w:trHeight w:val="102"/>
        </w:trPr>
        <w:tc>
          <w:tcPr>
            <w:tcW w:w="7360" w:type="dxa"/>
            <w:vAlign w:val="bottom"/>
          </w:tcPr>
          <w:p>
            <w:pPr>
              <w:spacing w:after="0"/>
              <w:rPr>
                <w:sz w:val="8"/>
                <w:szCs w:val="8"/>
                <w:color w:val="auto"/>
              </w:rPr>
            </w:pPr>
          </w:p>
        </w:tc>
        <w:tc>
          <w:tcPr>
            <w:tcW w:w="1500" w:type="dxa"/>
            <w:vAlign w:val="bottom"/>
          </w:tcPr>
          <w:p>
            <w:pPr>
              <w:spacing w:after="0"/>
              <w:rPr>
                <w:sz w:val="8"/>
                <w:szCs w:val="8"/>
                <w:color w:val="auto"/>
              </w:rPr>
            </w:pPr>
          </w:p>
        </w:tc>
        <w:tc>
          <w:tcPr>
            <w:tcW w:w="260" w:type="dxa"/>
            <w:vAlign w:val="bottom"/>
          </w:tcPr>
          <w:p>
            <w:pPr>
              <w:spacing w:after="0"/>
              <w:rPr>
                <w:sz w:val="8"/>
                <w:szCs w:val="8"/>
                <w:color w:val="auto"/>
              </w:rPr>
            </w:pPr>
          </w:p>
        </w:tc>
        <w:tc>
          <w:tcPr>
            <w:tcW w:w="8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980" w:type="dxa"/>
            <w:vAlign w:val="bottom"/>
          </w:tcPr>
          <w:p>
            <w:pPr>
              <w:jc w:val="center"/>
              <w:ind w:right="33"/>
              <w:spacing w:after="0" w:line="102" w:lineRule="exact"/>
              <w:rPr>
                <w:sz w:val="20"/>
                <w:szCs w:val="20"/>
                <w:color w:val="auto"/>
              </w:rPr>
            </w:pPr>
            <w:r>
              <w:rPr>
                <w:rFonts w:ascii="Arial" w:cs="Arial" w:eastAsia="Arial" w:hAnsi="Arial"/>
                <w:sz w:val="11"/>
                <w:szCs w:val="11"/>
                <w:b w:val="1"/>
                <w:bCs w:val="1"/>
                <w:color w:val="auto"/>
              </w:rPr>
              <w:t>(As Restated -</w:t>
            </w:r>
          </w:p>
        </w:tc>
        <w:tc>
          <w:tcPr>
            <w:tcW w:w="100" w:type="dxa"/>
            <w:vAlign w:val="bottom"/>
          </w:tcPr>
          <w:p>
            <w:pPr>
              <w:spacing w:after="0"/>
              <w:rPr>
                <w:sz w:val="8"/>
                <w:szCs w:val="8"/>
                <w:color w:val="auto"/>
              </w:rPr>
            </w:pPr>
          </w:p>
        </w:tc>
      </w:tr>
      <w:tr>
        <w:trPr>
          <w:trHeight w:val="135"/>
        </w:trPr>
        <w:tc>
          <w:tcPr>
            <w:tcW w:w="736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1"/>
              </w:rPr>
              <w:t>See Note 1)</w:t>
            </w:r>
          </w:p>
        </w:tc>
      </w:tr>
      <w:tr>
        <w:trPr>
          <w:trHeight w:val="162"/>
        </w:trPr>
        <w:tc>
          <w:tcPr>
            <w:tcW w:w="73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300" w:type="dxa"/>
            <w:vAlign w:val="bottom"/>
            <w:gridSpan w:val="6"/>
          </w:tcPr>
          <w:p>
            <w:pPr>
              <w:jc w:val="right"/>
              <w:ind w:right="960"/>
              <w:spacing w:after="0"/>
              <w:rPr>
                <w:sz w:val="20"/>
                <w:szCs w:val="20"/>
                <w:color w:val="auto"/>
              </w:rPr>
            </w:pPr>
            <w:r>
              <w:rPr>
                <w:rFonts w:ascii="Arial" w:cs="Arial" w:eastAsia="Arial" w:hAnsi="Arial"/>
                <w:sz w:val="14"/>
                <w:szCs w:val="14"/>
                <w:b w:val="1"/>
                <w:bCs w:val="1"/>
                <w:color w:val="auto"/>
              </w:rPr>
              <w:t>(in millions)</w:t>
            </w:r>
          </w:p>
        </w:tc>
      </w:tr>
      <w:tr>
        <w:trPr>
          <w:trHeight w:val="216"/>
        </w:trPr>
        <w:tc>
          <w:tcPr>
            <w:tcW w:w="73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60" w:type="dxa"/>
            <w:vAlign w:val="bottom"/>
          </w:tcPr>
          <w:p>
            <w:pPr>
              <w:spacing w:after="0"/>
              <w:rPr>
                <w:sz w:val="20"/>
                <w:szCs w:val="20"/>
                <w:color w:val="auto"/>
              </w:rPr>
            </w:pPr>
            <w:r>
              <w:rPr>
                <w:rFonts w:ascii="Arial" w:cs="Arial" w:eastAsia="Arial" w:hAnsi="Arial"/>
                <w:sz w:val="18"/>
                <w:szCs w:val="18"/>
                <w:color w:val="auto"/>
              </w:rPr>
              <w:t>Net income</w:t>
            </w:r>
          </w:p>
        </w:tc>
        <w:tc>
          <w:tcPr>
            <w:tcW w:w="176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512.7</w:t>
            </w:r>
          </w:p>
        </w:tc>
        <w:tc>
          <w:tcPr>
            <w:tcW w:w="160" w:type="dxa"/>
            <w:vAlign w:val="bottom"/>
          </w:tcPr>
          <w:p>
            <w:pPr>
              <w:spacing w:after="0"/>
              <w:rPr>
                <w:sz w:val="18"/>
                <w:szCs w:val="18"/>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444.4</w:t>
            </w:r>
          </w:p>
        </w:tc>
        <w:tc>
          <w:tcPr>
            <w:tcW w:w="100" w:type="dxa"/>
            <w:vAlign w:val="bottom"/>
          </w:tcPr>
          <w:p>
            <w:pPr>
              <w:spacing w:after="0"/>
              <w:rPr>
                <w:sz w:val="18"/>
                <w:szCs w:val="18"/>
                <w:color w:val="auto"/>
              </w:rPr>
            </w:pPr>
          </w:p>
        </w:tc>
      </w:tr>
      <w:tr>
        <w:trPr>
          <w:trHeight w:val="216"/>
        </w:trPr>
        <w:tc>
          <w:tcPr>
            <w:tcW w:w="736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60" w:type="dxa"/>
            <w:vAlign w:val="bottom"/>
          </w:tcPr>
          <w:p>
            <w:pPr>
              <w:ind w:left="180"/>
              <w:spacing w:after="0"/>
              <w:rPr>
                <w:sz w:val="20"/>
                <w:szCs w:val="20"/>
                <w:color w:val="auto"/>
              </w:rPr>
            </w:pPr>
            <w:r>
              <w:rPr>
                <w:rFonts w:ascii="Arial" w:cs="Arial" w:eastAsia="Arial" w:hAnsi="Arial"/>
                <w:sz w:val="18"/>
                <w:szCs w:val="18"/>
                <w:color w:val="auto"/>
              </w:rPr>
              <w:t>Income from discontinued operations, net of related income taxes</w:t>
            </w:r>
          </w:p>
        </w:tc>
        <w:tc>
          <w:tcPr>
            <w:tcW w:w="1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(15.9)</w:t>
            </w:r>
          </w:p>
        </w:tc>
      </w:tr>
      <w:tr>
        <w:trPr>
          <w:trHeight w:val="216"/>
        </w:trPr>
        <w:tc>
          <w:tcPr>
            <w:tcW w:w="73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Amortization of deferred policy acquisition costs</w:t>
            </w:r>
          </w:p>
        </w:tc>
        <w:tc>
          <w:tcPr>
            <w:tcW w:w="1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136.6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126.7</w:t>
            </w:r>
          </w:p>
        </w:tc>
        <w:tc>
          <w:tcPr>
            <w:tcW w:w="100" w:type="dxa"/>
            <w:vAlign w:val="bottom"/>
            <w:shd w:val="clear" w:color="auto" w:fill="CCEEFF"/>
          </w:tcPr>
          <w:p>
            <w:pPr>
              <w:spacing w:after="0"/>
              <w:rPr>
                <w:sz w:val="18"/>
                <w:szCs w:val="18"/>
                <w:color w:val="auto"/>
              </w:rPr>
            </w:pPr>
          </w:p>
        </w:tc>
      </w:tr>
      <w:tr>
        <w:trPr>
          <w:trHeight w:val="216"/>
        </w:trPr>
        <w:tc>
          <w:tcPr>
            <w:tcW w:w="7360" w:type="dxa"/>
            <w:vAlign w:val="bottom"/>
          </w:tcPr>
          <w:p>
            <w:pPr>
              <w:ind w:left="180"/>
              <w:spacing w:after="0"/>
              <w:rPr>
                <w:sz w:val="20"/>
                <w:szCs w:val="20"/>
                <w:color w:val="auto"/>
              </w:rPr>
            </w:pPr>
            <w:r>
              <w:rPr>
                <w:rFonts w:ascii="Arial" w:cs="Arial" w:eastAsia="Arial" w:hAnsi="Arial"/>
                <w:sz w:val="18"/>
                <w:szCs w:val="18"/>
                <w:color w:val="auto"/>
              </w:rPr>
              <w:t>Additions to deferred policy acquisition costs</w:t>
            </w:r>
          </w:p>
        </w:tc>
        <w:tc>
          <w:tcPr>
            <w:tcW w:w="1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(245.0)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(249.4)</w:t>
            </w:r>
          </w:p>
        </w:tc>
      </w:tr>
      <w:tr>
        <w:trPr>
          <w:trHeight w:val="216"/>
        </w:trPr>
        <w:tc>
          <w:tcPr>
            <w:tcW w:w="73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Accrued investment income</w:t>
            </w:r>
          </w:p>
        </w:tc>
        <w:tc>
          <w:tcPr>
            <w:tcW w:w="1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16.7</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w:t>
            </w:r>
          </w:p>
        </w:tc>
        <w:tc>
          <w:tcPr>
            <w:tcW w:w="100" w:type="dxa"/>
            <w:vAlign w:val="bottom"/>
            <w:shd w:val="clear" w:color="auto" w:fill="CCEEFF"/>
          </w:tcPr>
          <w:p>
            <w:pPr>
              <w:spacing w:after="0"/>
              <w:rPr>
                <w:sz w:val="18"/>
                <w:szCs w:val="18"/>
                <w:color w:val="auto"/>
              </w:rPr>
            </w:pPr>
          </w:p>
        </w:tc>
      </w:tr>
      <w:tr>
        <w:trPr>
          <w:trHeight w:val="216"/>
        </w:trPr>
        <w:tc>
          <w:tcPr>
            <w:tcW w:w="7360" w:type="dxa"/>
            <w:vAlign w:val="bottom"/>
          </w:tcPr>
          <w:p>
            <w:pPr>
              <w:ind w:left="180"/>
              <w:spacing w:after="0"/>
              <w:rPr>
                <w:sz w:val="20"/>
                <w:szCs w:val="20"/>
                <w:color w:val="auto"/>
              </w:rPr>
            </w:pPr>
            <w:r>
              <w:rPr>
                <w:rFonts w:ascii="Arial" w:cs="Arial" w:eastAsia="Arial" w:hAnsi="Arial"/>
                <w:sz w:val="18"/>
                <w:szCs w:val="18"/>
                <w:color w:val="auto"/>
              </w:rPr>
              <w:t>Net cash flows from trading securities</w:t>
            </w:r>
          </w:p>
        </w:tc>
        <w:tc>
          <w:tcPr>
            <w:tcW w:w="1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(128.5)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18"/>
                <w:szCs w:val="18"/>
                <w:color w:val="auto"/>
              </w:rPr>
            </w:pPr>
          </w:p>
        </w:tc>
      </w:tr>
      <w:tr>
        <w:trPr>
          <w:trHeight w:val="216"/>
        </w:trPr>
        <w:tc>
          <w:tcPr>
            <w:tcW w:w="73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Premiums due and other receivables</w:t>
            </w:r>
          </w:p>
        </w:tc>
        <w:tc>
          <w:tcPr>
            <w:tcW w:w="1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(22.8)</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(20.4)</w:t>
            </w:r>
          </w:p>
        </w:tc>
      </w:tr>
      <w:tr>
        <w:trPr>
          <w:trHeight w:val="216"/>
        </w:trPr>
        <w:tc>
          <w:tcPr>
            <w:tcW w:w="7360" w:type="dxa"/>
            <w:vAlign w:val="bottom"/>
          </w:tcPr>
          <w:p>
            <w:pPr>
              <w:ind w:left="180"/>
              <w:spacing w:after="0"/>
              <w:rPr>
                <w:sz w:val="20"/>
                <w:szCs w:val="20"/>
                <w:color w:val="auto"/>
              </w:rPr>
            </w:pPr>
            <w:r>
              <w:rPr>
                <w:rFonts w:ascii="Arial" w:cs="Arial" w:eastAsia="Arial" w:hAnsi="Arial"/>
                <w:sz w:val="18"/>
                <w:szCs w:val="18"/>
                <w:color w:val="auto"/>
              </w:rPr>
              <w:t>Contractholder and policyholder liabilities and dividends</w:t>
            </w:r>
          </w:p>
        </w:tc>
        <w:tc>
          <w:tcPr>
            <w:tcW w:w="1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648.5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932.3</w:t>
            </w:r>
          </w:p>
        </w:tc>
        <w:tc>
          <w:tcPr>
            <w:tcW w:w="100" w:type="dxa"/>
            <w:vAlign w:val="bottom"/>
          </w:tcPr>
          <w:p>
            <w:pPr>
              <w:spacing w:after="0"/>
              <w:rPr>
                <w:sz w:val="18"/>
                <w:szCs w:val="18"/>
                <w:color w:val="auto"/>
              </w:rPr>
            </w:pPr>
          </w:p>
        </w:tc>
      </w:tr>
      <w:tr>
        <w:trPr>
          <w:trHeight w:val="216"/>
        </w:trPr>
        <w:tc>
          <w:tcPr>
            <w:tcW w:w="73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Current and deferred income taxes</w:t>
            </w:r>
          </w:p>
        </w:tc>
        <w:tc>
          <w:tcPr>
            <w:tcW w:w="1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(34.9)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(416.0)</w:t>
            </w:r>
          </w:p>
        </w:tc>
      </w:tr>
      <w:tr>
        <w:trPr>
          <w:trHeight w:val="216"/>
        </w:trPr>
        <w:tc>
          <w:tcPr>
            <w:tcW w:w="7360" w:type="dxa"/>
            <w:vAlign w:val="bottom"/>
          </w:tcPr>
          <w:p>
            <w:pPr>
              <w:ind w:left="180"/>
              <w:spacing w:after="0"/>
              <w:rPr>
                <w:sz w:val="20"/>
                <w:szCs w:val="20"/>
                <w:color w:val="auto"/>
              </w:rPr>
            </w:pPr>
            <w:r>
              <w:rPr>
                <w:rFonts w:ascii="Arial" w:cs="Arial" w:eastAsia="Arial" w:hAnsi="Arial"/>
                <w:sz w:val="18"/>
                <w:szCs w:val="18"/>
                <w:color w:val="auto"/>
              </w:rPr>
              <w:t>Net realized/unrealized capital gains</w:t>
            </w:r>
          </w:p>
        </w:tc>
        <w:tc>
          <w:tcPr>
            <w:tcW w:w="1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(29.8)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(8.7)</w:t>
            </w:r>
          </w:p>
        </w:tc>
      </w:tr>
      <w:tr>
        <w:trPr>
          <w:trHeight w:val="216"/>
        </w:trPr>
        <w:tc>
          <w:tcPr>
            <w:tcW w:w="73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Depreciation and amortization expense</w:t>
            </w:r>
          </w:p>
        </w:tc>
        <w:tc>
          <w:tcPr>
            <w:tcW w:w="1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49.6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47.4</w:t>
            </w:r>
          </w:p>
        </w:tc>
        <w:tc>
          <w:tcPr>
            <w:tcW w:w="100" w:type="dxa"/>
            <w:vAlign w:val="bottom"/>
            <w:shd w:val="clear" w:color="auto" w:fill="CCEEFF"/>
          </w:tcPr>
          <w:p>
            <w:pPr>
              <w:spacing w:after="0"/>
              <w:rPr>
                <w:sz w:val="18"/>
                <w:szCs w:val="18"/>
                <w:color w:val="auto"/>
              </w:rPr>
            </w:pPr>
          </w:p>
        </w:tc>
      </w:tr>
      <w:tr>
        <w:trPr>
          <w:trHeight w:val="216"/>
        </w:trPr>
        <w:tc>
          <w:tcPr>
            <w:tcW w:w="7360" w:type="dxa"/>
            <w:vAlign w:val="bottom"/>
          </w:tcPr>
          <w:p>
            <w:pPr>
              <w:ind w:left="180"/>
              <w:spacing w:after="0"/>
              <w:rPr>
                <w:sz w:val="20"/>
                <w:szCs w:val="20"/>
                <w:color w:val="auto"/>
              </w:rPr>
            </w:pPr>
            <w:r>
              <w:rPr>
                <w:rFonts w:ascii="Arial" w:cs="Arial" w:eastAsia="Arial" w:hAnsi="Arial"/>
                <w:sz w:val="18"/>
                <w:szCs w:val="18"/>
                <w:color w:val="auto"/>
              </w:rPr>
              <w:t>Mortgage loans held for sale, acquired or originated</w:t>
            </w:r>
          </w:p>
        </w:tc>
        <w:tc>
          <w:tcPr>
            <w:tcW w:w="1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(282.4)</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(1,077.3)</w:t>
            </w:r>
          </w:p>
        </w:tc>
      </w:tr>
      <w:tr>
        <w:trPr>
          <w:trHeight w:val="216"/>
        </w:trPr>
        <w:tc>
          <w:tcPr>
            <w:tcW w:w="73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Mortgage loans held for sale, sold or repaid, net of gain</w:t>
            </w:r>
          </w:p>
        </w:tc>
        <w:tc>
          <w:tcPr>
            <w:tcW w:w="1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564.6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1,108.2</w:t>
            </w:r>
          </w:p>
        </w:tc>
        <w:tc>
          <w:tcPr>
            <w:tcW w:w="100" w:type="dxa"/>
            <w:vAlign w:val="bottom"/>
            <w:shd w:val="clear" w:color="auto" w:fill="CCEEFF"/>
          </w:tcPr>
          <w:p>
            <w:pPr>
              <w:spacing w:after="0"/>
              <w:rPr>
                <w:sz w:val="18"/>
                <w:szCs w:val="18"/>
                <w:color w:val="auto"/>
              </w:rPr>
            </w:pPr>
          </w:p>
        </w:tc>
      </w:tr>
      <w:tr>
        <w:trPr>
          <w:trHeight w:val="216"/>
        </w:trPr>
        <w:tc>
          <w:tcPr>
            <w:tcW w:w="7360" w:type="dxa"/>
            <w:vAlign w:val="bottom"/>
          </w:tcPr>
          <w:p>
            <w:pPr>
              <w:ind w:left="180"/>
              <w:spacing w:after="0"/>
              <w:rPr>
                <w:sz w:val="20"/>
                <w:szCs w:val="20"/>
                <w:color w:val="auto"/>
              </w:rPr>
            </w:pPr>
            <w:r>
              <w:rPr>
                <w:rFonts w:ascii="Arial" w:cs="Arial" w:eastAsia="Arial" w:hAnsi="Arial"/>
                <w:sz w:val="18"/>
                <w:szCs w:val="18"/>
                <w:color w:val="auto"/>
              </w:rPr>
              <w:t>Real estate acquired through operating activities</w:t>
            </w:r>
          </w:p>
        </w:tc>
        <w:tc>
          <w:tcPr>
            <w:tcW w:w="1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(14.7)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(26.7)</w:t>
            </w:r>
          </w:p>
        </w:tc>
      </w:tr>
      <w:tr>
        <w:trPr>
          <w:trHeight w:val="216"/>
        </w:trPr>
        <w:tc>
          <w:tcPr>
            <w:tcW w:w="73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Real estate sold through operating activities</w:t>
            </w:r>
          </w:p>
        </w:tc>
        <w:tc>
          <w:tcPr>
            <w:tcW w:w="1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100" w:type="dxa"/>
            <w:vAlign w:val="bottom"/>
            <w:shd w:val="clear" w:color="auto" w:fill="CCEEFF"/>
          </w:tcPr>
          <w:p>
            <w:pPr>
              <w:spacing w:after="0"/>
              <w:rPr>
                <w:sz w:val="18"/>
                <w:szCs w:val="18"/>
                <w:color w:val="auto"/>
              </w:rPr>
            </w:pPr>
          </w:p>
        </w:tc>
      </w:tr>
      <w:tr>
        <w:trPr>
          <w:trHeight w:val="216"/>
        </w:trPr>
        <w:tc>
          <w:tcPr>
            <w:tcW w:w="7360" w:type="dxa"/>
            <w:vAlign w:val="bottom"/>
          </w:tcPr>
          <w:p>
            <w:pPr>
              <w:ind w:left="180"/>
              <w:spacing w:after="0"/>
              <w:rPr>
                <w:sz w:val="20"/>
                <w:szCs w:val="20"/>
                <w:color w:val="auto"/>
              </w:rPr>
            </w:pPr>
            <w:r>
              <w:rPr>
                <w:rFonts w:ascii="Arial" w:cs="Arial" w:eastAsia="Arial" w:hAnsi="Arial"/>
                <w:sz w:val="18"/>
                <w:szCs w:val="18"/>
                <w:color w:val="auto"/>
              </w:rPr>
              <w:t>Stock-based compensation</w:t>
            </w:r>
          </w:p>
        </w:tc>
        <w:tc>
          <w:tcPr>
            <w:tcW w:w="1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28.9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22.9</w:t>
            </w:r>
          </w:p>
        </w:tc>
        <w:tc>
          <w:tcPr>
            <w:tcW w:w="100" w:type="dxa"/>
            <w:vAlign w:val="bottom"/>
          </w:tcPr>
          <w:p>
            <w:pPr>
              <w:spacing w:after="0"/>
              <w:rPr>
                <w:sz w:val="18"/>
                <w:szCs w:val="18"/>
                <w:color w:val="auto"/>
              </w:rPr>
            </w:pPr>
          </w:p>
        </w:tc>
      </w:tr>
      <w:tr>
        <w:trPr>
          <w:trHeight w:val="216"/>
        </w:trPr>
        <w:tc>
          <w:tcPr>
            <w:tcW w:w="73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Other</w:t>
            </w:r>
          </w:p>
        </w:tc>
        <w:tc>
          <w:tcPr>
            <w:tcW w:w="1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(106.5)</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(72.8)</w:t>
            </w:r>
          </w:p>
        </w:tc>
      </w:tr>
      <w:tr>
        <w:trPr>
          <w:trHeight w:val="210"/>
        </w:trPr>
        <w:tc>
          <w:tcPr>
            <w:tcW w:w="73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adjustments</w:t>
            </w:r>
          </w:p>
        </w:tc>
        <w:tc>
          <w:tcPr>
            <w:tcW w:w="1500" w:type="dxa"/>
            <w:vAlign w:val="bottom"/>
            <w:tcBorders>
              <w:bottom w:val="single" w:sz="8" w:color="CCEEFF"/>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592.1</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362.0</w:t>
            </w:r>
          </w:p>
        </w:tc>
        <w:tc>
          <w:tcPr>
            <w:tcW w:w="100" w:type="dxa"/>
            <w:vAlign w:val="bottom"/>
            <w:tcBorders>
              <w:bottom w:val="single" w:sz="8" w:color="CCEEFF"/>
            </w:tcBorders>
          </w:tcPr>
          <w:p>
            <w:pPr>
              <w:spacing w:after="0"/>
              <w:rPr>
                <w:sz w:val="18"/>
                <w:szCs w:val="18"/>
                <w:color w:val="auto"/>
              </w:rPr>
            </w:pPr>
          </w:p>
        </w:tc>
      </w:tr>
      <w:tr>
        <w:trPr>
          <w:trHeight w:val="210"/>
        </w:trPr>
        <w:tc>
          <w:tcPr>
            <w:tcW w:w="736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operating activities</w:t>
            </w:r>
          </w:p>
        </w:tc>
        <w:tc>
          <w:tcPr>
            <w:tcW w:w="1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1,104.8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806.4</w:t>
            </w:r>
          </w:p>
        </w:tc>
        <w:tc>
          <w:tcPr>
            <w:tcW w:w="100" w:type="dxa"/>
            <w:vAlign w:val="bottom"/>
            <w:shd w:val="clear" w:color="auto" w:fill="CCEEFF"/>
          </w:tcPr>
          <w:p>
            <w:pPr>
              <w:spacing w:after="0"/>
              <w:rPr>
                <w:sz w:val="18"/>
                <w:szCs w:val="18"/>
                <w:color w:val="auto"/>
              </w:rPr>
            </w:pPr>
          </w:p>
        </w:tc>
      </w:tr>
      <w:tr>
        <w:trPr>
          <w:trHeight w:val="216"/>
        </w:trPr>
        <w:tc>
          <w:tcPr>
            <w:tcW w:w="7360" w:type="dxa"/>
            <w:vAlign w:val="bottom"/>
          </w:tcPr>
          <w:p>
            <w:pPr>
              <w:spacing w:after="0"/>
              <w:rPr>
                <w:sz w:val="20"/>
                <w:szCs w:val="20"/>
                <w:color w:val="auto"/>
              </w:rPr>
            </w:pPr>
            <w:r>
              <w:rPr>
                <w:rFonts w:ascii="Arial" w:cs="Arial" w:eastAsia="Arial" w:hAnsi="Arial"/>
                <w:sz w:val="18"/>
                <w:szCs w:val="18"/>
                <w:b w:val="1"/>
                <w:bCs w:val="1"/>
                <w:color w:val="auto"/>
              </w:rPr>
              <w:t>Investing activities</w:t>
            </w:r>
          </w:p>
        </w:tc>
        <w:tc>
          <w:tcPr>
            <w:tcW w:w="1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60" w:type="dxa"/>
            <w:vAlign w:val="bottom"/>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1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60" w:type="dxa"/>
            <w:vAlign w:val="bottom"/>
          </w:tcPr>
          <w:p>
            <w:pPr>
              <w:ind w:left="180"/>
              <w:spacing w:after="0"/>
              <w:rPr>
                <w:sz w:val="20"/>
                <w:szCs w:val="20"/>
                <w:color w:val="auto"/>
              </w:rPr>
            </w:pPr>
            <w:r>
              <w:rPr>
                <w:rFonts w:ascii="Arial" w:cs="Arial" w:eastAsia="Arial" w:hAnsi="Arial"/>
                <w:sz w:val="18"/>
                <w:szCs w:val="18"/>
                <w:color w:val="auto"/>
              </w:rPr>
              <w:t>Purchases</w:t>
            </w:r>
          </w:p>
        </w:tc>
        <w:tc>
          <w:tcPr>
            <w:tcW w:w="1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(4,384.4)</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(4,753.5)</w:t>
            </w:r>
          </w:p>
        </w:tc>
      </w:tr>
      <w:tr>
        <w:trPr>
          <w:trHeight w:val="216"/>
        </w:trPr>
        <w:tc>
          <w:tcPr>
            <w:tcW w:w="73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Sales</w:t>
            </w:r>
          </w:p>
        </w:tc>
        <w:tc>
          <w:tcPr>
            <w:tcW w:w="1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745.3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960.1</w:t>
            </w:r>
          </w:p>
        </w:tc>
        <w:tc>
          <w:tcPr>
            <w:tcW w:w="100" w:type="dxa"/>
            <w:vAlign w:val="bottom"/>
            <w:shd w:val="clear" w:color="auto" w:fill="CCEEFF"/>
          </w:tcPr>
          <w:p>
            <w:pPr>
              <w:spacing w:after="0"/>
              <w:rPr>
                <w:sz w:val="18"/>
                <w:szCs w:val="18"/>
                <w:color w:val="auto"/>
              </w:rPr>
            </w:pPr>
          </w:p>
        </w:tc>
      </w:tr>
      <w:tr>
        <w:trPr>
          <w:trHeight w:val="234"/>
        </w:trPr>
        <w:tc>
          <w:tcPr>
            <w:tcW w:w="7360" w:type="dxa"/>
            <w:vAlign w:val="bottom"/>
          </w:tcPr>
          <w:p>
            <w:pPr>
              <w:ind w:left="180"/>
              <w:spacing w:after="0"/>
              <w:rPr>
                <w:sz w:val="20"/>
                <w:szCs w:val="20"/>
                <w:color w:val="auto"/>
              </w:rPr>
            </w:pPr>
            <w:r>
              <w:rPr>
                <w:rFonts w:ascii="Arial" w:cs="Arial" w:eastAsia="Arial" w:hAnsi="Arial"/>
                <w:sz w:val="18"/>
                <w:szCs w:val="18"/>
                <w:color w:val="auto"/>
              </w:rPr>
              <w:t>Maturities</w:t>
            </w:r>
          </w:p>
        </w:tc>
        <w:tc>
          <w:tcPr>
            <w:tcW w:w="15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1,873.0</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3,046.6</w:t>
            </w:r>
          </w:p>
        </w:tc>
        <w:tc>
          <w:tcPr>
            <w:tcW w:w="100" w:type="dxa"/>
            <w:vAlign w:val="bottom"/>
          </w:tcPr>
          <w:p>
            <w:pPr>
              <w:spacing w:after="0"/>
              <w:rPr>
                <w:sz w:val="20"/>
                <w:szCs w:val="20"/>
                <w:color w:val="auto"/>
              </w:rPr>
            </w:pPr>
          </w:p>
        </w:tc>
      </w:tr>
    </w:tbl>
    <w:p>
      <w:pPr>
        <w:sectPr>
          <w:pgSz w:w="11900" w:h="16838" w:orient="portrait"/>
          <w:cols w:equalWidth="0" w:num="1">
            <w:col w:w="11460"/>
          </w:cols>
          <w:pgMar w:left="240" w:top="125" w:right="199" w:bottom="0" w:gutter="0" w:footer="0" w:header="0"/>
        </w:sectPr>
      </w:pPr>
    </w:p>
    <w:bookmarkStart w:id="4" w:name="page5"/>
    <w:bookmarkEnd w:id="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00" w:type="dxa"/>
            <w:vAlign w:val="bottom"/>
            <w:shd w:val="clear" w:color="auto" w:fill="CCEEFF"/>
          </w:tcPr>
          <w:p>
            <w:pPr>
              <w:spacing w:after="0"/>
              <w:rPr>
                <w:sz w:val="20"/>
                <w:szCs w:val="20"/>
                <w:color w:val="auto"/>
              </w:rPr>
            </w:pPr>
            <w:r>
              <w:rPr>
                <w:rFonts w:ascii="Arial" w:cs="Arial" w:eastAsia="Arial" w:hAnsi="Arial"/>
                <w:sz w:val="18"/>
                <w:szCs w:val="18"/>
                <w:color w:val="auto"/>
              </w:rPr>
              <w:t>Mortgage loans acquired or originated</w:t>
            </w:r>
          </w:p>
        </w:tc>
        <w:tc>
          <w:tcPr>
            <w:tcW w:w="39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(1,542.5)</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(1,272.9)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Arial" w:cs="Arial" w:eastAsia="Arial" w:hAnsi="Arial"/>
                <w:sz w:val="18"/>
                <w:szCs w:val="18"/>
                <w:color w:val="auto"/>
              </w:rPr>
              <w:t>Mortgage loans sold or repaid</w:t>
            </w:r>
          </w:p>
        </w:tc>
        <w:tc>
          <w:tcPr>
            <w:tcW w:w="39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1,192.3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1,264.4</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00" w:type="dxa"/>
            <w:vAlign w:val="bottom"/>
            <w:shd w:val="clear" w:color="auto" w:fill="CCEEFF"/>
          </w:tcPr>
          <w:p>
            <w:pPr>
              <w:spacing w:after="0"/>
              <w:rPr>
                <w:sz w:val="20"/>
                <w:szCs w:val="20"/>
                <w:color w:val="auto"/>
              </w:rPr>
            </w:pPr>
            <w:r>
              <w:rPr>
                <w:rFonts w:ascii="Arial" w:cs="Arial" w:eastAsia="Arial" w:hAnsi="Arial"/>
                <w:sz w:val="18"/>
                <w:szCs w:val="18"/>
                <w:color w:val="auto"/>
              </w:rPr>
              <w:t>Real estate acquired</w:t>
            </w:r>
          </w:p>
        </w:tc>
        <w:tc>
          <w:tcPr>
            <w:tcW w:w="39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(18.7)</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(161.0)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Arial" w:cs="Arial" w:eastAsia="Arial" w:hAnsi="Arial"/>
                <w:sz w:val="18"/>
                <w:szCs w:val="18"/>
                <w:color w:val="auto"/>
              </w:rPr>
              <w:t>Real estate sold</w:t>
            </w:r>
          </w:p>
        </w:tc>
        <w:tc>
          <w:tcPr>
            <w:tcW w:w="39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11.4</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267.2</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00" w:type="dxa"/>
            <w:vAlign w:val="bottom"/>
            <w:shd w:val="clear" w:color="auto" w:fill="CCEEFF"/>
          </w:tcPr>
          <w:p>
            <w:pPr>
              <w:spacing w:after="0"/>
              <w:rPr>
                <w:sz w:val="20"/>
                <w:szCs w:val="20"/>
                <w:color w:val="auto"/>
              </w:rPr>
            </w:pPr>
            <w:r>
              <w:rPr>
                <w:rFonts w:ascii="Arial" w:cs="Arial" w:eastAsia="Arial" w:hAnsi="Arial"/>
                <w:sz w:val="18"/>
                <w:szCs w:val="18"/>
                <w:color w:val="auto"/>
              </w:rPr>
              <w:t>Net purchases of property and equipment</w:t>
            </w:r>
          </w:p>
        </w:tc>
        <w:tc>
          <w:tcPr>
            <w:tcW w:w="39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(23.2)</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Arial" w:cs="Arial" w:eastAsia="Arial" w:hAnsi="Arial"/>
                <w:sz w:val="18"/>
                <w:szCs w:val="18"/>
                <w:color w:val="auto"/>
              </w:rPr>
              <w:t>Purchases of interest in subsidiaries, net of cash acquired</w:t>
            </w:r>
          </w:p>
        </w:tc>
        <w:tc>
          <w:tcPr>
            <w:tcW w:w="39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(5.5)</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(54.4)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00" w:type="dxa"/>
            <w:vAlign w:val="bottom"/>
            <w:shd w:val="clear" w:color="auto" w:fill="CCEEFF"/>
          </w:tcPr>
          <w:p>
            <w:pPr>
              <w:spacing w:after="0"/>
              <w:rPr>
                <w:sz w:val="20"/>
                <w:szCs w:val="20"/>
                <w:color w:val="auto"/>
              </w:rPr>
            </w:pPr>
            <w:r>
              <w:rPr>
                <w:rFonts w:ascii="Arial" w:cs="Arial" w:eastAsia="Arial" w:hAnsi="Arial"/>
                <w:sz w:val="18"/>
                <w:szCs w:val="18"/>
                <w:color w:val="auto"/>
              </w:rPr>
              <w:t>Net change in other investments</w:t>
            </w:r>
          </w:p>
        </w:tc>
        <w:tc>
          <w:tcPr>
            <w:tcW w:w="39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84.3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(41.2)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00" w:type="dxa"/>
            <w:vAlign w:val="bottom"/>
            <w:vMerge w:val="restart"/>
          </w:tcPr>
          <w:p>
            <w:pPr>
              <w:spacing w:after="0"/>
              <w:rPr>
                <w:sz w:val="20"/>
                <w:szCs w:val="20"/>
                <w:color w:val="auto"/>
              </w:rPr>
            </w:pPr>
            <w:r>
              <w:rPr>
                <w:rFonts w:ascii="Arial" w:cs="Arial" w:eastAsia="Arial" w:hAnsi="Arial"/>
                <w:sz w:val="18"/>
                <w:szCs w:val="18"/>
                <w:color w:val="auto"/>
              </w:rPr>
              <w:t>Net cash used in investing activities</w:t>
            </w:r>
          </w:p>
        </w:tc>
        <w:tc>
          <w:tcPr>
            <w:tcW w:w="3960" w:type="dxa"/>
            <w:vAlign w:val="bottom"/>
            <w:vMerge w:val="restart"/>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8"/>
        </w:trPr>
        <w:tc>
          <w:tcPr>
            <w:tcW w:w="4900" w:type="dxa"/>
            <w:vAlign w:val="bottom"/>
            <w:vMerge w:val="continue"/>
          </w:tcPr>
          <w:p>
            <w:pPr>
              <w:spacing w:after="0"/>
              <w:rPr>
                <w:sz w:val="19"/>
                <w:szCs w:val="19"/>
                <w:color w:val="auto"/>
              </w:rPr>
            </w:pPr>
          </w:p>
        </w:tc>
        <w:tc>
          <w:tcPr>
            <w:tcW w:w="3960" w:type="dxa"/>
            <w:vAlign w:val="bottom"/>
            <w:vMerge w:val="continue"/>
          </w:tcPr>
          <w:p>
            <w:pPr>
              <w:spacing w:after="0"/>
              <w:rPr>
                <w:sz w:val="19"/>
                <w:szCs w:val="19"/>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(2,068.0)</w:t>
            </w:r>
          </w:p>
        </w:tc>
        <w:tc>
          <w:tcPr>
            <w:tcW w:w="120" w:type="dxa"/>
            <w:vAlign w:val="bottom"/>
            <w:vMerge w:val="continue"/>
          </w:tcPr>
          <w:p>
            <w:pPr>
              <w:spacing w:after="0"/>
              <w:rPr>
                <w:sz w:val="19"/>
                <w:szCs w:val="19"/>
                <w:color w:val="auto"/>
              </w:rPr>
            </w:pPr>
          </w:p>
        </w:tc>
        <w:tc>
          <w:tcPr>
            <w:tcW w:w="280" w:type="dxa"/>
            <w:vAlign w:val="bottom"/>
          </w:tcPr>
          <w:p>
            <w:pPr>
              <w:jc w:val="right"/>
              <w:ind w:right="125"/>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(762.8)</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46"/>
        </w:trPr>
        <w:tc>
          <w:tcPr>
            <w:tcW w:w="4900" w:type="dxa"/>
            <w:vAlign w:val="bottom"/>
          </w:tcPr>
          <w:p>
            <w:pPr>
              <w:spacing w:after="0"/>
              <w:rPr>
                <w:sz w:val="24"/>
                <w:szCs w:val="24"/>
                <w:color w:val="auto"/>
              </w:rPr>
            </w:pPr>
          </w:p>
        </w:tc>
        <w:tc>
          <w:tcPr>
            <w:tcW w:w="3960" w:type="dxa"/>
            <w:vAlign w:val="bottom"/>
          </w:tcPr>
          <w:p>
            <w:pPr>
              <w:jc w:val="right"/>
              <w:ind w:right="3010"/>
              <w:spacing w:after="0"/>
              <w:rPr>
                <w:sz w:val="20"/>
                <w:szCs w:val="20"/>
                <w:color w:val="auto"/>
              </w:rPr>
            </w:pPr>
            <w:r>
              <w:rPr>
                <w:rFonts w:ascii="Arial" w:cs="Arial" w:eastAsia="Arial" w:hAnsi="Arial"/>
                <w:sz w:val="18"/>
                <w:szCs w:val="18"/>
                <w:color w:val="auto"/>
              </w:rPr>
              <w:t>6</w:t>
            </w:r>
          </w:p>
        </w:tc>
        <w:tc>
          <w:tcPr>
            <w:tcW w:w="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4900" w:type="dxa"/>
            <w:vAlign w:val="bottom"/>
            <w:tcBorders>
              <w:bottom w:val="single" w:sz="8" w:color="010101"/>
            </w:tcBorders>
          </w:tcPr>
          <w:p>
            <w:pPr>
              <w:spacing w:after="0"/>
              <w:rPr>
                <w:sz w:val="24"/>
                <w:szCs w:val="24"/>
                <w:color w:val="auto"/>
              </w:rPr>
            </w:pPr>
          </w:p>
        </w:tc>
        <w:tc>
          <w:tcPr>
            <w:tcW w:w="3960" w:type="dxa"/>
            <w:vAlign w:val="bottom"/>
            <w:tcBorders>
              <w:bottom w:val="single" w:sz="8" w:color="010101"/>
            </w:tcBorders>
          </w:tcPr>
          <w:p>
            <w:pPr>
              <w:spacing w:after="0"/>
              <w:rPr>
                <w:sz w:val="24"/>
                <w:szCs w:val="24"/>
                <w:color w:val="auto"/>
              </w:rPr>
            </w:pPr>
          </w:p>
        </w:tc>
        <w:tc>
          <w:tcPr>
            <w:tcW w:w="300" w:type="dxa"/>
            <w:vAlign w:val="bottom"/>
            <w:tcBorders>
              <w:bottom w:val="single" w:sz="8" w:color="010101"/>
            </w:tcBorders>
          </w:tcPr>
          <w:p>
            <w:pPr>
              <w:spacing w:after="0"/>
              <w:rPr>
                <w:sz w:val="24"/>
                <w:szCs w:val="24"/>
                <w:color w:val="auto"/>
              </w:rPr>
            </w:pPr>
          </w:p>
        </w:tc>
        <w:tc>
          <w:tcPr>
            <w:tcW w:w="80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80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Cash Flows (continued)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179" w:lineRule="exact"/>
        <w:rPr>
          <w:sz w:val="20"/>
          <w:szCs w:val="20"/>
          <w:color w:val="auto"/>
        </w:rPr>
      </w:pPr>
    </w:p>
    <w:p>
      <w:pPr>
        <w:jc w:val="center"/>
        <w:ind w:left="8760"/>
        <w:spacing w:after="0"/>
        <w:rPr>
          <w:sz w:val="20"/>
          <w:szCs w:val="20"/>
          <w:color w:val="auto"/>
        </w:rPr>
      </w:pPr>
      <w:r>
        <w:rPr>
          <w:rFonts w:ascii="Arial" w:cs="Arial" w:eastAsia="Arial" w:hAnsi="Arial"/>
          <w:sz w:val="14"/>
          <w:szCs w:val="14"/>
          <w:b w:val="1"/>
          <w:bCs w:val="1"/>
          <w:color w:val="auto"/>
        </w:rPr>
        <w:t>For the six months ended,</w:t>
      </w:r>
    </w:p>
    <w:p>
      <w:pPr>
        <w:jc w:val="center"/>
        <w:ind w:left="8760"/>
        <w:spacing w:after="0" w:line="221" w:lineRule="auto"/>
        <w:rPr>
          <w:sz w:val="20"/>
          <w:szCs w:val="20"/>
          <w:color w:val="auto"/>
        </w:rPr>
      </w:pPr>
      <w:r>
        <w:rPr>
          <w:rFonts w:ascii="Arial" w:cs="Arial" w:eastAsia="Arial" w:hAnsi="Arial"/>
          <w:sz w:val="14"/>
          <w:szCs w:val="14"/>
          <w:b w:val="1"/>
          <w:bCs w:val="1"/>
          <w:color w:val="auto"/>
        </w:rPr>
        <w:t>June 30,</w:t>
      </w:r>
    </w:p>
    <w:tbl>
      <w:tblPr>
        <w:tblLayout w:type="fixed"/>
        <w:tblInd w:w="0" w:type="dxa"/>
        <w:tblCellMar>
          <w:top w:w="0" w:type="dxa"/>
          <w:left w:w="0" w:type="dxa"/>
          <w:bottom w:w="0" w:type="dxa"/>
          <w:right w:w="0" w:type="dxa"/>
        </w:tblCellMar>
      </w:tblPr>
      <w:tr>
        <w:trPr>
          <w:trHeight w:val="136"/>
        </w:trPr>
        <w:tc>
          <w:tcPr>
            <w:tcW w:w="8860" w:type="dxa"/>
            <w:vAlign w:val="bottom"/>
          </w:tcPr>
          <w:p>
            <w:pPr>
              <w:spacing w:after="0"/>
              <w:rPr>
                <w:sz w:val="11"/>
                <w:szCs w:val="11"/>
                <w:color w:val="auto"/>
              </w:rPr>
            </w:pPr>
          </w:p>
        </w:tc>
        <w:tc>
          <w:tcPr>
            <w:tcW w:w="240" w:type="dxa"/>
            <w:vAlign w:val="bottom"/>
            <w:tcBorders>
              <w:top w:val="single" w:sz="8" w:color="auto"/>
              <w:bottom w:val="single" w:sz="8" w:color="auto"/>
            </w:tcBorders>
          </w:tcPr>
          <w:p>
            <w:pPr>
              <w:spacing w:after="0"/>
              <w:rPr>
                <w:sz w:val="11"/>
                <w:szCs w:val="11"/>
                <w:color w:val="auto"/>
              </w:rPr>
            </w:pPr>
          </w:p>
        </w:tc>
        <w:tc>
          <w:tcPr>
            <w:tcW w:w="860" w:type="dxa"/>
            <w:vAlign w:val="bottom"/>
            <w:tcBorders>
              <w:top w:val="single" w:sz="8" w:color="auto"/>
              <w:bottom w:val="single" w:sz="8" w:color="auto"/>
            </w:tcBorders>
          </w:tcPr>
          <w:p>
            <w:pPr>
              <w:jc w:val="right"/>
              <w:ind w:right="331"/>
              <w:spacing w:after="0" w:line="136" w:lineRule="exact"/>
              <w:rPr>
                <w:sz w:val="20"/>
                <w:szCs w:val="20"/>
                <w:color w:val="auto"/>
              </w:rPr>
            </w:pPr>
            <w:r>
              <w:rPr>
                <w:rFonts w:ascii="Arial" w:cs="Arial" w:eastAsia="Arial" w:hAnsi="Arial"/>
                <w:sz w:val="14"/>
                <w:szCs w:val="14"/>
                <w:b w:val="1"/>
                <w:bCs w:val="1"/>
                <w:color w:val="auto"/>
              </w:rPr>
              <w:t>2006</w:t>
            </w:r>
          </w:p>
        </w:tc>
        <w:tc>
          <w:tcPr>
            <w:tcW w:w="1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1000" w:type="dxa"/>
            <w:vAlign w:val="bottom"/>
            <w:tcBorders>
              <w:top w:val="single" w:sz="8" w:color="auto"/>
              <w:bottom w:val="single" w:sz="8" w:color="auto"/>
            </w:tcBorders>
          </w:tcPr>
          <w:p>
            <w:pPr>
              <w:jc w:val="center"/>
              <w:ind w:right="33"/>
              <w:spacing w:after="0" w:line="136" w:lineRule="exact"/>
              <w:rPr>
                <w:sz w:val="20"/>
                <w:szCs w:val="20"/>
                <w:color w:val="auto"/>
              </w:rPr>
            </w:pPr>
            <w:r>
              <w:rPr>
                <w:rFonts w:ascii="Arial" w:cs="Arial" w:eastAsia="Arial" w:hAnsi="Arial"/>
                <w:sz w:val="14"/>
                <w:szCs w:val="14"/>
                <w:b w:val="1"/>
                <w:bCs w:val="1"/>
                <w:color w:val="auto"/>
                <w:w w:val="89"/>
              </w:rPr>
              <w:t>2005</w:t>
            </w: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88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0" w:type="dxa"/>
            <w:vAlign w:val="bottom"/>
          </w:tcPr>
          <w:p>
            <w:pPr>
              <w:jc w:val="center"/>
              <w:ind w:right="33"/>
              <w:spacing w:after="0" w:line="102" w:lineRule="exact"/>
              <w:rPr>
                <w:sz w:val="20"/>
                <w:szCs w:val="20"/>
                <w:color w:val="auto"/>
              </w:rPr>
            </w:pPr>
            <w:r>
              <w:rPr>
                <w:rFonts w:ascii="Arial" w:cs="Arial" w:eastAsia="Arial" w:hAnsi="Arial"/>
                <w:sz w:val="11"/>
                <w:szCs w:val="11"/>
                <w:b w:val="1"/>
                <w:bCs w:val="1"/>
                <w:color w:val="auto"/>
              </w:rPr>
              <w:t>(As Restated -</w:t>
            </w: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88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89"/>
              </w:rPr>
              <w:t>See Note 1)</w:t>
            </w:r>
          </w:p>
        </w:tc>
        <w:tc>
          <w:tcPr>
            <w:tcW w:w="0" w:type="dxa"/>
            <w:vAlign w:val="bottom"/>
          </w:tcPr>
          <w:p>
            <w:pPr>
              <w:spacing w:after="0"/>
              <w:rPr>
                <w:sz w:val="1"/>
                <w:szCs w:val="1"/>
                <w:color w:val="auto"/>
              </w:rPr>
            </w:pPr>
          </w:p>
        </w:tc>
      </w:tr>
      <w:tr>
        <w:trPr>
          <w:trHeight w:val="162"/>
        </w:trPr>
        <w:tc>
          <w:tcPr>
            <w:tcW w:w="88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320" w:type="dxa"/>
            <w:vAlign w:val="bottom"/>
            <w:gridSpan w:val="6"/>
          </w:tcPr>
          <w:p>
            <w:pPr>
              <w:jc w:val="right"/>
              <w:ind w:right="960"/>
              <w:spacing w:after="0"/>
              <w:rPr>
                <w:sz w:val="20"/>
                <w:szCs w:val="20"/>
                <w:color w:val="auto"/>
              </w:rPr>
            </w:pPr>
            <w:r>
              <w:rPr>
                <w:rFonts w:ascii="Arial" w:cs="Arial" w:eastAsia="Arial" w:hAnsi="Arial"/>
                <w:sz w:val="14"/>
                <w:szCs w:val="14"/>
                <w:b w:val="1"/>
                <w:bCs w:val="1"/>
                <w:color w:val="auto"/>
              </w:rPr>
              <w:t>(in millions)</w:t>
            </w: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Financing activities</w:t>
            </w: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60" w:type="dxa"/>
            <w:vAlign w:val="bottom"/>
          </w:tcPr>
          <w:p>
            <w:pPr>
              <w:spacing w:after="0"/>
              <w:rPr>
                <w:sz w:val="20"/>
                <w:szCs w:val="20"/>
                <w:color w:val="auto"/>
              </w:rPr>
            </w:pPr>
            <w:r>
              <w:rPr>
                <w:rFonts w:ascii="Arial" w:cs="Arial" w:eastAsia="Arial" w:hAnsi="Arial"/>
                <w:sz w:val="18"/>
                <w:szCs w:val="18"/>
                <w:color w:val="auto"/>
              </w:rPr>
              <w:t>Issuance of preferred stock</w:t>
            </w:r>
          </w:p>
        </w:tc>
        <w:tc>
          <w:tcPr>
            <w:tcW w:w="240" w:type="dxa"/>
            <w:vAlign w:val="bottom"/>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10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542.0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spacing w:after="0"/>
              <w:rPr>
                <w:sz w:val="20"/>
                <w:szCs w:val="20"/>
                <w:color w:val="auto"/>
              </w:rPr>
            </w:pPr>
            <w:r>
              <w:rPr>
                <w:rFonts w:ascii="Arial" w:cs="Arial" w:eastAsia="Arial" w:hAnsi="Arial"/>
                <w:sz w:val="18"/>
                <w:szCs w:val="18"/>
                <w:color w:val="auto"/>
              </w:rPr>
              <w:t>Issuance of common stock</w:t>
            </w: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60" w:type="dxa"/>
            <w:vAlign w:val="bottom"/>
          </w:tcPr>
          <w:p>
            <w:pPr>
              <w:spacing w:after="0"/>
              <w:rPr>
                <w:sz w:val="20"/>
                <w:szCs w:val="20"/>
                <w:color w:val="auto"/>
              </w:rPr>
            </w:pPr>
            <w:r>
              <w:rPr>
                <w:rFonts w:ascii="Arial" w:cs="Arial" w:eastAsia="Arial" w:hAnsi="Arial"/>
                <w:sz w:val="18"/>
                <w:szCs w:val="18"/>
                <w:color w:val="auto"/>
              </w:rPr>
              <w:t>Acquisition and sales of treasury stock, net</w:t>
            </w:r>
          </w:p>
        </w:tc>
        <w:tc>
          <w:tcPr>
            <w:tcW w:w="2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(751.2)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(868.4)</w:t>
            </w: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spacing w:after="0"/>
              <w:rPr>
                <w:sz w:val="20"/>
                <w:szCs w:val="20"/>
                <w:color w:val="auto"/>
              </w:rPr>
            </w:pPr>
            <w:r>
              <w:rPr>
                <w:rFonts w:ascii="Arial" w:cs="Arial" w:eastAsia="Arial" w:hAnsi="Arial"/>
                <w:sz w:val="18"/>
                <w:szCs w:val="18"/>
                <w:color w:val="auto"/>
              </w:rPr>
              <w:t>Proceeds from financing element derivatives</w:t>
            </w: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81.3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60" w:type="dxa"/>
            <w:vAlign w:val="bottom"/>
          </w:tcPr>
          <w:p>
            <w:pPr>
              <w:spacing w:after="0"/>
              <w:rPr>
                <w:sz w:val="20"/>
                <w:szCs w:val="20"/>
                <w:color w:val="auto"/>
              </w:rPr>
            </w:pPr>
            <w:r>
              <w:rPr>
                <w:rFonts w:ascii="Arial" w:cs="Arial" w:eastAsia="Arial" w:hAnsi="Arial"/>
                <w:sz w:val="18"/>
                <w:szCs w:val="18"/>
                <w:color w:val="auto"/>
              </w:rPr>
              <w:t>Payments for financing element derivatives</w:t>
            </w:r>
          </w:p>
        </w:tc>
        <w:tc>
          <w:tcPr>
            <w:tcW w:w="2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(69.9)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(55.6)</w:t>
            </w: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spacing w:after="0"/>
              <w:rPr>
                <w:sz w:val="20"/>
                <w:szCs w:val="20"/>
                <w:color w:val="auto"/>
              </w:rPr>
            </w:pPr>
            <w:r>
              <w:rPr>
                <w:rFonts w:ascii="Arial" w:cs="Arial" w:eastAsia="Arial" w:hAnsi="Arial"/>
                <w:sz w:val="18"/>
                <w:szCs w:val="18"/>
                <w:color w:val="auto"/>
              </w:rPr>
              <w:t>Excess tax benefits from share-based payment arrangements</w:t>
            </w: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860" w:type="dxa"/>
            <w:vAlign w:val="bottom"/>
          </w:tcPr>
          <w:p>
            <w:pPr>
              <w:spacing w:after="0"/>
              <w:rPr>
                <w:sz w:val="20"/>
                <w:szCs w:val="20"/>
                <w:color w:val="auto"/>
              </w:rPr>
            </w:pPr>
            <w:r>
              <w:rPr>
                <w:rFonts w:ascii="Arial" w:cs="Arial" w:eastAsia="Arial" w:hAnsi="Arial"/>
                <w:sz w:val="18"/>
                <w:szCs w:val="18"/>
                <w:color w:val="auto"/>
              </w:rPr>
              <w:t>Dividends to preferred stockholders</w:t>
            </w:r>
          </w:p>
        </w:tc>
        <w:tc>
          <w:tcPr>
            <w:tcW w:w="2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(16.5)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spacing w:after="0"/>
              <w:rPr>
                <w:sz w:val="20"/>
                <w:szCs w:val="20"/>
                <w:color w:val="auto"/>
              </w:rPr>
            </w:pPr>
            <w:r>
              <w:rPr>
                <w:rFonts w:ascii="Arial" w:cs="Arial" w:eastAsia="Arial" w:hAnsi="Arial"/>
                <w:sz w:val="18"/>
                <w:szCs w:val="18"/>
                <w:color w:val="auto"/>
              </w:rPr>
              <w:t>Issuance of long-term debt</w:t>
            </w: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8.7</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60" w:type="dxa"/>
            <w:vAlign w:val="bottom"/>
          </w:tcPr>
          <w:p>
            <w:pPr>
              <w:spacing w:after="0"/>
              <w:rPr>
                <w:sz w:val="20"/>
                <w:szCs w:val="20"/>
                <w:color w:val="auto"/>
              </w:rPr>
            </w:pPr>
            <w:r>
              <w:rPr>
                <w:rFonts w:ascii="Arial" w:cs="Arial" w:eastAsia="Arial" w:hAnsi="Arial"/>
                <w:sz w:val="18"/>
                <w:szCs w:val="18"/>
                <w:color w:val="auto"/>
              </w:rPr>
              <w:t>Principal repayments of long-term debt</w:t>
            </w:r>
          </w:p>
        </w:tc>
        <w:tc>
          <w:tcPr>
            <w:tcW w:w="2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(6.3)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spacing w:after="0"/>
              <w:rPr>
                <w:sz w:val="20"/>
                <w:szCs w:val="20"/>
                <w:color w:val="auto"/>
              </w:rPr>
            </w:pPr>
            <w:r>
              <w:rPr>
                <w:rFonts w:ascii="Arial" w:cs="Arial" w:eastAsia="Arial" w:hAnsi="Arial"/>
                <w:sz w:val="18"/>
                <w:szCs w:val="18"/>
                <w:color w:val="auto"/>
              </w:rPr>
              <w:t>Net proceeds (repayments) of short-term borrowings</w:t>
            </w:r>
          </w:p>
        </w:tc>
        <w:tc>
          <w:tcPr>
            <w:tcW w:w="2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(49.6)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172.4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60" w:type="dxa"/>
            <w:vAlign w:val="bottom"/>
          </w:tcPr>
          <w:p>
            <w:pPr>
              <w:spacing w:after="0"/>
              <w:rPr>
                <w:sz w:val="20"/>
                <w:szCs w:val="20"/>
                <w:color w:val="auto"/>
              </w:rPr>
            </w:pPr>
            <w:r>
              <w:rPr>
                <w:rFonts w:ascii="Arial" w:cs="Arial" w:eastAsia="Arial" w:hAnsi="Arial"/>
                <w:sz w:val="18"/>
                <w:szCs w:val="18"/>
                <w:color w:val="auto"/>
              </w:rPr>
              <w:t>Investment contract deposits</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4,835.7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4,072.6</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spacing w:after="0"/>
              <w:rPr>
                <w:sz w:val="20"/>
                <w:szCs w:val="20"/>
                <w:color w:val="auto"/>
              </w:rPr>
            </w:pPr>
            <w:r>
              <w:rPr>
                <w:rFonts w:ascii="Arial" w:cs="Arial" w:eastAsia="Arial" w:hAnsi="Arial"/>
                <w:sz w:val="18"/>
                <w:szCs w:val="18"/>
                <w:color w:val="auto"/>
              </w:rPr>
              <w:t>Investment contract withdrawals</w:t>
            </w:r>
          </w:p>
        </w:tc>
        <w:tc>
          <w:tcPr>
            <w:tcW w:w="2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(3,609.7)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(3,319.5)</w:t>
            </w:r>
          </w:p>
        </w:tc>
        <w:tc>
          <w:tcPr>
            <w:tcW w:w="0" w:type="dxa"/>
            <w:vAlign w:val="bottom"/>
          </w:tcPr>
          <w:p>
            <w:pPr>
              <w:spacing w:after="0"/>
              <w:rPr>
                <w:sz w:val="1"/>
                <w:szCs w:val="1"/>
                <w:color w:val="auto"/>
              </w:rPr>
            </w:pPr>
          </w:p>
        </w:tc>
      </w:tr>
      <w:tr>
        <w:trPr>
          <w:trHeight w:val="216"/>
        </w:trPr>
        <w:tc>
          <w:tcPr>
            <w:tcW w:w="88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increase in banking operation deposits</w:t>
            </w: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75.4</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22.7</w:t>
            </w:r>
          </w:p>
        </w:tc>
        <w:tc>
          <w:tcPr>
            <w:tcW w:w="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86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financing activities</w:t>
            </w: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538.8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675.7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60" w:type="dxa"/>
            <w:vAlign w:val="bottom"/>
          </w:tcPr>
          <w:p>
            <w:pPr>
              <w:spacing w:after="0"/>
              <w:rPr>
                <w:sz w:val="20"/>
                <w:szCs w:val="20"/>
                <w:color w:val="auto"/>
              </w:rPr>
            </w:pPr>
            <w:r>
              <w:rPr>
                <w:rFonts w:ascii="Arial" w:cs="Arial" w:eastAsia="Arial" w:hAnsi="Arial"/>
                <w:sz w:val="18"/>
                <w:szCs w:val="18"/>
                <w:b w:val="1"/>
                <w:bCs w:val="1"/>
                <w:color w:val="auto"/>
              </w:rPr>
              <w:t>Discontinued operations</w:t>
            </w: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operating activities</w:t>
            </w:r>
          </w:p>
        </w:tc>
        <w:tc>
          <w:tcPr>
            <w:tcW w:w="2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6"/>
        </w:trPr>
        <w:tc>
          <w:tcPr>
            <w:tcW w:w="8860" w:type="dxa"/>
            <w:vAlign w:val="bottom"/>
          </w:tcPr>
          <w:p>
            <w:pPr>
              <w:spacing w:after="0"/>
              <w:rPr>
                <w:sz w:val="20"/>
                <w:szCs w:val="20"/>
                <w:color w:val="auto"/>
              </w:rPr>
            </w:pPr>
            <w:r>
              <w:rPr>
                <w:rFonts w:ascii="Arial" w:cs="Arial" w:eastAsia="Arial" w:hAnsi="Arial"/>
                <w:sz w:val="18"/>
                <w:szCs w:val="18"/>
                <w:color w:val="auto"/>
              </w:rPr>
              <w:t>Net cash used in investing activities</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0"/>
        </w:trPr>
        <w:tc>
          <w:tcPr>
            <w:tcW w:w="886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Net cash used in discontinued operations</w:t>
            </w: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860" w:type="dxa"/>
            <w:vAlign w:val="bottom"/>
            <w:vMerge w:val="continue"/>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0"/>
        </w:trPr>
        <w:tc>
          <w:tcPr>
            <w:tcW w:w="8860" w:type="dxa"/>
            <w:vAlign w:val="bottom"/>
            <w:vMerge w:val="restart"/>
          </w:tcPr>
          <w:p>
            <w:pPr>
              <w:spacing w:after="0"/>
              <w:rPr>
                <w:sz w:val="20"/>
                <w:szCs w:val="20"/>
                <w:color w:val="auto"/>
              </w:rPr>
            </w:pPr>
            <w:r>
              <w:rPr>
                <w:rFonts w:ascii="Arial" w:cs="Arial" w:eastAsia="Arial" w:hAnsi="Arial"/>
                <w:sz w:val="18"/>
                <w:szCs w:val="18"/>
                <w:color w:val="auto"/>
              </w:rPr>
              <w:t>Net increase (decrease) in cash and cash equivalents</w:t>
            </w: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86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(424.4)</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719.1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beginning of period</w:t>
            </w:r>
          </w:p>
        </w:tc>
        <w:tc>
          <w:tcPr>
            <w:tcW w:w="2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1,641.3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452.5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88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Cash and cash equivalents at end of period</w:t>
            </w:r>
          </w:p>
        </w:tc>
        <w:tc>
          <w:tcPr>
            <w:tcW w:w="240" w:type="dxa"/>
            <w:vAlign w:val="bottom"/>
            <w:tcBorders>
              <w:bottom w:val="single" w:sz="8" w:color="auto"/>
            </w:tcBorders>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1,216.9</w:t>
            </w:r>
          </w:p>
        </w:tc>
        <w:tc>
          <w:tcPr>
            <w:tcW w:w="16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1,171.6</w:t>
            </w:r>
          </w:p>
        </w:tc>
        <w:tc>
          <w:tcPr>
            <w:tcW w:w="8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8860" w:type="dxa"/>
            <w:vAlign w:val="bottom"/>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Cash and cash equivalents of discontinued operations included above</w:t>
            </w:r>
          </w:p>
        </w:tc>
        <w:tc>
          <w:tcPr>
            <w:tcW w:w="24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8860" w:type="dxa"/>
            <w:vAlign w:val="bottom"/>
          </w:tcPr>
          <w:p>
            <w:pPr>
              <w:ind w:left="180"/>
              <w:spacing w:after="0"/>
              <w:rPr>
                <w:sz w:val="20"/>
                <w:szCs w:val="20"/>
                <w:color w:val="auto"/>
              </w:rPr>
            </w:pPr>
            <w:r>
              <w:rPr>
                <w:rFonts w:ascii="Arial" w:cs="Arial" w:eastAsia="Arial" w:hAnsi="Arial"/>
                <w:sz w:val="18"/>
                <w:szCs w:val="18"/>
                <w:color w:val="auto"/>
              </w:rPr>
              <w:t>At beginning of period</w:t>
            </w:r>
          </w:p>
        </w:tc>
        <w:tc>
          <w:tcPr>
            <w:tcW w:w="240" w:type="dxa"/>
            <w:vAlign w:val="bottom"/>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10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At end of period</w:t>
            </w: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ind w:right="6880" w:firstLine="8"/>
        <w:spacing w:after="0" w:line="503" w:lineRule="auto"/>
        <w:tabs>
          <w:tab w:leader="none" w:pos="18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Nature of Operations and Significant Accounting Policies Basis of Presentation</w:t>
      </w:r>
    </w:p>
    <w:p>
      <w:pPr>
        <w:spacing w:after="0" w:line="1" w:lineRule="exact"/>
        <w:rPr>
          <w:sz w:val="20"/>
          <w:szCs w:val="20"/>
          <w:color w:val="auto"/>
        </w:rPr>
      </w:pPr>
    </w:p>
    <w:p>
      <w:pPr>
        <w:ind w:right="40" w:firstLine="648"/>
        <w:spacing w:after="0" w:line="291" w:lineRule="auto"/>
        <w:rPr>
          <w:sz w:val="20"/>
          <w:szCs w:val="20"/>
          <w:color w:val="auto"/>
        </w:rPr>
      </w:pPr>
      <w:r>
        <w:rPr>
          <w:rFonts w:ascii="Arial" w:cs="Arial" w:eastAsia="Arial" w:hAnsi="Arial"/>
          <w:sz w:val="16"/>
          <w:szCs w:val="16"/>
          <w:color w:val="auto"/>
        </w:rPr>
        <w:t>The accompanying unaudited consolidated financial statements of Principal Financial Group, Inc. (“PFG”), its majority-owned subsidiaries and its consolidated variable interest entities (“VIE”), have been prepared in conformity with accounting principles generally accepted in the U.S. (“U.S. GAAP”) for interim financial statements and with the instructions to Form 10-Q and Article 10 of Regulation S-X. In the opinion of management, all adjustments (consisting of normal recurring accruals) considered necessary for a fair presentation have been included. Operating results for the three and six months ended June 30, 2006, are not necessarily indicative of the results that may be expected for the year ended December 31, 2006. These interim unaudited consolidated financial statements should be read in conjunction with our annual audited financial statements as of December 31, 2005, included in our Form 10-K for the year ended December 31, 2005, filed with the United States Securities and Exchange Commission (“SEC”). The accompanying consolidated statement of</w:t>
      </w:r>
    </w:p>
    <w:p>
      <w:pPr>
        <w:sectPr>
          <w:pgSz w:w="11900" w:h="16838" w:orient="portrait"/>
          <w:cols w:equalWidth="0" w:num="1">
            <w:col w:w="11460"/>
          </w:cols>
          <w:pgMar w:left="240" w:top="140" w:right="199" w:bottom="0" w:gutter="0" w:footer="0" w:header="0"/>
        </w:sectPr>
      </w:pPr>
    </w:p>
    <w:bookmarkStart w:id="5" w:name="page6"/>
    <w:bookmarkEnd w:id="5"/>
    <w:p>
      <w:pPr>
        <w:ind w:right="580"/>
        <w:spacing w:after="0" w:line="277" w:lineRule="auto"/>
        <w:rPr>
          <w:sz w:val="20"/>
          <w:szCs w:val="20"/>
          <w:color w:val="auto"/>
        </w:rPr>
      </w:pPr>
      <w:r>
        <w:rPr>
          <w:rFonts w:ascii="Arial" w:cs="Arial" w:eastAsia="Arial" w:hAnsi="Arial"/>
          <w:sz w:val="18"/>
          <w:szCs w:val="18"/>
          <w:color w:val="auto"/>
        </w:rPr>
        <w:t>financial position at December 31, 2005, has been derived from the audited consolidated statement of financial position but does not include all of the information and footnotes required by U.S. GAAP for complete financial statements.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Restatement</w:t>
      </w:r>
    </w:p>
    <w:p>
      <w:pPr>
        <w:spacing w:after="0" w:line="229"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For the year ended December 31, 2005, we separately disclosed the operating, investing and financing portions of the cash flows attributable to our discontinued operations, which in the prior interim periods were excluded from the statement of cash flows. We have restated the statements of cash flows for the interim periods of 2005 to include and separately disclose the operating, investing, and financing portions of the cash flows attributable to our discontinued operations.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229" w:lineRule="exact"/>
        <w:rPr>
          <w:sz w:val="20"/>
          <w:szCs w:val="20"/>
          <w:color w:val="auto"/>
        </w:rPr>
      </w:pPr>
    </w:p>
    <w:p>
      <w:pPr>
        <w:ind w:right="60" w:firstLine="648"/>
        <w:spacing w:after="0" w:line="289" w:lineRule="auto"/>
        <w:rPr>
          <w:sz w:val="20"/>
          <w:szCs w:val="20"/>
          <w:color w:val="auto"/>
        </w:rPr>
      </w:pPr>
      <w:r>
        <w:rPr>
          <w:rFonts w:ascii="Arial" w:cs="Arial" w:eastAsia="Arial" w:hAnsi="Arial"/>
          <w:sz w:val="16"/>
          <w:szCs w:val="16"/>
          <w:color w:val="auto"/>
        </w:rPr>
        <w:t xml:space="preserve">On July 13, 2006, the Financial Accounting Standards Board (the “FASB”) issued FASB Interpretation (“FIN”) No. 48, </w:t>
      </w:r>
      <w:r>
        <w:rPr>
          <w:rFonts w:ascii="Arial" w:cs="Arial" w:eastAsia="Arial" w:hAnsi="Arial"/>
          <w:sz w:val="16"/>
          <w:szCs w:val="16"/>
          <w:i w:val="1"/>
          <w:iCs w:val="1"/>
          <w:color w:val="auto"/>
        </w:rPr>
        <w:t>Accounting for Uncertainty</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in Income Taxes </w:t>
      </w:r>
      <w:r>
        <w:rPr>
          <w:rFonts w:ascii="Arial" w:cs="Arial" w:eastAsia="Arial" w:hAnsi="Arial"/>
          <w:sz w:val="16"/>
          <w:szCs w:val="16"/>
          <w:color w:val="auto"/>
        </w:rPr>
        <w:t>(“FIN 48”). FIN 48, which is an interpretation of Statement of Financial Accounting Standards (“SFAS”) No. 109,</w:t>
      </w:r>
      <w:r>
        <w:rPr>
          <w:rFonts w:ascii="Arial" w:cs="Arial" w:eastAsia="Arial" w:hAnsi="Arial"/>
          <w:sz w:val="16"/>
          <w:szCs w:val="16"/>
          <w:i w:val="1"/>
          <w:iCs w:val="1"/>
          <w:color w:val="auto"/>
        </w:rPr>
        <w:t xml:space="preserve"> Accounting for Income Taxes</w:t>
      </w:r>
      <w:r>
        <w:rPr>
          <w:rFonts w:ascii="Arial" w:cs="Arial" w:eastAsia="Arial" w:hAnsi="Arial"/>
          <w:sz w:val="16"/>
          <w:szCs w:val="16"/>
          <w:color w:val="auto"/>
        </w:rPr>
        <w:t>, prescribes a recognition threshold and measurement attribute for the financial statement recognition and measurement of a tax position taken, or</w:t>
      </w:r>
      <w:r>
        <w:rPr>
          <w:rFonts w:ascii="Arial" w:cs="Arial" w:eastAsia="Arial" w:hAnsi="Arial"/>
          <w:sz w:val="16"/>
          <w:szCs w:val="16"/>
          <w:i w:val="1"/>
          <w:iCs w:val="1"/>
          <w:color w:val="auto"/>
        </w:rPr>
        <w:t xml:space="preserve"> </w:t>
      </w:r>
      <w:r>
        <w:rPr>
          <w:rFonts w:ascii="Arial" w:cs="Arial" w:eastAsia="Arial" w:hAnsi="Arial"/>
          <w:sz w:val="16"/>
          <w:szCs w:val="16"/>
          <w:color w:val="auto"/>
        </w:rPr>
        <w:t>expected to be taken, in a tax return. FIN 48 requires the affirmative evaluation that it is more likely than not, based on the technical merits of a tax position, that an enterprise is entitled to economic benefits resulting from positions taken in income tax returns. If a tax position does not meet the more-likely-than-not recognition threshold, the benefit of that position is not recognized in the financial statements. FIN 48 also requires companies to disclose additional quantitative and qualitative information in their financial statements about uncertain tax positions. FIN 48 is effective for fiscal years beginning after December 15, 2006, and the cumulative effect of applying this Interpretation shall be reported as an adjustment to the opening balance of retained earnings for that fiscal year. FIN 48 is not expected to have a material impact on our consolidated financial statements.</w:t>
      </w:r>
    </w:p>
    <w:p>
      <w:pPr>
        <w:spacing w:after="0" w:line="167" w:lineRule="exact"/>
        <w:rPr>
          <w:sz w:val="20"/>
          <w:szCs w:val="20"/>
          <w:color w:val="auto"/>
        </w:rPr>
      </w:pPr>
    </w:p>
    <w:p>
      <w:pPr>
        <w:ind w:right="40" w:firstLine="648"/>
        <w:spacing w:after="0" w:line="269" w:lineRule="auto"/>
        <w:rPr>
          <w:sz w:val="20"/>
          <w:szCs w:val="20"/>
          <w:color w:val="auto"/>
        </w:rPr>
      </w:pPr>
      <w:r>
        <w:rPr>
          <w:rFonts w:ascii="Arial" w:cs="Arial" w:eastAsia="Arial" w:hAnsi="Arial"/>
          <w:sz w:val="17"/>
          <w:szCs w:val="17"/>
          <w:color w:val="auto"/>
        </w:rPr>
        <w:t xml:space="preserve">On March 17, 2006, the FASB issued SFAS No. 156, </w:t>
      </w:r>
      <w:r>
        <w:rPr>
          <w:rFonts w:ascii="Arial" w:cs="Arial" w:eastAsia="Arial" w:hAnsi="Arial"/>
          <w:sz w:val="17"/>
          <w:szCs w:val="17"/>
          <w:i w:val="1"/>
          <w:iCs w:val="1"/>
          <w:color w:val="auto"/>
        </w:rPr>
        <w:t>Accounting for Servicing of Financial Assets</w:t>
      </w:r>
      <w:r>
        <w:rPr>
          <w:rFonts w:ascii="Arial" w:cs="Arial" w:eastAsia="Arial" w:hAnsi="Arial"/>
          <w:sz w:val="17"/>
          <w:szCs w:val="17"/>
          <w:color w:val="auto"/>
        </w:rPr>
        <w:t xml:space="preserve"> (“SFAS 156”), which amends SFAS No. 140, </w:t>
      </w:r>
      <w:r>
        <w:rPr>
          <w:rFonts w:ascii="Arial" w:cs="Arial" w:eastAsia="Arial" w:hAnsi="Arial"/>
          <w:sz w:val="17"/>
          <w:szCs w:val="17"/>
          <w:i w:val="1"/>
          <w:iCs w:val="1"/>
          <w:color w:val="auto"/>
        </w:rPr>
        <w:t xml:space="preserve">Accounting for Transfers and Servicing of Financial Assets and Extinguishments of Liabilities </w:t>
      </w:r>
      <w:r>
        <w:rPr>
          <w:rFonts w:ascii="Arial" w:cs="Arial" w:eastAsia="Arial" w:hAnsi="Arial"/>
          <w:sz w:val="17"/>
          <w:szCs w:val="17"/>
          <w:color w:val="auto"/>
        </w:rPr>
        <w:t>(“SFAS 140”). This Statement (1) requires an entity to</w:t>
      </w:r>
      <w:r>
        <w:rPr>
          <w:rFonts w:ascii="Arial" w:cs="Arial" w:eastAsia="Arial" w:hAnsi="Arial"/>
          <w:sz w:val="17"/>
          <w:szCs w:val="17"/>
          <w:i w:val="1"/>
          <w:iCs w:val="1"/>
          <w:color w:val="auto"/>
        </w:rPr>
        <w:t xml:space="preserve"> </w:t>
      </w:r>
      <w:r>
        <w:rPr>
          <w:rFonts w:ascii="Arial" w:cs="Arial" w:eastAsia="Arial" w:hAnsi="Arial"/>
          <w:sz w:val="17"/>
          <w:szCs w:val="17"/>
          <w:color w:val="auto"/>
        </w:rPr>
        <w:t>recognize a servicing asset or liability each time it undertakes an obligation to service a financial asset by entering into a servicing contract in specified situations, (2) requires all separately recognized servicing assets and liabilities to be initially measured at fair value, (3) for subsequent measurement of each class of separately recognized servicing assets and liabilities, an entity can elect either the amortization or fair value measurement method, (4) permits a one-time reclassification of available-for-sale (“AFS”) securities to trading securities by an entity with recognized servicing rights, without calling into question the treatment of other AFS securities, provided the AFS securities are identified in some manner as offsetting the entity’s exposure to changes in fair value of servicing assets or liabilities that a servicer elects to subsequently measure at fair value, and (5) requires separate presentation of servicing assets and liabilities measured at fair value in the statement of financial position and also requires additional disclosures. The initial measurement requirements of this statement should be applied prospectively to all transactions entered into after the fiscal year beginning after September 15, 2006. The election related to the subsequent measurement of servicing assets and liabilities is also effective the first fiscal year beginning after September 15, 2006. SFAS 156 is not expected to have a material impact on our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 and Significant Accounting Policies (continued)</w:t>
      </w:r>
    </w:p>
    <w:p>
      <w:pPr>
        <w:spacing w:after="0" w:line="229" w:lineRule="exact"/>
        <w:rPr>
          <w:sz w:val="20"/>
          <w:szCs w:val="20"/>
          <w:color w:val="auto"/>
        </w:rPr>
      </w:pPr>
    </w:p>
    <w:p>
      <w:pPr>
        <w:ind w:right="100" w:firstLine="648"/>
        <w:spacing w:after="0" w:line="269" w:lineRule="auto"/>
        <w:rPr>
          <w:sz w:val="20"/>
          <w:szCs w:val="20"/>
          <w:color w:val="auto"/>
        </w:rPr>
      </w:pPr>
      <w:r>
        <w:rPr>
          <w:rFonts w:ascii="Arial" w:cs="Arial" w:eastAsia="Arial" w:hAnsi="Arial"/>
          <w:sz w:val="17"/>
          <w:szCs w:val="17"/>
          <w:color w:val="auto"/>
        </w:rPr>
        <w:t xml:space="preserve">On February 16, 2006, the FASB issued SFAS No. 155, </w:t>
      </w:r>
      <w:r>
        <w:rPr>
          <w:rFonts w:ascii="Arial" w:cs="Arial" w:eastAsia="Arial" w:hAnsi="Arial"/>
          <w:sz w:val="17"/>
          <w:szCs w:val="17"/>
          <w:i w:val="1"/>
          <w:iCs w:val="1"/>
          <w:color w:val="auto"/>
        </w:rPr>
        <w:t>Accounting for Certain Hybrid Financial Instruments – an amendment of FASB Statements</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No. 133 and 140 </w:t>
      </w:r>
      <w:r>
        <w:rPr>
          <w:rFonts w:ascii="Arial" w:cs="Arial" w:eastAsia="Arial" w:hAnsi="Arial"/>
          <w:sz w:val="17"/>
          <w:szCs w:val="17"/>
          <w:color w:val="auto"/>
        </w:rPr>
        <w:t>(“SFAS 155”), which amends SFAS No. 133,</w:t>
      </w:r>
      <w:r>
        <w:rPr>
          <w:rFonts w:ascii="Arial" w:cs="Arial" w:eastAsia="Arial" w:hAnsi="Arial"/>
          <w:sz w:val="17"/>
          <w:szCs w:val="17"/>
          <w:i w:val="1"/>
          <w:iCs w:val="1"/>
          <w:color w:val="auto"/>
        </w:rPr>
        <w:t xml:space="preserve"> Accounting for Derivative Instruments and Hedging Activities </w:t>
      </w:r>
      <w:r>
        <w:rPr>
          <w:rFonts w:ascii="Arial" w:cs="Arial" w:eastAsia="Arial" w:hAnsi="Arial"/>
          <w:sz w:val="17"/>
          <w:szCs w:val="17"/>
          <w:color w:val="auto"/>
        </w:rPr>
        <w:t>(“SFAS 133”) and SFAS 140.</w:t>
      </w:r>
      <w:r>
        <w:rPr>
          <w:rFonts w:ascii="Arial" w:cs="Arial" w:eastAsia="Arial" w:hAnsi="Arial"/>
          <w:sz w:val="17"/>
          <w:szCs w:val="17"/>
          <w:i w:val="1"/>
          <w:iCs w:val="1"/>
          <w:color w:val="auto"/>
        </w:rPr>
        <w:t xml:space="preserve"> </w:t>
      </w:r>
      <w:r>
        <w:rPr>
          <w:rFonts w:ascii="Arial" w:cs="Arial" w:eastAsia="Arial" w:hAnsi="Arial"/>
          <w:sz w:val="17"/>
          <w:szCs w:val="17"/>
          <w:color w:val="auto"/>
        </w:rPr>
        <w:t>SFAS 155 (1) permits fair value remeasurement for any hybrid financial instrument that contains an embedded derivative that otherwise would require bifurcation, (2) clarifies which interest-only and principal-only strips are not subject to the requirements of SFAS 133, (3) establishes a requirement to evaluate interests in securitized financial assets to identify interests that are freestanding derivatives or that are hybrid financial instruments that contain an embedded derivative requiring bifurcation, (4) clarifies that concentrations of credit risk in the form of subordination are not embedded derivatives, and (5) amends SFAS 140 to eliminate the prohibition on a qualifying special-purpose entity from holding a derivative financial instrument that pertains to a beneficial interest other than another derivative financial instrument. This Statement is effective for all financial instruments acquired or issued after the beginning of an entity’s fiscal year that begins after September 15, 2006. At adoption, the fair value election may also be applied to hybrid financial instruments that have been bifurcated under SFAS 133 prior to adoption of this Statement. Any changes resulting from the adoption of this Statement should be recognized as a cumulative effect adjustment to beginning retained earnings. SFAS 155 is not expected to have a material impact on our consolidated financial statements.</w:t>
      </w:r>
    </w:p>
    <w:p>
      <w:pPr>
        <w:spacing w:after="0" w:line="180"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 xml:space="preserve">On December 16, 2004, the FASB issued SFAS No. 123 (revised 2004), </w:t>
      </w:r>
      <w:r>
        <w:rPr>
          <w:rFonts w:ascii="Arial" w:cs="Arial" w:eastAsia="Arial" w:hAnsi="Arial"/>
          <w:sz w:val="17"/>
          <w:szCs w:val="17"/>
          <w:i w:val="1"/>
          <w:iCs w:val="1"/>
          <w:color w:val="auto"/>
        </w:rPr>
        <w:t>Share-Based Payment</w:t>
      </w:r>
      <w:r>
        <w:rPr>
          <w:rFonts w:ascii="Arial" w:cs="Arial" w:eastAsia="Arial" w:hAnsi="Arial"/>
          <w:sz w:val="17"/>
          <w:szCs w:val="17"/>
          <w:color w:val="auto"/>
        </w:rPr>
        <w:t xml:space="preserve"> (“SFAS 123R”). SFAS 123R requires all share-based payments to employees to be recognized at fair value in the financial statements. SFAS 123R replaces SFAS No. 123, </w:t>
      </w:r>
      <w:r>
        <w:rPr>
          <w:rFonts w:ascii="Arial" w:cs="Arial" w:eastAsia="Arial" w:hAnsi="Arial"/>
          <w:sz w:val="17"/>
          <w:szCs w:val="17"/>
          <w:i w:val="1"/>
          <w:iCs w:val="1"/>
          <w:color w:val="auto"/>
        </w:rPr>
        <w:t>Accounting for Stock-Based</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Compensation </w:t>
      </w:r>
      <w:r>
        <w:rPr>
          <w:rFonts w:ascii="Arial" w:cs="Arial" w:eastAsia="Arial" w:hAnsi="Arial"/>
          <w:sz w:val="17"/>
          <w:szCs w:val="17"/>
          <w:color w:val="auto"/>
        </w:rPr>
        <w:t>(“SFAS 123”), supersedes APB Opinion No. 25,</w:t>
      </w:r>
      <w:r>
        <w:rPr>
          <w:rFonts w:ascii="Arial" w:cs="Arial" w:eastAsia="Arial" w:hAnsi="Arial"/>
          <w:sz w:val="17"/>
          <w:szCs w:val="17"/>
          <w:i w:val="1"/>
          <w:iCs w:val="1"/>
          <w:color w:val="auto"/>
        </w:rPr>
        <w:t xml:space="preserve"> Accounting for Stock Issued to Employees </w:t>
      </w:r>
      <w:r>
        <w:rPr>
          <w:rFonts w:ascii="Arial" w:cs="Arial" w:eastAsia="Arial" w:hAnsi="Arial"/>
          <w:sz w:val="17"/>
          <w:szCs w:val="17"/>
          <w:color w:val="auto"/>
        </w:rPr>
        <w:t>(“APB 25”), and SFAS No. 148,</w:t>
      </w:r>
      <w:r>
        <w:rPr>
          <w:rFonts w:ascii="Arial" w:cs="Arial" w:eastAsia="Arial" w:hAnsi="Arial"/>
          <w:sz w:val="17"/>
          <w:szCs w:val="17"/>
          <w:i w:val="1"/>
          <w:iCs w:val="1"/>
          <w:color w:val="auto"/>
        </w:rPr>
        <w:t xml:space="preserve"> Accounting for Stock-Based Compensation-Transition and Disclosure - an Amendment of FASB Statement No. 123 </w:t>
      </w:r>
      <w:r>
        <w:rPr>
          <w:rFonts w:ascii="Arial" w:cs="Arial" w:eastAsia="Arial" w:hAnsi="Arial"/>
          <w:sz w:val="17"/>
          <w:szCs w:val="17"/>
          <w:color w:val="auto"/>
        </w:rPr>
        <w:t>and amends SFAS No. 95,</w:t>
      </w:r>
      <w:r>
        <w:rPr>
          <w:rFonts w:ascii="Arial" w:cs="Arial" w:eastAsia="Arial" w:hAnsi="Arial"/>
          <w:sz w:val="17"/>
          <w:szCs w:val="17"/>
          <w:i w:val="1"/>
          <w:iCs w:val="1"/>
          <w:color w:val="auto"/>
        </w:rPr>
        <w:t xml:space="preserve"> Statement of Cash Flows</w:t>
      </w:r>
      <w:r>
        <w:rPr>
          <w:rFonts w:ascii="Arial" w:cs="Arial" w:eastAsia="Arial" w:hAnsi="Arial"/>
          <w:sz w:val="17"/>
          <w:szCs w:val="17"/>
          <w:color w:val="auto"/>
        </w:rPr>
        <w:t>. On</w:t>
      </w:r>
      <w:r>
        <w:rPr>
          <w:rFonts w:ascii="Arial" w:cs="Arial" w:eastAsia="Arial" w:hAnsi="Arial"/>
          <w:sz w:val="17"/>
          <w:szCs w:val="17"/>
          <w:i w:val="1"/>
          <w:iCs w:val="1"/>
          <w:color w:val="auto"/>
        </w:rPr>
        <w:t xml:space="preserve"> </w:t>
      </w:r>
      <w:r>
        <w:rPr>
          <w:rFonts w:ascii="Arial" w:cs="Arial" w:eastAsia="Arial" w:hAnsi="Arial"/>
          <w:sz w:val="17"/>
          <w:szCs w:val="17"/>
          <w:color w:val="auto"/>
        </w:rPr>
        <w:t>April 14, 2005, the SEC approved a new rule delaying the effective date of SFAS 123R to annual periods that begin after June 15, 2005. Accordingly, we adopted SFAS 123R effective January 1, 2006 using the modified-prospective method.</w:t>
      </w:r>
    </w:p>
    <w:p>
      <w:pPr>
        <w:spacing w:after="0" w:line="178" w:lineRule="exact"/>
        <w:rPr>
          <w:sz w:val="20"/>
          <w:szCs w:val="20"/>
          <w:color w:val="auto"/>
        </w:rPr>
      </w:pPr>
    </w:p>
    <w:p>
      <w:pPr>
        <w:ind w:right="60" w:firstLine="648"/>
        <w:spacing w:after="0" w:line="293" w:lineRule="auto"/>
        <w:rPr>
          <w:sz w:val="20"/>
          <w:szCs w:val="20"/>
          <w:color w:val="auto"/>
        </w:rPr>
      </w:pPr>
      <w:r>
        <w:rPr>
          <w:rFonts w:ascii="Arial" w:cs="Arial" w:eastAsia="Arial" w:hAnsi="Arial"/>
          <w:sz w:val="16"/>
          <w:szCs w:val="16"/>
          <w:color w:val="auto"/>
        </w:rPr>
        <w:t>It is appropriate to recognize compensation cost either immediately for stock awards granted to retirement eligible employees, or over the period from the grant date to the date retirement eligibility is achieved, if retirement eligibility is expected to occur during the nominal vesting period. Our approach was to follow the widespread practice of recognizing compensation cost over the explicit service period (up to the date of actual retirement). For any awards that are granted after our adoption of SFAS 123R on January 1, 2006, we recognize compensation cost through the period that the employee first becomes eligible to retire and is no longer required to provide service to earn the award. If we had applied the nonsubstantive vesting provisions of SFAS 123R to awards granted prior to January 1, 2006, our consolidated financial statements would not have been materially impacted.</w:t>
      </w:r>
    </w:p>
    <w:p>
      <w:pPr>
        <w:sectPr>
          <w:pgSz w:w="11900" w:h="16838" w:orient="portrait"/>
          <w:cols w:equalWidth="0" w:num="1">
            <w:col w:w="11380"/>
          </w:cols>
          <w:pgMar w:left="240" w:top="125" w:right="279" w:bottom="0" w:gutter="0" w:footer="0" w:header="0"/>
        </w:sectPr>
      </w:pPr>
    </w:p>
    <w:bookmarkStart w:id="6" w:name="page7"/>
    <w:bookmarkEnd w:id="6"/>
    <w:p>
      <w:pPr>
        <w:ind w:firstLine="648"/>
        <w:spacing w:after="0" w:line="302" w:lineRule="auto"/>
        <w:rPr>
          <w:sz w:val="20"/>
          <w:szCs w:val="20"/>
          <w:color w:val="auto"/>
        </w:rPr>
      </w:pPr>
      <w:r>
        <w:rPr>
          <w:rFonts w:ascii="Arial" w:cs="Arial" w:eastAsia="Arial" w:hAnsi="Arial"/>
          <w:sz w:val="16"/>
          <w:szCs w:val="16"/>
          <w:color w:val="auto"/>
        </w:rPr>
        <w:t>SFAS 123R requires that the benefits of tax deductions in excess of recognized compensation cost be reported as a financing cash flow, rather than as an operating cash flow. This requirement will reduce net operating cash flows and increase net financing cash flows in periods after the effective date. While the Company cannot estimate what those amounts will be in the future (because they depend on, among other things, when employees exercise stock options), the amount of financing cash flows recognized for the six months ended June 30, 2006, for such excess tax deductions, was $2.6 million.</w:t>
      </w:r>
    </w:p>
    <w:p>
      <w:pPr>
        <w:spacing w:after="0" w:line="154" w:lineRule="exact"/>
        <w:rPr>
          <w:sz w:val="20"/>
          <w:szCs w:val="20"/>
          <w:color w:val="auto"/>
        </w:rPr>
      </w:pPr>
    </w:p>
    <w:p>
      <w:pPr>
        <w:ind w:right="60" w:firstLine="648"/>
        <w:spacing w:after="0" w:line="273" w:lineRule="auto"/>
        <w:rPr>
          <w:sz w:val="20"/>
          <w:szCs w:val="20"/>
          <w:color w:val="auto"/>
        </w:rPr>
      </w:pPr>
      <w:r>
        <w:rPr>
          <w:rFonts w:ascii="Arial" w:cs="Arial" w:eastAsia="Arial" w:hAnsi="Arial"/>
          <w:sz w:val="17"/>
          <w:szCs w:val="17"/>
          <w:color w:val="auto"/>
        </w:rPr>
        <w:t>Under the modified-prospective method, any excess income tax deduction realized for awards accounted for under SFAS 123R (regardless of the type of award or the jurisdiction in which the tax benefit is generated) is eligible to absorb write-offs of deferred income tax assets for any awards accounted for under SFAS 123R. SFAS 123R does not require separate pools of excess income tax benefits for separate types of awards, rather the excess income tax benefits of employee and nonemployee awards may be combined in a single pool of excess tax benefits. Our policy is to pool the employee and nonemployee awards together in this manner. Deferred income tax asset write-offs resulting from deficient deductions on employee awards may be offset against previous excess income tax benefits arising from nonemployee awards, and vice versa.</w:t>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 and Significant Accounting Policies (continued)</w:t>
      </w:r>
    </w:p>
    <w:p>
      <w:pPr>
        <w:spacing w:after="0" w:line="229"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This Statement did not have a material impact on our consolidated financial statements as we began expensing all stock options using a fair-value based method effective for the year beginning January 1, 2002. In addition, any stock options granted prior to January 1, 2002 were fully vested at the time of adoption of SFAS 123R. We use the Black-Scholes formula to estimate the value of stock options granted to employees. We applied the prospective method of transition as prescribed by SFAS 123 when we elected to begin expensing stock-based compensation in 2002. The cumulative effect of the change in accounting principle as a result of adopting this Statement is immaterial. Therefore, the pre-tax cumulative effect of the change in accounting principle is reflected in operating expenses.</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See note 9, Stock-Based Compensation Plans, for further details on our stock-based compensation.</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Separate Accounts</w:t>
      </w:r>
    </w:p>
    <w:p>
      <w:pPr>
        <w:spacing w:after="0" w:line="229" w:lineRule="exact"/>
        <w:rPr>
          <w:sz w:val="20"/>
          <w:szCs w:val="20"/>
          <w:color w:val="auto"/>
        </w:rPr>
      </w:pPr>
    </w:p>
    <w:p>
      <w:pPr>
        <w:ind w:right="100" w:firstLine="648"/>
        <w:spacing w:after="0" w:line="255" w:lineRule="auto"/>
        <w:rPr>
          <w:sz w:val="20"/>
          <w:szCs w:val="20"/>
          <w:color w:val="auto"/>
        </w:rPr>
      </w:pPr>
      <w:r>
        <w:rPr>
          <w:rFonts w:ascii="Arial" w:cs="Arial" w:eastAsia="Arial" w:hAnsi="Arial"/>
          <w:sz w:val="18"/>
          <w:szCs w:val="18"/>
          <w:color w:val="auto"/>
        </w:rPr>
        <w:t>As of June 30, 2006 and December 31, 2005, the separate accounts include a separate account valued at $775.5 million and $726.6 million, respectively, which primarily includes shares of our stock that were allocated and issued to eligible participants of qualified employee benefit plans administered by us as part of the policy credits issued under our 2001 demutualization. These shares are included in both basic and diluted earnings per share calculations. The separate account shares are recorded at fair value and are reported as separate account assets and separate account liabilities in the consolidated statements of financial position. Changes in fair value of the separate account shares are reflected in both the separate account assets and separate account liabilities and do not impact our results of operations.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Significant Unconsolidated Variable Interest Entities</w:t>
      </w:r>
    </w:p>
    <w:p>
      <w:pPr>
        <w:spacing w:after="0" w:line="229"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b w:val="1"/>
          <w:bCs w:val="1"/>
          <w:i w:val="1"/>
          <w:iCs w:val="1"/>
          <w:color w:val="auto"/>
        </w:rPr>
        <w:t xml:space="preserve">Synthetic Collateralized Debt Obligation. </w:t>
      </w:r>
      <w:r>
        <w:rPr>
          <w:rFonts w:ascii="Arial" w:cs="Arial" w:eastAsia="Arial" w:hAnsi="Arial"/>
          <w:sz w:val="18"/>
          <w:szCs w:val="18"/>
          <w:color w:val="auto"/>
        </w:rPr>
        <w:t>On June 21, 2006, we invested $285.0 million in a secured limited recourse note issued by a segregated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portfolio company. The note represents Class B notes. Class A notes are senior and Class C through Class F notes are subordinated to Class B notes. The entity entered into a credit default swap with a third party providing credit protection in exchange for a fee. Defaults in an underlying reference portfolio will only affect the note if cumulative losses of a synthetic reference portfolio exceed the loss attachment point on the portfolio. We have determined we are not the primary beneficiary, as we do not hold the majority of the risk of loss. Our maximum exposure to loss as a result of our involvement with this entity is our recorded investment of $285.0 million as of June 30, 2006.</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Federal Income Taxes</w:t>
      </w:r>
    </w:p>
    <w:p>
      <w:pPr>
        <w:spacing w:after="0" w:line="229"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The effective income tax rate on income from continuing operations for the three months and six months ended June 30, 2006 is lower than the prevailing corporate federal income tax rate primarily due to income tax deductions allowed for corporate dividends received and interest exclusion from taxable income. The effective income tax rate on income from continuing operations for the six months ended June 30, 2006 is also lower than the prevailing corporate federal income tax rate due to a favorable court ruling on a contested Internal Revenue Service issue for 1991 and later years. The effective income tax rate on income from continuing operations for the three months and six months ended June 30, 2005 is lower than the prevailing corporate federal income tax rate primarily due to income tax deductions allowed for corporate dividends received, tax credits received on our investment in a synthetic fuel facility and interest exclusion from taxable income.</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Employee and Agent Benefits</w:t>
      </w:r>
    </w:p>
    <w:p>
      <w:pPr>
        <w:spacing w:after="0" w:line="229" w:lineRule="exact"/>
        <w:rPr>
          <w:sz w:val="20"/>
          <w:szCs w:val="20"/>
          <w:color w:val="auto"/>
        </w:rPr>
      </w:pPr>
    </w:p>
    <w:p>
      <w:pPr>
        <w:ind w:right="100" w:firstLine="648"/>
        <w:spacing w:after="0" w:line="276" w:lineRule="auto"/>
        <w:rPr>
          <w:sz w:val="20"/>
          <w:szCs w:val="20"/>
          <w:color w:val="auto"/>
        </w:rPr>
      </w:pPr>
      <w:r>
        <w:rPr>
          <w:rFonts w:ascii="Arial" w:cs="Arial" w:eastAsia="Arial" w:hAnsi="Arial"/>
          <w:sz w:val="17"/>
          <w:szCs w:val="17"/>
          <w:color w:val="auto"/>
        </w:rPr>
        <w:t>Effective January 1, 2006, we made changes to our retirement program, including the Principal Select Saving Plan (“401(k)”), the Principal Pension Plan (“Pension Plan”) and the corresponding nonqualified plans. The qualified and nonqualified pension plans’ changes include a reduction to the traditional and cash balance formulas, a change in the early retirement factors, and the removal of the cost of living adjustments for traditional benefits earned after January 1, 2006. The qualified and nonqualified 401(k) plans’ company match increased from 50% of a 6% deferral to 75% of an 8% deferral. The Pension Plan changes reduced the Pension Plan expense in 2006, while the 401(k) changes increased the 401(k) expense.</w:t>
      </w:r>
    </w:p>
    <w:p>
      <w:pPr>
        <w:sectPr>
          <w:pgSz w:w="11900" w:h="16838" w:orient="portrait"/>
          <w:cols w:equalWidth="0" w:num="1">
            <w:col w:w="11420"/>
          </w:cols>
          <w:pgMar w:left="240" w:top="125" w:right="239" w:bottom="9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250190</wp:posOffset>
            </wp:positionV>
            <wp:extent cx="7267575"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5" w:right="239" w:bottom="96" w:gutter="0" w:footer="0" w:header="0"/>
          <w:type w:val="continuous"/>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ind w:right="7600" w:firstLine="8"/>
        <w:spacing w:after="0" w:line="588" w:lineRule="auto"/>
        <w:tabs>
          <w:tab w:leader="none" w:pos="180" w:val="left"/>
        </w:tabs>
        <w:numPr>
          <w:ilvl w:val="0"/>
          <w:numId w:val="4"/>
        </w:numPr>
        <w:rPr>
          <w:rFonts w:ascii="Arial" w:cs="Arial" w:eastAsia="Arial" w:hAnsi="Arial"/>
          <w:sz w:val="15"/>
          <w:szCs w:val="15"/>
          <w:b w:val="1"/>
          <w:bCs w:val="1"/>
          <w:color w:val="auto"/>
        </w:rPr>
      </w:pPr>
      <w:r>
        <w:rPr>
          <w:rFonts w:ascii="Arial" w:cs="Arial" w:eastAsia="Arial" w:hAnsi="Arial"/>
          <w:sz w:val="15"/>
          <w:szCs w:val="15"/>
          <w:b w:val="1"/>
          <w:bCs w:val="1"/>
          <w:color w:val="auto"/>
        </w:rPr>
        <w:t>Employee and Agent Benefits (continued) Components of net periodic benefit cost (income):</w:t>
      </w:r>
    </w:p>
    <w:tbl>
      <w:tblPr>
        <w:tblLayout w:type="fixed"/>
        <w:tblInd w:w="0" w:type="dxa"/>
        <w:tblCellMar>
          <w:top w:w="0" w:type="dxa"/>
          <w:left w:w="0" w:type="dxa"/>
          <w:bottom w:w="0" w:type="dxa"/>
          <w:right w:w="0" w:type="dxa"/>
        </w:tblCellMar>
      </w:tblPr>
      <w:tr>
        <w:trPr>
          <w:trHeight w:val="146"/>
        </w:trPr>
        <w:tc>
          <w:tcPr>
            <w:tcW w:w="52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580" w:type="dxa"/>
            <w:vAlign w:val="bottom"/>
            <w:gridSpan w:val="4"/>
            <w:vMerge w:val="restart"/>
          </w:tcPr>
          <w:p>
            <w:pPr>
              <w:jc w:val="center"/>
              <w:ind w:right="330"/>
              <w:spacing w:after="0"/>
              <w:rPr>
                <w:sz w:val="20"/>
                <w:szCs w:val="20"/>
                <w:color w:val="auto"/>
              </w:rPr>
            </w:pPr>
            <w:r>
              <w:rPr>
                <w:rFonts w:ascii="Arial" w:cs="Arial" w:eastAsia="Arial" w:hAnsi="Arial"/>
                <w:sz w:val="14"/>
                <w:szCs w:val="14"/>
                <w:b w:val="1"/>
                <w:bCs w:val="1"/>
                <w:color w:val="auto"/>
                <w:w w:val="89"/>
              </w:rPr>
              <w:t>Pension benefits</w:t>
            </w: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620" w:type="dxa"/>
            <w:vAlign w:val="bottom"/>
            <w:gridSpan w:val="5"/>
          </w:tcPr>
          <w:p>
            <w:pPr>
              <w:jc w:val="center"/>
              <w:ind w:right="360"/>
              <w:spacing w:after="0" w:line="145" w:lineRule="exact"/>
              <w:rPr>
                <w:sz w:val="20"/>
                <w:szCs w:val="20"/>
                <w:color w:val="auto"/>
              </w:rPr>
            </w:pPr>
            <w:r>
              <w:rPr>
                <w:rFonts w:ascii="Arial" w:cs="Arial" w:eastAsia="Arial" w:hAnsi="Arial"/>
                <w:sz w:val="14"/>
                <w:szCs w:val="14"/>
                <w:b w:val="1"/>
                <w:bCs w:val="1"/>
                <w:color w:val="auto"/>
                <w:w w:val="93"/>
              </w:rPr>
              <w:t>Other postretirement</w:t>
            </w:r>
          </w:p>
        </w:tc>
        <w:tc>
          <w:tcPr>
            <w:tcW w:w="0" w:type="dxa"/>
            <w:vAlign w:val="bottom"/>
          </w:tcPr>
          <w:p>
            <w:pPr>
              <w:spacing w:after="0"/>
              <w:rPr>
                <w:sz w:val="1"/>
                <w:szCs w:val="1"/>
                <w:color w:val="auto"/>
              </w:rPr>
            </w:pPr>
          </w:p>
        </w:tc>
      </w:tr>
      <w:tr>
        <w:trPr>
          <w:trHeight w:val="162"/>
        </w:trPr>
        <w:tc>
          <w:tcPr>
            <w:tcW w:w="5260" w:type="dxa"/>
            <w:vAlign w:val="bottom"/>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4"/>
            <w:vMerge w:val="continue"/>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gridSpan w:val="3"/>
          </w:tcPr>
          <w:p>
            <w:pPr>
              <w:jc w:val="center"/>
              <w:ind w:left="540"/>
              <w:spacing w:after="0"/>
              <w:rPr>
                <w:sz w:val="20"/>
                <w:szCs w:val="20"/>
                <w:color w:val="auto"/>
              </w:rPr>
            </w:pPr>
            <w:r>
              <w:rPr>
                <w:rFonts w:ascii="Arial" w:cs="Arial" w:eastAsia="Arial" w:hAnsi="Arial"/>
                <w:sz w:val="14"/>
                <w:szCs w:val="14"/>
                <w:b w:val="1"/>
                <w:bCs w:val="1"/>
                <w:color w:val="auto"/>
                <w:w w:val="89"/>
              </w:rPr>
              <w:t>benefits</w:t>
            </w:r>
          </w:p>
        </w:tc>
        <w:tc>
          <w:tcPr>
            <w:tcW w:w="100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5260" w:type="dxa"/>
            <w:vAlign w:val="bottom"/>
          </w:tcPr>
          <w:p>
            <w:pPr>
              <w:spacing w:after="0"/>
              <w:rPr>
                <w:sz w:val="8"/>
                <w:szCs w:val="8"/>
                <w:color w:val="auto"/>
              </w:rPr>
            </w:pPr>
          </w:p>
        </w:tc>
        <w:tc>
          <w:tcPr>
            <w:tcW w:w="2460" w:type="dxa"/>
            <w:vAlign w:val="bottom"/>
            <w:gridSpan w:val="5"/>
          </w:tcPr>
          <w:p>
            <w:pPr>
              <w:jc w:val="center"/>
              <w:ind w:left="363"/>
              <w:spacing w:after="0" w:line="102" w:lineRule="exact"/>
              <w:rPr>
                <w:sz w:val="20"/>
                <w:szCs w:val="20"/>
                <w:color w:val="auto"/>
              </w:rPr>
            </w:pPr>
            <w:r>
              <w:rPr>
                <w:rFonts w:ascii="Arial" w:cs="Arial" w:eastAsia="Arial" w:hAnsi="Arial"/>
                <w:sz w:val="11"/>
                <w:szCs w:val="11"/>
                <w:b w:val="1"/>
                <w:bCs w:val="1"/>
                <w:color w:val="auto"/>
              </w:rPr>
              <w:t>For the three months ended</w:t>
            </w: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360" w:type="dxa"/>
            <w:vAlign w:val="bottom"/>
          </w:tcPr>
          <w:p>
            <w:pPr>
              <w:spacing w:after="0"/>
              <w:rPr>
                <w:sz w:val="8"/>
                <w:szCs w:val="8"/>
                <w:color w:val="auto"/>
              </w:rPr>
            </w:pPr>
          </w:p>
        </w:tc>
        <w:tc>
          <w:tcPr>
            <w:tcW w:w="2540" w:type="dxa"/>
            <w:vAlign w:val="bottom"/>
            <w:gridSpan w:val="4"/>
          </w:tcPr>
          <w:p>
            <w:pPr>
              <w:jc w:val="center"/>
              <w:ind w:right="273"/>
              <w:spacing w:after="0" w:line="102" w:lineRule="exact"/>
              <w:rPr>
                <w:sz w:val="20"/>
                <w:szCs w:val="20"/>
                <w:color w:val="auto"/>
              </w:rPr>
            </w:pPr>
            <w:r>
              <w:rPr>
                <w:rFonts w:ascii="Arial" w:cs="Arial" w:eastAsia="Arial" w:hAnsi="Arial"/>
                <w:sz w:val="11"/>
                <w:szCs w:val="11"/>
                <w:b w:val="1"/>
                <w:bCs w:val="1"/>
                <w:color w:val="auto"/>
              </w:rPr>
              <w:t>For the three months ended</w:t>
            </w: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2"/>
        </w:trPr>
        <w:tc>
          <w:tcPr>
            <w:tcW w:w="5260" w:type="dxa"/>
            <w:vAlign w:val="bottom"/>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4"/>
          </w:tcPr>
          <w:p>
            <w:pPr>
              <w:jc w:val="center"/>
              <w:ind w:right="350"/>
              <w:spacing w:after="0"/>
              <w:rPr>
                <w:sz w:val="20"/>
                <w:szCs w:val="20"/>
                <w:color w:val="auto"/>
              </w:rPr>
            </w:pPr>
            <w:r>
              <w:rPr>
                <w:rFonts w:ascii="Arial" w:cs="Arial" w:eastAsia="Arial" w:hAnsi="Arial"/>
                <w:sz w:val="14"/>
                <w:szCs w:val="14"/>
                <w:b w:val="1"/>
                <w:bCs w:val="1"/>
                <w:color w:val="auto"/>
                <w:w w:val="89"/>
              </w:rPr>
              <w:t>June 30,</w:t>
            </w:r>
          </w:p>
        </w:tc>
        <w:tc>
          <w:tcPr>
            <w:tcW w:w="4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gridSpan w:val="3"/>
          </w:tcPr>
          <w:p>
            <w:pPr>
              <w:jc w:val="center"/>
              <w:ind w:left="560"/>
              <w:spacing w:after="0"/>
              <w:rPr>
                <w:sz w:val="20"/>
                <w:szCs w:val="20"/>
                <w:color w:val="auto"/>
              </w:rPr>
            </w:pPr>
            <w:r>
              <w:rPr>
                <w:rFonts w:ascii="Arial" w:cs="Arial" w:eastAsia="Arial" w:hAnsi="Arial"/>
                <w:sz w:val="14"/>
                <w:szCs w:val="14"/>
                <w:b w:val="1"/>
                <w:bCs w:val="1"/>
                <w:color w:val="auto"/>
                <w:w w:val="89"/>
              </w:rPr>
              <w:t>June 30,</w:t>
            </w:r>
          </w:p>
        </w:tc>
        <w:tc>
          <w:tcPr>
            <w:tcW w:w="100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5260" w:type="dxa"/>
            <w:vAlign w:val="bottom"/>
          </w:tcPr>
          <w:p>
            <w:pPr>
              <w:spacing w:after="0"/>
              <w:rPr>
                <w:sz w:val="11"/>
                <w:szCs w:val="11"/>
                <w:color w:val="auto"/>
              </w:rPr>
            </w:pPr>
          </w:p>
        </w:tc>
        <w:tc>
          <w:tcPr>
            <w:tcW w:w="880" w:type="dxa"/>
            <w:vAlign w:val="bottom"/>
            <w:tcBorders>
              <w:bottom w:val="single" w:sz="8" w:color="auto"/>
            </w:tcBorders>
          </w:tcPr>
          <w:p>
            <w:pPr>
              <w:jc w:val="right"/>
              <w:ind w:right="3"/>
              <w:spacing w:after="0" w:line="129" w:lineRule="exact"/>
              <w:rPr>
                <w:sz w:val="20"/>
                <w:szCs w:val="20"/>
                <w:color w:val="auto"/>
              </w:rPr>
            </w:pPr>
            <w:r>
              <w:rPr>
                <w:rFonts w:ascii="Arial" w:cs="Arial" w:eastAsia="Arial" w:hAnsi="Arial"/>
                <w:sz w:val="14"/>
                <w:szCs w:val="14"/>
                <w:b w:val="1"/>
                <w:bCs w:val="1"/>
                <w:color w:val="auto"/>
              </w:rPr>
              <w:t>2006</w:t>
            </w:r>
          </w:p>
        </w:tc>
        <w:tc>
          <w:tcPr>
            <w:tcW w:w="46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960" w:type="dxa"/>
            <w:vAlign w:val="bottom"/>
            <w:tcBorders>
              <w:bottom w:val="single" w:sz="8" w:color="auto"/>
            </w:tcBorders>
            <w:gridSpan w:val="2"/>
          </w:tcPr>
          <w:p>
            <w:pPr>
              <w:jc w:val="right"/>
              <w:spacing w:after="0" w:line="129" w:lineRule="exact"/>
              <w:rPr>
                <w:sz w:val="20"/>
                <w:szCs w:val="20"/>
                <w:color w:val="auto"/>
              </w:rPr>
            </w:pPr>
            <w:r>
              <w:rPr>
                <w:rFonts w:ascii="Arial" w:cs="Arial" w:eastAsia="Arial" w:hAnsi="Arial"/>
                <w:sz w:val="14"/>
                <w:szCs w:val="14"/>
                <w:b w:val="1"/>
                <w:bCs w:val="1"/>
                <w:color w:val="auto"/>
              </w:rPr>
              <w:t>2005</w:t>
            </w:r>
          </w:p>
        </w:tc>
        <w:tc>
          <w:tcPr>
            <w:tcW w:w="46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960" w:type="dxa"/>
            <w:vAlign w:val="bottom"/>
            <w:tcBorders>
              <w:bottom w:val="single" w:sz="8" w:color="auto"/>
            </w:tcBorders>
          </w:tcPr>
          <w:p>
            <w:pPr>
              <w:jc w:val="right"/>
              <w:ind w:right="440"/>
              <w:spacing w:after="0" w:line="129" w:lineRule="exact"/>
              <w:rPr>
                <w:sz w:val="20"/>
                <w:szCs w:val="20"/>
                <w:color w:val="auto"/>
              </w:rPr>
            </w:pPr>
            <w:r>
              <w:rPr>
                <w:rFonts w:ascii="Arial" w:cs="Arial" w:eastAsia="Arial" w:hAnsi="Arial"/>
                <w:sz w:val="14"/>
                <w:szCs w:val="14"/>
                <w:b w:val="1"/>
                <w:bCs w:val="1"/>
                <w:color w:val="auto"/>
              </w:rPr>
              <w:t>2006</w:t>
            </w:r>
          </w:p>
        </w:tc>
        <w:tc>
          <w:tcPr>
            <w:tcW w:w="26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1000" w:type="dxa"/>
            <w:vAlign w:val="bottom"/>
            <w:tcBorders>
              <w:bottom w:val="single" w:sz="8" w:color="auto"/>
            </w:tcBorders>
          </w:tcPr>
          <w:p>
            <w:pPr>
              <w:jc w:val="right"/>
              <w:ind w:right="433"/>
              <w:spacing w:after="0" w:line="129" w:lineRule="exact"/>
              <w:rPr>
                <w:sz w:val="20"/>
                <w:szCs w:val="20"/>
                <w:color w:val="auto"/>
              </w:rPr>
            </w:pPr>
            <w:r>
              <w:rPr>
                <w:rFonts w:ascii="Arial" w:cs="Arial" w:eastAsia="Arial" w:hAnsi="Arial"/>
                <w:sz w:val="14"/>
                <w:szCs w:val="14"/>
                <w:b w:val="1"/>
                <w:bCs w:val="1"/>
                <w:color w:val="auto"/>
              </w:rPr>
              <w:t>2005</w:t>
            </w: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52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80" w:type="dxa"/>
            <w:vAlign w:val="bottom"/>
            <w:gridSpan w:val="4"/>
          </w:tcPr>
          <w:p>
            <w:pPr>
              <w:jc w:val="right"/>
              <w:ind w:right="50"/>
              <w:spacing w:after="0" w:line="129" w:lineRule="exact"/>
              <w:rPr>
                <w:sz w:val="20"/>
                <w:szCs w:val="20"/>
                <w:color w:val="auto"/>
              </w:rPr>
            </w:pPr>
            <w:r>
              <w:rPr>
                <w:rFonts w:ascii="Arial" w:cs="Arial" w:eastAsia="Arial" w:hAnsi="Arial"/>
                <w:sz w:val="14"/>
                <w:szCs w:val="14"/>
                <w:b w:val="1"/>
                <w:bCs w:val="1"/>
                <w:color w:val="auto"/>
              </w:rPr>
              <w:t>(in millions)</w:t>
            </w:r>
          </w:p>
        </w:tc>
        <w:tc>
          <w:tcPr>
            <w:tcW w:w="9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260" w:type="dxa"/>
            <w:vAlign w:val="bottom"/>
            <w:shd w:val="clear" w:color="auto" w:fill="CCEEFF"/>
          </w:tcPr>
          <w:p>
            <w:pPr>
              <w:spacing w:after="0"/>
              <w:rPr>
                <w:sz w:val="20"/>
                <w:szCs w:val="20"/>
                <w:color w:val="auto"/>
              </w:rPr>
            </w:pPr>
            <w:r>
              <w:rPr>
                <w:rFonts w:ascii="Arial" w:cs="Arial" w:eastAsia="Arial" w:hAnsi="Arial"/>
                <w:sz w:val="18"/>
                <w:szCs w:val="18"/>
                <w:color w:val="auto"/>
              </w:rPr>
              <w:t>Service cost</w:t>
            </w:r>
          </w:p>
        </w:tc>
        <w:tc>
          <w:tcPr>
            <w:tcW w:w="880" w:type="dxa"/>
            <w:vAlign w:val="bottom"/>
            <w:shd w:val="clear" w:color="auto" w:fill="CCEEFF"/>
          </w:tcPr>
          <w:p>
            <w:pPr>
              <w:jc w:val="right"/>
              <w:ind w:right="703"/>
              <w:spacing w:after="0"/>
              <w:rPr>
                <w:sz w:val="20"/>
                <w:szCs w:val="20"/>
                <w:color w:val="auto"/>
              </w:rPr>
            </w:pPr>
            <w:r>
              <w:rPr>
                <w:rFonts w:ascii="Arial" w:cs="Arial" w:eastAsia="Arial" w:hAnsi="Arial"/>
                <w:sz w:val="18"/>
                <w:szCs w:val="18"/>
                <w:b w:val="1"/>
                <w:bCs w:val="1"/>
                <w:color w:val="auto"/>
                <w:w w:val="79"/>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11.7</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7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w:t>
            </w:r>
          </w:p>
        </w:tc>
        <w:tc>
          <w:tcPr>
            <w:tcW w:w="16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2.4</w:t>
            </w:r>
          </w:p>
        </w:tc>
        <w:tc>
          <w:tcPr>
            <w:tcW w:w="26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Arial" w:cs="Arial" w:eastAsia="Arial" w:hAnsi="Arial"/>
                <w:sz w:val="18"/>
                <w:szCs w:val="18"/>
                <w:color w:val="auto"/>
              </w:rPr>
              <w:t>Interest cost</w:t>
            </w:r>
          </w:p>
        </w:tc>
        <w:tc>
          <w:tcPr>
            <w:tcW w:w="88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b w:val="1"/>
                <w:bCs w:val="1"/>
                <w:color w:val="auto"/>
              </w:rPr>
              <w:t>20.4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19.4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4.0</w:t>
            </w:r>
          </w:p>
        </w:tc>
        <w:tc>
          <w:tcPr>
            <w:tcW w:w="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shd w:val="clear" w:color="auto" w:fill="CCEEFF"/>
          </w:tcPr>
          <w:p>
            <w:pPr>
              <w:spacing w:after="0"/>
              <w:rPr>
                <w:sz w:val="20"/>
                <w:szCs w:val="20"/>
                <w:color w:val="auto"/>
              </w:rPr>
            </w:pPr>
            <w:r>
              <w:rPr>
                <w:rFonts w:ascii="Arial" w:cs="Arial" w:eastAsia="Arial" w:hAnsi="Arial"/>
                <w:sz w:val="18"/>
                <w:szCs w:val="18"/>
                <w:color w:val="auto"/>
              </w:rPr>
              <w:t>Expected return on plan assets</w:t>
            </w:r>
          </w:p>
        </w:tc>
        <w:tc>
          <w:tcPr>
            <w:tcW w:w="8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(26.3)</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(24.1)</w:t>
            </w: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(8.1)</w:t>
            </w:r>
          </w:p>
        </w:tc>
        <w:tc>
          <w:tcPr>
            <w:tcW w:w="3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Arial" w:cs="Arial" w:eastAsia="Arial" w:hAnsi="Arial"/>
                <w:sz w:val="18"/>
                <w:szCs w:val="18"/>
                <w:color w:val="auto"/>
              </w:rPr>
              <w:t>Amortization of prior service cost (benefit)</w:t>
            </w:r>
          </w:p>
        </w:tc>
        <w:tc>
          <w:tcPr>
            <w:tcW w:w="8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(2.2)</w:t>
            </w: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0.4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(0.7)</w:t>
            </w:r>
          </w:p>
        </w:tc>
        <w:tc>
          <w:tcPr>
            <w:tcW w:w="320" w:type="dxa"/>
            <w:vAlign w:val="bottom"/>
          </w:tcPr>
          <w:p>
            <w:pPr>
              <w:spacing w:after="0"/>
              <w:rPr>
                <w:sz w:val="18"/>
                <w:szCs w:val="18"/>
                <w:color w:val="auto"/>
              </w:rPr>
            </w:pP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r>
        <w:trPr>
          <w:trHeight w:val="216"/>
        </w:trPr>
        <w:tc>
          <w:tcPr>
            <w:tcW w:w="5260" w:type="dxa"/>
            <w:vAlign w:val="bottom"/>
            <w:shd w:val="clear" w:color="auto" w:fill="CCEEFF"/>
          </w:tcPr>
          <w:p>
            <w:pPr>
              <w:spacing w:after="0"/>
              <w:rPr>
                <w:sz w:val="20"/>
                <w:szCs w:val="20"/>
                <w:color w:val="auto"/>
              </w:rPr>
            </w:pPr>
            <w:r>
              <w:rPr>
                <w:rFonts w:ascii="Arial" w:cs="Arial" w:eastAsia="Arial" w:hAnsi="Arial"/>
                <w:sz w:val="18"/>
                <w:szCs w:val="18"/>
                <w:color w:val="auto"/>
              </w:rPr>
              <w:t>Recognized net actuarial loss</w:t>
            </w:r>
          </w:p>
        </w:tc>
        <w:tc>
          <w:tcPr>
            <w:tcW w:w="88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0.1</w:t>
            </w:r>
          </w:p>
        </w:tc>
        <w:tc>
          <w:tcPr>
            <w:tcW w:w="260" w:type="dxa"/>
            <w:vAlign w:val="bottom"/>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260" w:type="dxa"/>
            <w:vAlign w:val="bottom"/>
          </w:tcPr>
          <w:p>
            <w:pPr>
              <w:spacing w:after="0"/>
              <w:rPr>
                <w:sz w:val="20"/>
                <w:szCs w:val="20"/>
                <w:color w:val="auto"/>
              </w:rPr>
            </w:pPr>
            <w:r>
              <w:rPr>
                <w:rFonts w:ascii="Arial" w:cs="Arial" w:eastAsia="Arial" w:hAnsi="Arial"/>
                <w:sz w:val="18"/>
                <w:szCs w:val="18"/>
                <w:color w:val="auto"/>
              </w:rPr>
              <w:t>Net periodic benefit cost (income)</w:t>
            </w:r>
          </w:p>
        </w:tc>
        <w:tc>
          <w:tcPr>
            <w:tcW w:w="880" w:type="dxa"/>
            <w:vAlign w:val="bottom"/>
            <w:tcBorders>
              <w:bottom w:val="single" w:sz="8" w:color="auto"/>
            </w:tcBorders>
          </w:tcPr>
          <w:p>
            <w:pPr>
              <w:jc w:val="right"/>
              <w:ind w:right="703"/>
              <w:spacing w:after="0"/>
              <w:rPr>
                <w:sz w:val="20"/>
                <w:szCs w:val="20"/>
                <w:color w:val="auto"/>
              </w:rPr>
            </w:pPr>
            <w:r>
              <w:rPr>
                <w:rFonts w:ascii="Arial" w:cs="Arial" w:eastAsia="Arial" w:hAnsi="Arial"/>
                <w:sz w:val="18"/>
                <w:szCs w:val="18"/>
                <w:b w:val="1"/>
                <w:bCs w:val="1"/>
                <w:color w:val="auto"/>
                <w:w w:val="79"/>
              </w:rPr>
              <w:t>$</w:t>
            </w: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8.7</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tcBorders>
              <w:bottom w:val="single" w:sz="8" w:color="auto"/>
            </w:tcBorders>
          </w:tcPr>
          <w:p>
            <w:pPr>
              <w:jc w:val="right"/>
              <w:ind w:right="670"/>
              <w:spacing w:after="0"/>
              <w:rPr>
                <w:sz w:val="20"/>
                <w:szCs w:val="20"/>
                <w:color w:val="auto"/>
              </w:rPr>
            </w:pPr>
            <w:r>
              <w:rPr>
                <w:rFonts w:ascii="Arial" w:cs="Arial" w:eastAsia="Arial" w:hAnsi="Arial"/>
                <w:sz w:val="18"/>
                <w:szCs w:val="18"/>
                <w:color w:val="auto"/>
                <w:w w:val="79"/>
              </w:rPr>
              <w:t>$</w:t>
            </w: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12.2</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(2.3</w:t>
            </w:r>
          </w:p>
        </w:tc>
        <w:tc>
          <w:tcPr>
            <w:tcW w:w="260" w:type="dxa"/>
            <w:vAlign w:val="bottom"/>
          </w:tcPr>
          <w:p>
            <w:pPr>
              <w:jc w:val="right"/>
              <w:ind w:right="120"/>
              <w:spacing w:after="0"/>
              <w:rPr>
                <w:sz w:val="20"/>
                <w:szCs w:val="20"/>
                <w:color w:val="auto"/>
              </w:rPr>
            </w:pPr>
            <w:r>
              <w:rPr>
                <w:rFonts w:ascii="Arial" w:cs="Arial" w:eastAsia="Arial" w:hAnsi="Arial"/>
                <w:sz w:val="16"/>
                <w:szCs w:val="16"/>
                <w:b w:val="1"/>
                <w:bCs w:val="1"/>
                <w:color w:val="auto"/>
                <w:w w:val="74"/>
              </w:rPr>
              <w:t>)</w:t>
            </w:r>
          </w:p>
        </w:tc>
        <w:tc>
          <w:tcPr>
            <w:tcW w:w="3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526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20" w:type="dxa"/>
            <w:vAlign w:val="bottom"/>
            <w:tcBorders>
              <w:bottom w:val="single" w:sz="8" w:color="auto"/>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5"/>
        </w:trPr>
        <w:tc>
          <w:tcPr>
            <w:tcW w:w="5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580" w:type="dxa"/>
            <w:vAlign w:val="bottom"/>
            <w:gridSpan w:val="4"/>
            <w:vMerge w:val="restart"/>
          </w:tcPr>
          <w:p>
            <w:pPr>
              <w:jc w:val="center"/>
              <w:ind w:right="330"/>
              <w:spacing w:after="0"/>
              <w:rPr>
                <w:sz w:val="20"/>
                <w:szCs w:val="20"/>
                <w:color w:val="auto"/>
              </w:rPr>
            </w:pPr>
            <w:r>
              <w:rPr>
                <w:rFonts w:ascii="Arial" w:cs="Arial" w:eastAsia="Arial" w:hAnsi="Arial"/>
                <w:sz w:val="14"/>
                <w:szCs w:val="14"/>
                <w:b w:val="1"/>
                <w:bCs w:val="1"/>
                <w:color w:val="auto"/>
                <w:w w:val="89"/>
              </w:rPr>
              <w:t>Pension benefits</w:t>
            </w: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620" w:type="dxa"/>
            <w:vAlign w:val="bottom"/>
            <w:gridSpan w:val="5"/>
          </w:tcPr>
          <w:p>
            <w:pPr>
              <w:jc w:val="center"/>
              <w:ind w:right="360"/>
              <w:spacing w:after="0"/>
              <w:rPr>
                <w:sz w:val="20"/>
                <w:szCs w:val="20"/>
                <w:color w:val="auto"/>
              </w:rPr>
            </w:pPr>
            <w:r>
              <w:rPr>
                <w:rFonts w:ascii="Arial" w:cs="Arial" w:eastAsia="Arial" w:hAnsi="Arial"/>
                <w:sz w:val="14"/>
                <w:szCs w:val="14"/>
                <w:b w:val="1"/>
                <w:bCs w:val="1"/>
                <w:color w:val="auto"/>
                <w:w w:val="93"/>
              </w:rPr>
              <w:t>Other postretirement</w:t>
            </w:r>
          </w:p>
        </w:tc>
        <w:tc>
          <w:tcPr>
            <w:tcW w:w="0" w:type="dxa"/>
            <w:vAlign w:val="bottom"/>
          </w:tcPr>
          <w:p>
            <w:pPr>
              <w:spacing w:after="0"/>
              <w:rPr>
                <w:sz w:val="1"/>
                <w:szCs w:val="1"/>
                <w:color w:val="auto"/>
              </w:rPr>
            </w:pPr>
          </w:p>
        </w:tc>
      </w:tr>
      <w:tr>
        <w:trPr>
          <w:trHeight w:val="162"/>
        </w:trPr>
        <w:tc>
          <w:tcPr>
            <w:tcW w:w="5260" w:type="dxa"/>
            <w:vAlign w:val="bottom"/>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4"/>
            <w:vMerge w:val="continue"/>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gridSpan w:val="3"/>
          </w:tcPr>
          <w:p>
            <w:pPr>
              <w:jc w:val="center"/>
              <w:ind w:left="540"/>
              <w:spacing w:after="0"/>
              <w:rPr>
                <w:sz w:val="20"/>
                <w:szCs w:val="20"/>
                <w:color w:val="auto"/>
              </w:rPr>
            </w:pPr>
            <w:r>
              <w:rPr>
                <w:rFonts w:ascii="Arial" w:cs="Arial" w:eastAsia="Arial" w:hAnsi="Arial"/>
                <w:sz w:val="14"/>
                <w:szCs w:val="14"/>
                <w:b w:val="1"/>
                <w:bCs w:val="1"/>
                <w:color w:val="auto"/>
                <w:w w:val="89"/>
              </w:rPr>
              <w:t>benefits</w:t>
            </w:r>
          </w:p>
        </w:tc>
        <w:tc>
          <w:tcPr>
            <w:tcW w:w="100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5260" w:type="dxa"/>
            <w:vAlign w:val="bottom"/>
          </w:tcPr>
          <w:p>
            <w:pPr>
              <w:spacing w:after="0"/>
              <w:rPr>
                <w:sz w:val="8"/>
                <w:szCs w:val="8"/>
                <w:color w:val="auto"/>
              </w:rPr>
            </w:pPr>
          </w:p>
        </w:tc>
        <w:tc>
          <w:tcPr>
            <w:tcW w:w="2460" w:type="dxa"/>
            <w:vAlign w:val="bottom"/>
            <w:gridSpan w:val="5"/>
          </w:tcPr>
          <w:p>
            <w:pPr>
              <w:jc w:val="center"/>
              <w:ind w:left="363"/>
              <w:spacing w:after="0" w:line="102" w:lineRule="exact"/>
              <w:rPr>
                <w:sz w:val="20"/>
                <w:szCs w:val="20"/>
                <w:color w:val="auto"/>
              </w:rPr>
            </w:pPr>
            <w:r>
              <w:rPr>
                <w:rFonts w:ascii="Arial" w:cs="Arial" w:eastAsia="Arial" w:hAnsi="Arial"/>
                <w:sz w:val="11"/>
                <w:szCs w:val="11"/>
                <w:b w:val="1"/>
                <w:bCs w:val="1"/>
                <w:color w:val="auto"/>
              </w:rPr>
              <w:t>For the six months ended</w:t>
            </w: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360" w:type="dxa"/>
            <w:vAlign w:val="bottom"/>
          </w:tcPr>
          <w:p>
            <w:pPr>
              <w:spacing w:after="0"/>
              <w:rPr>
                <w:sz w:val="8"/>
                <w:szCs w:val="8"/>
                <w:color w:val="auto"/>
              </w:rPr>
            </w:pPr>
          </w:p>
        </w:tc>
        <w:tc>
          <w:tcPr>
            <w:tcW w:w="2540" w:type="dxa"/>
            <w:vAlign w:val="bottom"/>
            <w:gridSpan w:val="4"/>
          </w:tcPr>
          <w:p>
            <w:pPr>
              <w:jc w:val="center"/>
              <w:ind w:right="273"/>
              <w:spacing w:after="0" w:line="102" w:lineRule="exact"/>
              <w:rPr>
                <w:sz w:val="20"/>
                <w:szCs w:val="20"/>
                <w:color w:val="auto"/>
              </w:rPr>
            </w:pPr>
            <w:r>
              <w:rPr>
                <w:rFonts w:ascii="Arial" w:cs="Arial" w:eastAsia="Arial" w:hAnsi="Arial"/>
                <w:sz w:val="11"/>
                <w:szCs w:val="11"/>
                <w:b w:val="1"/>
                <w:bCs w:val="1"/>
                <w:color w:val="auto"/>
              </w:rPr>
              <w:t>For the six months ended</w:t>
            </w: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2"/>
        </w:trPr>
        <w:tc>
          <w:tcPr>
            <w:tcW w:w="5260" w:type="dxa"/>
            <w:vAlign w:val="bottom"/>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4"/>
          </w:tcPr>
          <w:p>
            <w:pPr>
              <w:jc w:val="center"/>
              <w:ind w:right="350"/>
              <w:spacing w:after="0"/>
              <w:rPr>
                <w:sz w:val="20"/>
                <w:szCs w:val="20"/>
                <w:color w:val="auto"/>
              </w:rPr>
            </w:pPr>
            <w:r>
              <w:rPr>
                <w:rFonts w:ascii="Arial" w:cs="Arial" w:eastAsia="Arial" w:hAnsi="Arial"/>
                <w:sz w:val="14"/>
                <w:szCs w:val="14"/>
                <w:b w:val="1"/>
                <w:bCs w:val="1"/>
                <w:color w:val="auto"/>
                <w:w w:val="89"/>
              </w:rPr>
              <w:t>June 30,</w:t>
            </w:r>
          </w:p>
        </w:tc>
        <w:tc>
          <w:tcPr>
            <w:tcW w:w="4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gridSpan w:val="3"/>
          </w:tcPr>
          <w:p>
            <w:pPr>
              <w:jc w:val="center"/>
              <w:ind w:left="560"/>
              <w:spacing w:after="0"/>
              <w:rPr>
                <w:sz w:val="20"/>
                <w:szCs w:val="20"/>
                <w:color w:val="auto"/>
              </w:rPr>
            </w:pPr>
            <w:r>
              <w:rPr>
                <w:rFonts w:ascii="Arial" w:cs="Arial" w:eastAsia="Arial" w:hAnsi="Arial"/>
                <w:sz w:val="14"/>
                <w:szCs w:val="14"/>
                <w:b w:val="1"/>
                <w:bCs w:val="1"/>
                <w:color w:val="auto"/>
                <w:w w:val="89"/>
              </w:rPr>
              <w:t>June 30,</w:t>
            </w:r>
          </w:p>
        </w:tc>
        <w:tc>
          <w:tcPr>
            <w:tcW w:w="100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5260" w:type="dxa"/>
            <w:vAlign w:val="bottom"/>
          </w:tcPr>
          <w:p>
            <w:pPr>
              <w:spacing w:after="0"/>
              <w:rPr>
                <w:sz w:val="11"/>
                <w:szCs w:val="11"/>
                <w:color w:val="auto"/>
              </w:rPr>
            </w:pPr>
          </w:p>
        </w:tc>
        <w:tc>
          <w:tcPr>
            <w:tcW w:w="880" w:type="dxa"/>
            <w:vAlign w:val="bottom"/>
            <w:tcBorders>
              <w:bottom w:val="single" w:sz="8" w:color="auto"/>
            </w:tcBorders>
          </w:tcPr>
          <w:p>
            <w:pPr>
              <w:jc w:val="right"/>
              <w:ind w:right="3"/>
              <w:spacing w:after="0" w:line="129" w:lineRule="exact"/>
              <w:rPr>
                <w:sz w:val="20"/>
                <w:szCs w:val="20"/>
                <w:color w:val="auto"/>
              </w:rPr>
            </w:pPr>
            <w:r>
              <w:rPr>
                <w:rFonts w:ascii="Arial" w:cs="Arial" w:eastAsia="Arial" w:hAnsi="Arial"/>
                <w:sz w:val="14"/>
                <w:szCs w:val="14"/>
                <w:b w:val="1"/>
                <w:bCs w:val="1"/>
                <w:color w:val="auto"/>
              </w:rPr>
              <w:t>2006</w:t>
            </w:r>
          </w:p>
        </w:tc>
        <w:tc>
          <w:tcPr>
            <w:tcW w:w="46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960" w:type="dxa"/>
            <w:vAlign w:val="bottom"/>
            <w:tcBorders>
              <w:bottom w:val="single" w:sz="8" w:color="auto"/>
            </w:tcBorders>
            <w:gridSpan w:val="2"/>
          </w:tcPr>
          <w:p>
            <w:pPr>
              <w:jc w:val="right"/>
              <w:spacing w:after="0" w:line="129" w:lineRule="exact"/>
              <w:rPr>
                <w:sz w:val="20"/>
                <w:szCs w:val="20"/>
                <w:color w:val="auto"/>
              </w:rPr>
            </w:pPr>
            <w:r>
              <w:rPr>
                <w:rFonts w:ascii="Arial" w:cs="Arial" w:eastAsia="Arial" w:hAnsi="Arial"/>
                <w:sz w:val="14"/>
                <w:szCs w:val="14"/>
                <w:b w:val="1"/>
                <w:bCs w:val="1"/>
                <w:color w:val="auto"/>
              </w:rPr>
              <w:t>2005</w:t>
            </w:r>
          </w:p>
        </w:tc>
        <w:tc>
          <w:tcPr>
            <w:tcW w:w="46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960" w:type="dxa"/>
            <w:vAlign w:val="bottom"/>
            <w:tcBorders>
              <w:bottom w:val="single" w:sz="8" w:color="auto"/>
            </w:tcBorders>
          </w:tcPr>
          <w:p>
            <w:pPr>
              <w:jc w:val="right"/>
              <w:ind w:right="440"/>
              <w:spacing w:after="0" w:line="129" w:lineRule="exact"/>
              <w:rPr>
                <w:sz w:val="20"/>
                <w:szCs w:val="20"/>
                <w:color w:val="auto"/>
              </w:rPr>
            </w:pPr>
            <w:r>
              <w:rPr>
                <w:rFonts w:ascii="Arial" w:cs="Arial" w:eastAsia="Arial" w:hAnsi="Arial"/>
                <w:sz w:val="14"/>
                <w:szCs w:val="14"/>
                <w:b w:val="1"/>
                <w:bCs w:val="1"/>
                <w:color w:val="auto"/>
              </w:rPr>
              <w:t>2006</w:t>
            </w:r>
          </w:p>
        </w:tc>
        <w:tc>
          <w:tcPr>
            <w:tcW w:w="26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1000" w:type="dxa"/>
            <w:vAlign w:val="bottom"/>
            <w:tcBorders>
              <w:bottom w:val="single" w:sz="8" w:color="auto"/>
            </w:tcBorders>
          </w:tcPr>
          <w:p>
            <w:pPr>
              <w:jc w:val="right"/>
              <w:ind w:right="433"/>
              <w:spacing w:after="0" w:line="129" w:lineRule="exact"/>
              <w:rPr>
                <w:sz w:val="20"/>
                <w:szCs w:val="20"/>
                <w:color w:val="auto"/>
              </w:rPr>
            </w:pPr>
            <w:r>
              <w:rPr>
                <w:rFonts w:ascii="Arial" w:cs="Arial" w:eastAsia="Arial" w:hAnsi="Arial"/>
                <w:sz w:val="14"/>
                <w:szCs w:val="14"/>
                <w:b w:val="1"/>
                <w:bCs w:val="1"/>
                <w:color w:val="auto"/>
              </w:rPr>
              <w:t>2005</w:t>
            </w: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52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80" w:type="dxa"/>
            <w:vAlign w:val="bottom"/>
            <w:gridSpan w:val="4"/>
          </w:tcPr>
          <w:p>
            <w:pPr>
              <w:jc w:val="right"/>
              <w:ind w:right="50"/>
              <w:spacing w:after="0" w:line="129" w:lineRule="exact"/>
              <w:rPr>
                <w:sz w:val="20"/>
                <w:szCs w:val="20"/>
                <w:color w:val="auto"/>
              </w:rPr>
            </w:pPr>
            <w:r>
              <w:rPr>
                <w:rFonts w:ascii="Arial" w:cs="Arial" w:eastAsia="Arial" w:hAnsi="Arial"/>
                <w:sz w:val="14"/>
                <w:szCs w:val="14"/>
                <w:b w:val="1"/>
                <w:bCs w:val="1"/>
                <w:color w:val="auto"/>
              </w:rPr>
              <w:t>(in millions)</w:t>
            </w:r>
          </w:p>
        </w:tc>
        <w:tc>
          <w:tcPr>
            <w:tcW w:w="9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260" w:type="dxa"/>
            <w:vAlign w:val="bottom"/>
            <w:shd w:val="clear" w:color="auto" w:fill="CCEEFF"/>
          </w:tcPr>
          <w:p>
            <w:pPr>
              <w:spacing w:after="0"/>
              <w:rPr>
                <w:sz w:val="20"/>
                <w:szCs w:val="20"/>
                <w:color w:val="auto"/>
              </w:rPr>
            </w:pPr>
            <w:r>
              <w:rPr>
                <w:rFonts w:ascii="Arial" w:cs="Arial" w:eastAsia="Arial" w:hAnsi="Arial"/>
                <w:sz w:val="18"/>
                <w:szCs w:val="18"/>
                <w:color w:val="auto"/>
              </w:rPr>
              <w:t>Service cost</w:t>
            </w:r>
          </w:p>
        </w:tc>
        <w:tc>
          <w:tcPr>
            <w:tcW w:w="880" w:type="dxa"/>
            <w:vAlign w:val="bottom"/>
            <w:shd w:val="clear" w:color="auto" w:fill="CCEEFF"/>
          </w:tcPr>
          <w:p>
            <w:pPr>
              <w:jc w:val="right"/>
              <w:ind w:right="703"/>
              <w:spacing w:after="0"/>
              <w:rPr>
                <w:sz w:val="20"/>
                <w:szCs w:val="20"/>
                <w:color w:val="auto"/>
              </w:rPr>
            </w:pPr>
            <w:r>
              <w:rPr>
                <w:rFonts w:ascii="Arial" w:cs="Arial" w:eastAsia="Arial" w:hAnsi="Arial"/>
                <w:sz w:val="18"/>
                <w:szCs w:val="18"/>
                <w:b w:val="1"/>
                <w:bCs w:val="1"/>
                <w:color w:val="auto"/>
                <w:w w:val="79"/>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23.5</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7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24.8</w:t>
            </w:r>
          </w:p>
        </w:tc>
        <w:tc>
          <w:tcPr>
            <w:tcW w:w="16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4.7</w:t>
            </w:r>
          </w:p>
        </w:tc>
        <w:tc>
          <w:tcPr>
            <w:tcW w:w="26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Arial" w:cs="Arial" w:eastAsia="Arial" w:hAnsi="Arial"/>
                <w:sz w:val="18"/>
                <w:szCs w:val="18"/>
                <w:color w:val="auto"/>
              </w:rPr>
              <w:t>Interest cost</w:t>
            </w:r>
          </w:p>
        </w:tc>
        <w:tc>
          <w:tcPr>
            <w:tcW w:w="88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b w:val="1"/>
                <w:bCs w:val="1"/>
                <w:color w:val="auto"/>
              </w:rPr>
              <w:t>40.8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38.7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8.1</w:t>
            </w:r>
          </w:p>
        </w:tc>
        <w:tc>
          <w:tcPr>
            <w:tcW w:w="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8.4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shd w:val="clear" w:color="auto" w:fill="CCEEFF"/>
          </w:tcPr>
          <w:p>
            <w:pPr>
              <w:spacing w:after="0"/>
              <w:rPr>
                <w:sz w:val="20"/>
                <w:szCs w:val="20"/>
                <w:color w:val="auto"/>
              </w:rPr>
            </w:pPr>
            <w:r>
              <w:rPr>
                <w:rFonts w:ascii="Arial" w:cs="Arial" w:eastAsia="Arial" w:hAnsi="Arial"/>
                <w:sz w:val="18"/>
                <w:szCs w:val="18"/>
                <w:color w:val="auto"/>
              </w:rPr>
              <w:t>Expected return on plan assets</w:t>
            </w:r>
          </w:p>
        </w:tc>
        <w:tc>
          <w:tcPr>
            <w:tcW w:w="8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(52.7)</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(48.1)</w:t>
            </w: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(16.2)</w:t>
            </w:r>
          </w:p>
        </w:tc>
        <w:tc>
          <w:tcPr>
            <w:tcW w:w="3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(14.7)</w:t>
            </w: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Arial" w:cs="Arial" w:eastAsia="Arial" w:hAnsi="Arial"/>
                <w:sz w:val="18"/>
                <w:szCs w:val="18"/>
                <w:color w:val="auto"/>
              </w:rPr>
              <w:t>Amortization of prior service cost (benefit)</w:t>
            </w:r>
          </w:p>
        </w:tc>
        <w:tc>
          <w:tcPr>
            <w:tcW w:w="8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(4.5)</w:t>
            </w: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0.7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(1.3)</w:t>
            </w:r>
          </w:p>
        </w:tc>
        <w:tc>
          <w:tcPr>
            <w:tcW w:w="320" w:type="dxa"/>
            <w:vAlign w:val="bottom"/>
          </w:tcPr>
          <w:p>
            <w:pPr>
              <w:spacing w:after="0"/>
              <w:rPr>
                <w:sz w:val="18"/>
                <w:szCs w:val="18"/>
                <w:color w:val="auto"/>
              </w:rPr>
            </w:pP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5260" w:type="dxa"/>
            <w:vAlign w:val="bottom"/>
            <w:shd w:val="clear" w:color="auto" w:fill="CCEEFF"/>
          </w:tcPr>
          <w:p>
            <w:pPr>
              <w:spacing w:after="0"/>
              <w:rPr>
                <w:sz w:val="20"/>
                <w:szCs w:val="20"/>
                <w:color w:val="auto"/>
              </w:rPr>
            </w:pPr>
            <w:r>
              <w:rPr>
                <w:rFonts w:ascii="Arial" w:cs="Arial" w:eastAsia="Arial" w:hAnsi="Arial"/>
                <w:sz w:val="18"/>
                <w:szCs w:val="18"/>
                <w:color w:val="auto"/>
              </w:rPr>
              <w:t>Recognized net actuarial loss</w:t>
            </w:r>
          </w:p>
        </w:tc>
        <w:tc>
          <w:tcPr>
            <w:tcW w:w="88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10.2</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0.1</w:t>
            </w:r>
          </w:p>
        </w:tc>
        <w:tc>
          <w:tcPr>
            <w:tcW w:w="260" w:type="dxa"/>
            <w:vAlign w:val="bottom"/>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260" w:type="dxa"/>
            <w:vAlign w:val="bottom"/>
          </w:tcPr>
          <w:p>
            <w:pPr>
              <w:spacing w:after="0"/>
              <w:rPr>
                <w:sz w:val="20"/>
                <w:szCs w:val="20"/>
                <w:color w:val="auto"/>
              </w:rPr>
            </w:pPr>
            <w:r>
              <w:rPr>
                <w:rFonts w:ascii="Arial" w:cs="Arial" w:eastAsia="Arial" w:hAnsi="Arial"/>
                <w:sz w:val="18"/>
                <w:szCs w:val="18"/>
                <w:color w:val="auto"/>
              </w:rPr>
              <w:t>Net periodic benefit cost (income)</w:t>
            </w:r>
          </w:p>
        </w:tc>
        <w:tc>
          <w:tcPr>
            <w:tcW w:w="880" w:type="dxa"/>
            <w:vAlign w:val="bottom"/>
            <w:tcBorders>
              <w:bottom w:val="single" w:sz="8" w:color="auto"/>
            </w:tcBorders>
          </w:tcPr>
          <w:p>
            <w:pPr>
              <w:jc w:val="right"/>
              <w:ind w:right="703"/>
              <w:spacing w:after="0"/>
              <w:rPr>
                <w:sz w:val="20"/>
                <w:szCs w:val="20"/>
                <w:color w:val="auto"/>
              </w:rPr>
            </w:pPr>
            <w:r>
              <w:rPr>
                <w:rFonts w:ascii="Arial" w:cs="Arial" w:eastAsia="Arial" w:hAnsi="Arial"/>
                <w:sz w:val="18"/>
                <w:szCs w:val="18"/>
                <w:b w:val="1"/>
                <w:bCs w:val="1"/>
                <w:color w:val="auto"/>
                <w:w w:val="79"/>
              </w:rPr>
              <w:t>$</w:t>
            </w: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17.3</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tcBorders>
              <w:bottom w:val="single" w:sz="8" w:color="auto"/>
            </w:tcBorders>
          </w:tcPr>
          <w:p>
            <w:pPr>
              <w:jc w:val="right"/>
              <w:ind w:right="670"/>
              <w:spacing w:after="0"/>
              <w:rPr>
                <w:sz w:val="20"/>
                <w:szCs w:val="20"/>
                <w:color w:val="auto"/>
              </w:rPr>
            </w:pPr>
            <w:r>
              <w:rPr>
                <w:rFonts w:ascii="Arial" w:cs="Arial" w:eastAsia="Arial" w:hAnsi="Arial"/>
                <w:sz w:val="18"/>
                <w:szCs w:val="18"/>
                <w:color w:val="auto"/>
                <w:w w:val="79"/>
              </w:rPr>
              <w:t>$</w:t>
            </w: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24.3</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(4.6</w:t>
            </w:r>
          </w:p>
        </w:tc>
        <w:tc>
          <w:tcPr>
            <w:tcW w:w="260" w:type="dxa"/>
            <w:vAlign w:val="bottom"/>
          </w:tcPr>
          <w:p>
            <w:pPr>
              <w:jc w:val="right"/>
              <w:ind w:right="120"/>
              <w:spacing w:after="0"/>
              <w:rPr>
                <w:sz w:val="20"/>
                <w:szCs w:val="20"/>
                <w:color w:val="auto"/>
              </w:rPr>
            </w:pPr>
            <w:r>
              <w:rPr>
                <w:rFonts w:ascii="Arial" w:cs="Arial" w:eastAsia="Arial" w:hAnsi="Arial"/>
                <w:sz w:val="16"/>
                <w:szCs w:val="16"/>
                <w:b w:val="1"/>
                <w:bCs w:val="1"/>
                <w:color w:val="auto"/>
                <w:w w:val="74"/>
              </w:rPr>
              <w:t>)</w:t>
            </w:r>
          </w:p>
        </w:tc>
        <w:tc>
          <w:tcPr>
            <w:tcW w:w="3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w:t>
            </w: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526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Contributions</w:t>
      </w:r>
    </w:p>
    <w:p>
      <w:pPr>
        <w:spacing w:after="0" w:line="229"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color w:val="auto"/>
        </w:rPr>
        <w:t>Our funding policy for the Pension Plan is to fund the plan annually in an amount at least equal to the minimum annual contribution required under the Employee Retirement Income Security Act (“ERISA”) and, generally, not greater than the maximum amount that can be deducted for federal income tax purposes. The minimum annual contribution for 2006 will be zero so we will not be required to fund the Pension Plan during 2006. However, it is possible that we may fund the qualified and nonqualified plans in 2006 in the range of $20.0 million to $50.0 million. During the three months and six months ended June 30, 2006, $5.2 million was contributed to the plans.</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ind w:right="7500" w:firstLine="8"/>
        <w:spacing w:after="0" w:line="503" w:lineRule="auto"/>
        <w:tabs>
          <w:tab w:leader="none" w:pos="18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Contingencies, Guarantees and Indemnifications Litigation</w:t>
      </w:r>
    </w:p>
    <w:p>
      <w:pPr>
        <w:spacing w:after="0" w:line="1"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We are regularly involved in litigation, both as a defendant and as a plaintiff, but primarily as a defendant. Litigation naming us as a defendant ordinarily arises out of our business operations as a provider of asset management and accumulation products and services, life, health and disability insurance. Some of the lawsuits are class actions, or purport to be, and some include claims for punitive damages. In addition, regulatory bodies, such as state insurance departments, the SEC, the National Association of Securities Dealers, Inc., the Department of Labor and other regulatory bodies regularly make inquiries and conduct examinations or investigations concerning our compliance with, among other things, insurance laws, securities laws, ERISA and laws governing the activities of broker-dealers.</w:t>
      </w:r>
    </w:p>
    <w:p>
      <w:pPr>
        <w:spacing w:after="0" w:line="193"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color w:val="auto"/>
        </w:rPr>
        <w:t>Several lawsuits have been filed against other insurance companies and insurance brokers alleging improper conduct relating to the payment and non-disclosure of contingent compensation and bid-rigging activity. Several of these suits were filed as purported class actions. Several state attorneys general and insurance regulators have initiated industry-wide inquiries or other actions relating to compensation arrangements between insurance brokers and insurance companies and other industry issues. Beginning in March of 2005, we have received subpoenas and interrogatories from the offices of the Attorneys General of New York and Connecticut seeking information related to compensation agreements with brokers and agents and the sale of retirement products and services. We are cooperating with these inquiries. We have received other requests from regulators and other governmental authorities relating to industry issues and may receive additional such requests, including subpoenas and interrogatories, in the future.</w:t>
      </w:r>
    </w:p>
    <w:p>
      <w:pPr>
        <w:spacing w:after="0" w:line="167" w:lineRule="exact"/>
        <w:rPr>
          <w:sz w:val="20"/>
          <w:szCs w:val="20"/>
          <w:color w:val="auto"/>
        </w:rPr>
      </w:pPr>
    </w:p>
    <w:p>
      <w:pPr>
        <w:ind w:right="220" w:firstLine="648"/>
        <w:spacing w:after="0" w:line="312" w:lineRule="auto"/>
        <w:rPr>
          <w:sz w:val="20"/>
          <w:szCs w:val="20"/>
          <w:color w:val="auto"/>
        </w:rPr>
      </w:pPr>
      <w:r>
        <w:rPr>
          <w:rFonts w:ascii="Arial" w:cs="Arial" w:eastAsia="Arial" w:hAnsi="Arial"/>
          <w:sz w:val="16"/>
          <w:szCs w:val="16"/>
          <w:color w:val="auto"/>
        </w:rPr>
        <w:t>On December 23, 2004, a lawsuit was filed in Iowa state court against us and our wholly owned subsidiaries, Principal Life Insurance Company (“Principal Life”) and Principal Financial Services, Inc., on behalf of a proposed class comprised of the settlement class in the Principal Life sales practices class action settlement, which was approved in April 2001 by the United States District Court for the Southern District of Iowa. This more recent lawsuit</w:t>
      </w:r>
    </w:p>
    <w:p>
      <w:pPr>
        <w:sectPr>
          <w:pgSz w:w="11900" w:h="16838" w:orient="portrait"/>
          <w:cols w:equalWidth="0" w:num="1">
            <w:col w:w="11420"/>
          </w:cols>
          <w:pgMar w:left="240" w:top="580" w:right="239" w:bottom="0" w:gutter="0" w:footer="0" w:header="0"/>
        </w:sectPr>
      </w:pPr>
    </w:p>
    <w:bookmarkStart w:id="8" w:name="page9"/>
    <w:bookmarkEnd w:id="8"/>
    <w:p>
      <w:pPr>
        <w:ind w:right="20"/>
        <w:spacing w:after="0" w:line="291" w:lineRule="auto"/>
        <w:rPr>
          <w:sz w:val="20"/>
          <w:szCs w:val="20"/>
          <w:color w:val="auto"/>
        </w:rPr>
      </w:pPr>
      <w:r>
        <w:rPr>
          <w:rFonts w:ascii="Arial" w:cs="Arial" w:eastAsia="Arial" w:hAnsi="Arial"/>
          <w:sz w:val="16"/>
          <w:szCs w:val="16"/>
          <w:color w:val="auto"/>
        </w:rPr>
        <w:t>claims that the treatment of the settlement costs of that sales practices litigation in relation to the allocation of demutualization consideration to Principal Life policyholders was inappropriate. Demutualization allocation was done pursuant to the terms of a plan of demutualization approved by the policyholders in July 2001 and Insurance Commissioner of the State of Iowa in August 2001. The lawsuit further claims that such allocation was not accurately described to policyholders during the demutualization process and is a breach of the sales practices settlement. On January 27, 2005, we filed a notice to remove the action from state court to the United States District Court for the Southern District of Iowa. On July 22, 2005, the plaintiff’s motion to remand the action to state court was denied, and our motion to dismiss the lawsuit was granted. On September 21, 2005, the plaintiff’s motion to alter or amend the judgment was denied. On October 4, 2005, the plaintiff filed a notice of appeal to the United States Court of Appeals for the Eighth Circuit.</w:t>
      </w:r>
    </w:p>
    <w:p>
      <w:pPr>
        <w:spacing w:after="0" w:line="167"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A lawsuit was filed against us, Principal Life, and Principal Financial Services, Inc. in the United States District Court for the Southern District of Iowa on October 31, 2005, but the plaintiff dismissed the case without prejudice on March 17, 2006. The claims and allegations in the lawsuit were substantially the same as those in the December 23, 2004 lawsuit, but the proposed class was limited to those members of the settlement class in the Principal Life sales practices class action settlement who did not own annuities and who received demutualization consideration in the form of cash under the plan of demutualization.</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Contingencies, Guarantees and Indemnifications (continued)</w:t>
      </w:r>
    </w:p>
    <w:p>
      <w:pPr>
        <w:spacing w:after="0" w:line="229"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While the outcome of any pending or future litigation cannot be predicted, management does not believe that any pending litigation will have a material adverse effect on our business or financial position. The outcome of litigation is always uncertain, and unforeseen results can occur. It is possible that such outcomes could materially affect net income in a particular quarter or annual period.</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Guarantees and Indemnifications</w:t>
      </w:r>
    </w:p>
    <w:p>
      <w:pPr>
        <w:spacing w:after="0" w:line="229" w:lineRule="exact"/>
        <w:rPr>
          <w:sz w:val="20"/>
          <w:szCs w:val="20"/>
          <w:color w:val="auto"/>
        </w:rPr>
      </w:pPr>
    </w:p>
    <w:p>
      <w:pPr>
        <w:ind w:firstLine="648"/>
        <w:spacing w:after="0" w:line="271" w:lineRule="auto"/>
        <w:rPr>
          <w:sz w:val="20"/>
          <w:szCs w:val="20"/>
          <w:color w:val="auto"/>
        </w:rPr>
      </w:pPr>
      <w:r>
        <w:rPr>
          <w:rFonts w:ascii="Arial" w:cs="Arial" w:eastAsia="Arial" w:hAnsi="Arial"/>
          <w:sz w:val="17"/>
          <w:szCs w:val="17"/>
          <w:color w:val="auto"/>
        </w:rPr>
        <w:t>In the normal course of business, we have provided guarantees to third parties primarily related to a former subsidiary, joint ventures and industrial revenue bonds. These agreements generally expire from 2006 through 2019. The maximum exposure under these agreements as of June 30, 2006, was approximately $166.0 million; however, we believe the likelihood is remote that material payments will be required and therefore have not accrued for a liability on our consolidated statements of financial position. Should we be required to perform under these guarantees, we generally could recover a portion of the loss from third parties through recourse provisions included in agreements with such parties, the sale of assets held as collateral that can be liquidated in the event that performance is required under the guarantees or other recourse generally available to us, therefore, such guarantees would not result in a material adverse effect on our business or financial position. It is possible that such outcomes could materially affect net income in a particular quarter or annual period. The fair value of such guarantees is not material.</w:t>
      </w:r>
    </w:p>
    <w:p>
      <w:pPr>
        <w:spacing w:after="0" w:line="179" w:lineRule="exact"/>
        <w:rPr>
          <w:sz w:val="20"/>
          <w:szCs w:val="20"/>
          <w:color w:val="auto"/>
        </w:rPr>
      </w:pPr>
    </w:p>
    <w:p>
      <w:pPr>
        <w:ind w:right="80" w:firstLine="648"/>
        <w:spacing w:after="0" w:line="272" w:lineRule="auto"/>
        <w:rPr>
          <w:sz w:val="20"/>
          <w:szCs w:val="20"/>
          <w:color w:val="auto"/>
        </w:rPr>
      </w:pPr>
      <w:r>
        <w:rPr>
          <w:rFonts w:ascii="Arial" w:cs="Arial" w:eastAsia="Arial" w:hAnsi="Arial"/>
          <w:sz w:val="17"/>
          <w:szCs w:val="17"/>
          <w:color w:val="auto"/>
        </w:rPr>
        <w:t>In connection with the 2002 sale of BT Financial Group, we agreed to indemnify the purchaser, Westpac Banking Corporation (“Westpac”), for among other things, the costs associated with potential late filings made by BT Financial Group in New Zealand prior to Westpac’s ownership, up to a maximum of A$250.0 million Australian dollars (approximately U.S. $186.0 million as of June 30, 2006). New Zealand securities regulations allow Australian issuers to issue their securities in New Zealand provided that certain documents are appropriately filed with the New Zealand Registrar of Companies. Specifically, the regulations require that any amendments to constitutions and compliance plans be filed in New Zealand. In April 2003, the New Zealand Securities Commission opined that such late filings would result in certain New Zealand investors having a right to return of their investment plus interest at 10% per annum from the date of investment. This technical issue affected many in the industry.</w:t>
      </w:r>
    </w:p>
    <w:p>
      <w:pPr>
        <w:spacing w:after="0" w:line="178" w:lineRule="exact"/>
        <w:rPr>
          <w:sz w:val="20"/>
          <w:szCs w:val="20"/>
          <w:color w:val="auto"/>
        </w:rPr>
      </w:pPr>
    </w:p>
    <w:p>
      <w:pPr>
        <w:ind w:right="140" w:firstLine="648"/>
        <w:spacing w:after="0" w:line="297" w:lineRule="auto"/>
        <w:rPr>
          <w:sz w:val="20"/>
          <w:szCs w:val="20"/>
          <w:color w:val="auto"/>
        </w:rPr>
      </w:pPr>
      <w:r>
        <w:rPr>
          <w:rFonts w:ascii="Arial" w:cs="Arial" w:eastAsia="Arial" w:hAnsi="Arial"/>
          <w:sz w:val="16"/>
          <w:szCs w:val="16"/>
          <w:color w:val="auto"/>
        </w:rPr>
        <w:t>On December 24, 2004, Westpac lodged several warranty and indemnification claims related to the sale of BT Financial Group. The claims aggregated approximately A$50.0 million Australian dollars (approximately U.S. $37.0 million as of June 30, 2006) with the majority of the claims (approximately A$45.0 million Australian dollars, or U.S. $33.0 million as of June 30, 2006) related to fund pricing and accounting issues around a tax asset called future income tax benefit (“FITB”). FITB is an asset used in calculating unit pricing of funds. Westpac claimed that BT Financial Group incorrectly accrued FITB assets in valuing asset portfolios of BT funds in Australia and New Zealand and that, as a result, fund values were overstated.</w:t>
      </w:r>
    </w:p>
    <w:p>
      <w:pPr>
        <w:spacing w:after="0" w:line="158"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The claims made by Westpac related to both indemnifications were settled and paid by us in 2006. This settlement did not have a material impact on net income.</w:t>
      </w:r>
    </w:p>
    <w:p>
      <w:pPr>
        <w:spacing w:after="0" w:line="170" w:lineRule="exact"/>
        <w:rPr>
          <w:sz w:val="20"/>
          <w:szCs w:val="20"/>
          <w:color w:val="auto"/>
        </w:rPr>
      </w:pPr>
    </w:p>
    <w:p>
      <w:pPr>
        <w:ind w:right="40" w:firstLine="648"/>
        <w:spacing w:after="0" w:line="291" w:lineRule="auto"/>
        <w:rPr>
          <w:sz w:val="20"/>
          <w:szCs w:val="20"/>
          <w:color w:val="auto"/>
        </w:rPr>
      </w:pPr>
      <w:r>
        <w:rPr>
          <w:rFonts w:ascii="Arial" w:cs="Arial" w:eastAsia="Arial" w:hAnsi="Arial"/>
          <w:sz w:val="16"/>
          <w:szCs w:val="16"/>
          <w:color w:val="auto"/>
        </w:rPr>
        <w:t>We are also subject to various other indemnification obligations issued in conjunction with certain transactions, primarily the sale of Principal Residential Mortgage, Inc. and other divestitures, acquisitions and financing transactions whose terms range in duration and often are not explicitly defined. Certain portions of these indemnifications may be capped, while other portions are not subject to such limitations; therefore, the overall maximum amount of the obligation under the indemnifications cannot be reasonably estimated. While we are unable to estimate with certainty the ultimate legal and financial liability with respect to these indemnifications, we believe the likelihood is remote that material payments would be required under such indemnifications and therefore such indemnifications would not result in a material adverse effect on our business or financial position. It is possible that such outcomes could materially affect net income in a particular quarter or annual period. The fair value of such indemnifications is not material.</w:t>
      </w: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5" w:right="239" w:bottom="721" w:gutter="0" w:footer="0" w:header="0"/>
        </w:sectPr>
      </w:pPr>
    </w:p>
    <w:bookmarkStart w:id="9" w:name="page10"/>
    <w:bookmarkEnd w:id="9"/>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ind w:right="9640" w:firstLine="8"/>
        <w:spacing w:after="0" w:line="533" w:lineRule="auto"/>
        <w:tabs>
          <w:tab w:leader="none" w:pos="180" w:val="left"/>
        </w:tabs>
        <w:numPr>
          <w:ilvl w:val="0"/>
          <w:numId w:val="6"/>
        </w:numPr>
        <w:rPr>
          <w:rFonts w:ascii="Arial" w:cs="Arial" w:eastAsia="Arial" w:hAnsi="Arial"/>
          <w:sz w:val="17"/>
          <w:szCs w:val="17"/>
          <w:b w:val="1"/>
          <w:bCs w:val="1"/>
          <w:color w:val="auto"/>
        </w:rPr>
      </w:pPr>
      <w:r>
        <w:rPr>
          <w:rFonts w:ascii="Arial" w:cs="Arial" w:eastAsia="Arial" w:hAnsi="Arial"/>
          <w:sz w:val="17"/>
          <w:szCs w:val="17"/>
          <w:b w:val="1"/>
          <w:bCs w:val="1"/>
          <w:color w:val="auto"/>
        </w:rPr>
        <w:t>Stockholders’ Equity Common Stock</w:t>
      </w:r>
    </w:p>
    <w:p>
      <w:pPr>
        <w:ind w:right="120" w:firstLine="648"/>
        <w:spacing w:after="0" w:line="255" w:lineRule="auto"/>
        <w:rPr>
          <w:sz w:val="20"/>
          <w:szCs w:val="20"/>
          <w:color w:val="auto"/>
        </w:rPr>
      </w:pPr>
      <w:r>
        <w:rPr>
          <w:rFonts w:ascii="Arial" w:cs="Arial" w:eastAsia="Arial" w:hAnsi="Arial"/>
          <w:sz w:val="18"/>
          <w:szCs w:val="18"/>
          <w:color w:val="auto"/>
        </w:rPr>
        <w:t>On May 19, 2006, following our Board of Directors’ share repurchase authorization, we entered into an accelerated common stock repurchase agreement with a third party investment bank for an aggregate purchase price of $500.0 million. On this date, we paid $500.0 million and received the initial delivery of 7.7 million common shares, while retaining the right to receive additional common shares depending on the volume weighted average share price of our common stock over the program’s duration. The maximum number of shares eligible for repurchase under this program is 19.5 million common shares. The program will be completed in the fourth quarter 2006, at which time we will receive any remaining common shares owed to us under this agreement.</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Reconciliation of Outstanding Shares</w:t>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0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40" w:type="dxa"/>
            <w:vAlign w:val="bottom"/>
            <w:gridSpan w:val="2"/>
          </w:tcPr>
          <w:p>
            <w:pPr>
              <w:jc w:val="center"/>
              <w:ind w:left="168"/>
              <w:spacing w:after="0"/>
              <w:rPr>
                <w:sz w:val="20"/>
                <w:szCs w:val="20"/>
                <w:color w:val="auto"/>
              </w:rPr>
            </w:pPr>
            <w:r>
              <w:rPr>
                <w:rFonts w:ascii="Arial" w:cs="Arial" w:eastAsia="Arial" w:hAnsi="Arial"/>
                <w:sz w:val="14"/>
                <w:szCs w:val="14"/>
                <w:b w:val="1"/>
                <w:bCs w:val="1"/>
                <w:color w:val="auto"/>
                <w:w w:val="89"/>
              </w:rPr>
              <w:t>Series A</w:t>
            </w: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80" w:type="dxa"/>
            <w:vAlign w:val="bottom"/>
            <w:gridSpan w:val="2"/>
          </w:tcPr>
          <w:p>
            <w:pPr>
              <w:jc w:val="center"/>
              <w:spacing w:after="0"/>
              <w:rPr>
                <w:sz w:val="20"/>
                <w:szCs w:val="20"/>
                <w:color w:val="auto"/>
              </w:rPr>
            </w:pPr>
            <w:r>
              <w:rPr>
                <w:rFonts w:ascii="Arial" w:cs="Arial" w:eastAsia="Arial" w:hAnsi="Arial"/>
                <w:sz w:val="14"/>
                <w:szCs w:val="14"/>
                <w:b w:val="1"/>
                <w:bCs w:val="1"/>
                <w:color w:val="auto"/>
                <w:w w:val="89"/>
              </w:rPr>
              <w:t>Series B</w:t>
            </w: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00" w:type="dxa"/>
            <w:vAlign w:val="bottom"/>
            <w:gridSpan w:val="3"/>
            <w:vMerge w:val="restart"/>
          </w:tcPr>
          <w:p>
            <w:pPr>
              <w:jc w:val="right"/>
              <w:ind w:right="320"/>
              <w:spacing w:after="0"/>
              <w:rPr>
                <w:sz w:val="20"/>
                <w:szCs w:val="20"/>
                <w:color w:val="auto"/>
              </w:rPr>
            </w:pPr>
            <w:r>
              <w:rPr>
                <w:rFonts w:ascii="Arial" w:cs="Arial" w:eastAsia="Arial" w:hAnsi="Arial"/>
                <w:sz w:val="14"/>
                <w:szCs w:val="14"/>
                <w:b w:val="1"/>
                <w:bCs w:val="1"/>
                <w:color w:val="auto"/>
              </w:rPr>
              <w:t>Common</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50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80" w:type="dxa"/>
            <w:vAlign w:val="bottom"/>
            <w:gridSpan w:val="3"/>
          </w:tcPr>
          <w:p>
            <w:pPr>
              <w:jc w:val="center"/>
              <w:spacing w:after="0" w:line="135" w:lineRule="exact"/>
              <w:rPr>
                <w:sz w:val="20"/>
                <w:szCs w:val="20"/>
                <w:color w:val="auto"/>
              </w:rPr>
            </w:pPr>
            <w:r>
              <w:rPr>
                <w:rFonts w:ascii="Arial" w:cs="Arial" w:eastAsia="Arial" w:hAnsi="Arial"/>
                <w:sz w:val="14"/>
                <w:szCs w:val="14"/>
                <w:b w:val="1"/>
                <w:bCs w:val="1"/>
                <w:color w:val="auto"/>
                <w:w w:val="96"/>
              </w:rPr>
              <w:t>Preferred</w:t>
            </w:r>
          </w:p>
        </w:tc>
        <w:tc>
          <w:tcPr>
            <w:tcW w:w="280" w:type="dxa"/>
            <w:vAlign w:val="bottom"/>
          </w:tcPr>
          <w:p>
            <w:pPr>
              <w:spacing w:after="0"/>
              <w:rPr>
                <w:sz w:val="11"/>
                <w:szCs w:val="11"/>
                <w:color w:val="auto"/>
              </w:rPr>
            </w:pPr>
          </w:p>
        </w:tc>
        <w:tc>
          <w:tcPr>
            <w:tcW w:w="980" w:type="dxa"/>
            <w:vAlign w:val="bottom"/>
            <w:gridSpan w:val="2"/>
          </w:tcPr>
          <w:p>
            <w:pPr>
              <w:jc w:val="center"/>
              <w:spacing w:after="0" w:line="135" w:lineRule="exact"/>
              <w:rPr>
                <w:sz w:val="20"/>
                <w:szCs w:val="20"/>
                <w:color w:val="auto"/>
              </w:rPr>
            </w:pPr>
            <w:r>
              <w:rPr>
                <w:rFonts w:ascii="Arial" w:cs="Arial" w:eastAsia="Arial" w:hAnsi="Arial"/>
                <w:sz w:val="14"/>
                <w:szCs w:val="14"/>
                <w:b w:val="1"/>
                <w:bCs w:val="1"/>
                <w:color w:val="auto"/>
                <w:w w:val="96"/>
              </w:rPr>
              <w:t>Preferred</w:t>
            </w: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00" w:type="dxa"/>
            <w:vAlign w:val="bottom"/>
            <w:gridSpan w:val="3"/>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50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40" w:type="dxa"/>
            <w:vAlign w:val="bottom"/>
            <w:gridSpan w:val="2"/>
          </w:tcPr>
          <w:p>
            <w:pPr>
              <w:jc w:val="center"/>
              <w:ind w:left="148"/>
              <w:spacing w:after="0"/>
              <w:rPr>
                <w:sz w:val="20"/>
                <w:szCs w:val="20"/>
                <w:color w:val="auto"/>
              </w:rPr>
            </w:pPr>
            <w:r>
              <w:rPr>
                <w:rFonts w:ascii="Arial" w:cs="Arial" w:eastAsia="Arial" w:hAnsi="Arial"/>
                <w:sz w:val="14"/>
                <w:szCs w:val="14"/>
                <w:b w:val="1"/>
                <w:bCs w:val="1"/>
                <w:color w:val="auto"/>
                <w:w w:val="94"/>
              </w:rPr>
              <w:t>Stock</w:t>
            </w: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80" w:type="dxa"/>
            <w:vAlign w:val="bottom"/>
            <w:gridSpan w:val="2"/>
          </w:tcPr>
          <w:p>
            <w:pPr>
              <w:jc w:val="center"/>
              <w:spacing w:after="0"/>
              <w:rPr>
                <w:sz w:val="20"/>
                <w:szCs w:val="20"/>
                <w:color w:val="auto"/>
              </w:rPr>
            </w:pPr>
            <w:r>
              <w:rPr>
                <w:rFonts w:ascii="Arial" w:cs="Arial" w:eastAsia="Arial" w:hAnsi="Arial"/>
                <w:sz w:val="14"/>
                <w:szCs w:val="14"/>
                <w:b w:val="1"/>
                <w:bCs w:val="1"/>
                <w:color w:val="auto"/>
                <w:w w:val="89"/>
              </w:rPr>
              <w:t>Stock</w:t>
            </w: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00" w:type="dxa"/>
            <w:vAlign w:val="bottom"/>
            <w:gridSpan w:val="3"/>
          </w:tcPr>
          <w:p>
            <w:pPr>
              <w:jc w:val="right"/>
              <w:ind w:right="420"/>
              <w:spacing w:after="0"/>
              <w:rPr>
                <w:sz w:val="20"/>
                <w:szCs w:val="20"/>
                <w:color w:val="auto"/>
              </w:rPr>
            </w:pPr>
            <w:r>
              <w:rPr>
                <w:rFonts w:ascii="Arial" w:cs="Arial" w:eastAsia="Arial" w:hAnsi="Arial"/>
                <w:sz w:val="14"/>
                <w:szCs w:val="14"/>
                <w:b w:val="1"/>
                <w:bCs w:val="1"/>
                <w:color w:val="auto"/>
              </w:rPr>
              <w:t>Stock</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0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6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gridSpan w:val="2"/>
          </w:tcPr>
          <w:p>
            <w:pPr>
              <w:jc w:val="center"/>
              <w:spacing w:after="0" w:line="129" w:lineRule="exact"/>
              <w:rPr>
                <w:sz w:val="20"/>
                <w:szCs w:val="20"/>
                <w:color w:val="auto"/>
              </w:rPr>
            </w:pPr>
            <w:r>
              <w:rPr>
                <w:rFonts w:ascii="Arial" w:cs="Arial" w:eastAsia="Arial" w:hAnsi="Arial"/>
                <w:sz w:val="14"/>
                <w:szCs w:val="14"/>
                <w:b w:val="1"/>
                <w:bCs w:val="1"/>
                <w:color w:val="auto"/>
                <w:w w:val="99"/>
              </w:rPr>
              <w:t>(in millions)</w:t>
            </w:r>
          </w:p>
        </w:tc>
        <w:tc>
          <w:tcPr>
            <w:tcW w:w="2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Outstanding shares at January 1, 2005</w:t>
            </w:r>
          </w:p>
        </w:tc>
        <w:tc>
          <w:tcPr>
            <w:tcW w:w="4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300.6</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Shares issued</w:t>
            </w:r>
          </w:p>
        </w:tc>
        <w:tc>
          <w:tcPr>
            <w:tcW w:w="4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jc w:val="right"/>
              <w:spacing w:after="0"/>
              <w:rPr>
                <w:sz w:val="20"/>
                <w:szCs w:val="20"/>
                <w:color w:val="auto"/>
              </w:rPr>
            </w:pPr>
            <w:r>
              <w:rPr>
                <w:rFonts w:ascii="Arial" w:cs="Arial" w:eastAsia="Arial" w:hAnsi="Arial"/>
                <w:sz w:val="18"/>
                <w:szCs w:val="18"/>
                <w:color w:val="auto"/>
                <w:w w:val="79"/>
              </w:rPr>
              <w:t>3.0</w:t>
            </w:r>
          </w:p>
        </w:tc>
        <w:tc>
          <w:tcPr>
            <w:tcW w:w="1260" w:type="dxa"/>
            <w:vAlign w:val="bottom"/>
            <w:gridSpan w:val="3"/>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1.0</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Treasury stock acquired</w:t>
            </w:r>
          </w:p>
        </w:tc>
        <w:tc>
          <w:tcPr>
            <w:tcW w:w="4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(22.2)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50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Outstanding shares at June 30, 2005</w:t>
            </w:r>
          </w:p>
        </w:tc>
        <w:tc>
          <w:tcPr>
            <w:tcW w:w="440" w:type="dxa"/>
            <w:vAlign w:val="bottom"/>
            <w:tcBorders>
              <w:bottom w:val="single" w:sz="8" w:color="CCEEFF"/>
            </w:tcBorders>
          </w:tcPr>
          <w:p>
            <w:pPr>
              <w:spacing w:after="0"/>
              <w:rPr>
                <w:sz w:val="21"/>
                <w:szCs w:val="21"/>
                <w:color w:val="auto"/>
              </w:rPr>
            </w:pPr>
          </w:p>
        </w:tc>
        <w:tc>
          <w:tcPr>
            <w:tcW w:w="800" w:type="dxa"/>
            <w:vAlign w:val="bottom"/>
            <w:tcBorders>
              <w:bottom w:val="single" w:sz="8" w:color="CCEEFF"/>
            </w:tcBorders>
          </w:tcPr>
          <w:p>
            <w:pPr>
              <w:spacing w:after="0"/>
              <w:rPr>
                <w:sz w:val="21"/>
                <w:szCs w:val="21"/>
                <w:color w:val="auto"/>
              </w:rPr>
            </w:pPr>
          </w:p>
        </w:tc>
        <w:tc>
          <w:tcPr>
            <w:tcW w:w="480" w:type="dxa"/>
            <w:vAlign w:val="bottom"/>
            <w:tcBorders>
              <w:bottom w:val="single" w:sz="8" w:color="CCEEFF"/>
            </w:tcBorders>
          </w:tcPr>
          <w:p>
            <w:pPr>
              <w:spacing w:after="0"/>
              <w:rPr>
                <w:sz w:val="21"/>
                <w:szCs w:val="21"/>
                <w:color w:val="auto"/>
              </w:rPr>
            </w:pPr>
          </w:p>
        </w:tc>
        <w:tc>
          <w:tcPr>
            <w:tcW w:w="280" w:type="dxa"/>
            <w:vAlign w:val="bottom"/>
            <w:tcBorders>
              <w:bottom w:val="single" w:sz="8" w:color="CCEEFF"/>
            </w:tcBorders>
          </w:tcPr>
          <w:p>
            <w:pPr>
              <w:spacing w:after="0"/>
              <w:rPr>
                <w:sz w:val="21"/>
                <w:szCs w:val="21"/>
                <w:color w:val="auto"/>
              </w:rPr>
            </w:pPr>
          </w:p>
        </w:tc>
        <w:tc>
          <w:tcPr>
            <w:tcW w:w="280" w:type="dxa"/>
            <w:vAlign w:val="bottom"/>
            <w:tcBorders>
              <w:bottom w:val="single" w:sz="8" w:color="CCEEFF"/>
            </w:tcBorders>
          </w:tcPr>
          <w:p>
            <w:pPr>
              <w:spacing w:after="0"/>
              <w:rPr>
                <w:sz w:val="21"/>
                <w:szCs w:val="21"/>
                <w:color w:val="auto"/>
              </w:rPr>
            </w:pPr>
          </w:p>
        </w:tc>
        <w:tc>
          <w:tcPr>
            <w:tcW w:w="500" w:type="dxa"/>
            <w:vAlign w:val="bottom"/>
            <w:tcBorders>
              <w:bottom w:val="single" w:sz="8" w:color="CCEEFF"/>
            </w:tcBorders>
          </w:tcPr>
          <w:p>
            <w:pPr>
              <w:spacing w:after="0"/>
              <w:rPr>
                <w:sz w:val="21"/>
                <w:szCs w:val="21"/>
                <w:color w:val="auto"/>
              </w:rPr>
            </w:pPr>
          </w:p>
        </w:tc>
        <w:tc>
          <w:tcPr>
            <w:tcW w:w="460" w:type="dxa"/>
            <w:vAlign w:val="bottom"/>
            <w:tcBorders>
              <w:top w:val="single" w:sz="8" w:color="auto"/>
              <w:bottom w:val="single" w:sz="8" w:color="auto"/>
            </w:tcBorders>
          </w:tcPr>
          <w:p>
            <w:pPr>
              <w:spacing w:after="0"/>
              <w:rPr>
                <w:sz w:val="21"/>
                <w:szCs w:val="21"/>
                <w:color w:val="auto"/>
              </w:rPr>
            </w:pPr>
          </w:p>
        </w:tc>
        <w:tc>
          <w:tcPr>
            <w:tcW w:w="280" w:type="dxa"/>
            <w:vAlign w:val="bottom"/>
            <w:tcBorders>
              <w:top w:val="single" w:sz="8" w:color="auto"/>
              <w:bottom w:val="single" w:sz="8" w:color="auto"/>
            </w:tcBorders>
          </w:tcPr>
          <w:p>
            <w:pPr>
              <w:spacing w:after="0"/>
              <w:rPr>
                <w:sz w:val="21"/>
                <w:szCs w:val="21"/>
                <w:color w:val="auto"/>
              </w:rPr>
            </w:pPr>
          </w:p>
        </w:tc>
        <w:tc>
          <w:tcPr>
            <w:tcW w:w="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3.0</w:t>
            </w:r>
          </w:p>
        </w:tc>
        <w:tc>
          <w:tcPr>
            <w:tcW w:w="280" w:type="dxa"/>
            <w:vAlign w:val="bottom"/>
            <w:tcBorders>
              <w:bottom w:val="single" w:sz="8" w:color="CCEEFF"/>
            </w:tcBorders>
          </w:tcPr>
          <w:p>
            <w:pPr>
              <w:spacing w:after="0"/>
              <w:rPr>
                <w:sz w:val="21"/>
                <w:szCs w:val="21"/>
                <w:color w:val="auto"/>
              </w:rPr>
            </w:pPr>
          </w:p>
        </w:tc>
        <w:tc>
          <w:tcPr>
            <w:tcW w:w="98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10.0</w:t>
            </w:r>
          </w:p>
        </w:tc>
        <w:tc>
          <w:tcPr>
            <w:tcW w:w="20" w:type="dxa"/>
            <w:vAlign w:val="bottom"/>
            <w:tcBorders>
              <w:bottom w:val="single" w:sz="8" w:color="CCEEFF"/>
            </w:tcBorders>
          </w:tcPr>
          <w:p>
            <w:pPr>
              <w:spacing w:after="0"/>
              <w:rPr>
                <w:sz w:val="21"/>
                <w:szCs w:val="21"/>
                <w:color w:val="auto"/>
              </w:rPr>
            </w:pPr>
          </w:p>
        </w:tc>
        <w:tc>
          <w:tcPr>
            <w:tcW w:w="240" w:type="dxa"/>
            <w:vAlign w:val="bottom"/>
            <w:tcBorders>
              <w:bottom w:val="single" w:sz="8" w:color="CCEEFF"/>
            </w:tcBorders>
          </w:tcPr>
          <w:p>
            <w:pPr>
              <w:spacing w:after="0"/>
              <w:rPr>
                <w:sz w:val="21"/>
                <w:szCs w:val="21"/>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279.4</w:t>
            </w:r>
          </w:p>
        </w:tc>
        <w:tc>
          <w:tcPr>
            <w:tcW w:w="2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50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Outstanding shares at January 1, 2006</w:t>
            </w:r>
          </w:p>
        </w:tc>
        <w:tc>
          <w:tcPr>
            <w:tcW w:w="4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jc w:val="right"/>
              <w:spacing w:after="0"/>
              <w:rPr>
                <w:sz w:val="20"/>
                <w:szCs w:val="20"/>
                <w:color w:val="auto"/>
              </w:rPr>
            </w:pPr>
            <w:r>
              <w:rPr>
                <w:rFonts w:ascii="Arial" w:cs="Arial" w:eastAsia="Arial" w:hAnsi="Arial"/>
                <w:sz w:val="18"/>
                <w:szCs w:val="18"/>
                <w:b w:val="1"/>
                <w:bCs w:val="1"/>
                <w:color w:val="auto"/>
                <w:w w:val="79"/>
              </w:rPr>
              <w:t>3.0</w:t>
            </w:r>
          </w:p>
        </w:tc>
        <w:tc>
          <w:tcPr>
            <w:tcW w:w="1260" w:type="dxa"/>
            <w:vAlign w:val="bottom"/>
            <w:gridSpan w:val="3"/>
          </w:tcPr>
          <w:p>
            <w:pPr>
              <w:jc w:val="right"/>
              <w:spacing w:after="0"/>
              <w:rPr>
                <w:sz w:val="20"/>
                <w:szCs w:val="20"/>
                <w:color w:val="auto"/>
              </w:rPr>
            </w:pPr>
            <w:r>
              <w:rPr>
                <w:rFonts w:ascii="Arial" w:cs="Arial" w:eastAsia="Arial" w:hAnsi="Arial"/>
                <w:sz w:val="18"/>
                <w:szCs w:val="18"/>
                <w:b w:val="1"/>
                <w:bCs w:val="1"/>
                <w:color w:val="auto"/>
              </w:rPr>
              <w:t>10.0</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280.6</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Shares issued</w:t>
            </w:r>
          </w:p>
        </w:tc>
        <w:tc>
          <w:tcPr>
            <w:tcW w:w="4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Treasury stock acquired</w:t>
            </w:r>
          </w:p>
        </w:tc>
        <w:tc>
          <w:tcPr>
            <w:tcW w:w="4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3"/>
          </w:tcPr>
          <w:p>
            <w:pPr>
              <w:jc w:val="right"/>
              <w:ind w:right="40"/>
              <w:spacing w:after="0"/>
              <w:rPr>
                <w:sz w:val="20"/>
                <w:szCs w:val="20"/>
                <w:color w:val="auto"/>
              </w:rPr>
            </w:pPr>
            <w:r>
              <w:rPr>
                <w:rFonts w:ascii="Arial" w:cs="Arial" w:eastAsia="Arial" w:hAnsi="Arial"/>
                <w:sz w:val="18"/>
                <w:szCs w:val="18"/>
                <w:b w:val="1"/>
                <w:bCs w:val="1"/>
                <w:color w:val="auto"/>
              </w:rPr>
              <w:t>(12.8)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Outstanding shares at June 30, 2006</w:t>
            </w:r>
          </w:p>
        </w:tc>
        <w:tc>
          <w:tcPr>
            <w:tcW w:w="440" w:type="dxa"/>
            <w:vAlign w:val="bottom"/>
            <w:tcBorders>
              <w:top w:val="single" w:sz="8" w:color="CCEEFF"/>
              <w:bottom w:val="single" w:sz="8" w:color="CCEEFF"/>
            </w:tcBorders>
            <w:shd w:val="clear" w:color="auto" w:fill="CCEEFF"/>
          </w:tcPr>
          <w:p>
            <w:pPr>
              <w:spacing w:after="0"/>
              <w:rPr>
                <w:sz w:val="18"/>
                <w:szCs w:val="18"/>
                <w:color w:val="auto"/>
              </w:rPr>
            </w:pPr>
          </w:p>
        </w:tc>
        <w:tc>
          <w:tcPr>
            <w:tcW w:w="800" w:type="dxa"/>
            <w:vAlign w:val="bottom"/>
            <w:tcBorders>
              <w:top w:val="single" w:sz="8" w:color="CCEEFF"/>
              <w:bottom w:val="single" w:sz="8" w:color="CCEEFF"/>
            </w:tcBorders>
            <w:shd w:val="clear" w:color="auto" w:fill="CCEEFF"/>
          </w:tcPr>
          <w:p>
            <w:pPr>
              <w:spacing w:after="0"/>
              <w:rPr>
                <w:sz w:val="18"/>
                <w:szCs w:val="18"/>
                <w:color w:val="auto"/>
              </w:rPr>
            </w:pPr>
          </w:p>
        </w:tc>
        <w:tc>
          <w:tcPr>
            <w:tcW w:w="48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500" w:type="dxa"/>
            <w:vAlign w:val="bottom"/>
            <w:tcBorders>
              <w:top w:val="single" w:sz="8" w:color="CCEEFF"/>
              <w:bottom w:val="single" w:sz="8" w:color="CCEEFF"/>
            </w:tcBorders>
            <w:shd w:val="clear" w:color="auto" w:fill="CCEEFF"/>
          </w:tcPr>
          <w:p>
            <w:pPr>
              <w:spacing w:after="0"/>
              <w:rPr>
                <w:sz w:val="18"/>
                <w:szCs w:val="18"/>
                <w:color w:val="auto"/>
              </w:rPr>
            </w:pPr>
          </w:p>
        </w:tc>
        <w:tc>
          <w:tcPr>
            <w:tcW w:w="460" w:type="dxa"/>
            <w:vAlign w:val="bottom"/>
            <w:tcBorders>
              <w:top w:val="single" w:sz="8" w:color="auto"/>
              <w:bottom w:val="single" w:sz="8" w:color="auto"/>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3.0</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10.0</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269.1</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20" w:type="dxa"/>
            <w:vAlign w:val="bottom"/>
          </w:tcPr>
          <w:p>
            <w:pPr>
              <w:spacing w:after="0" w:line="20" w:lineRule="exact"/>
              <w:rPr>
                <w:sz w:val="1"/>
                <w:szCs w:val="1"/>
                <w:color w:val="auto"/>
              </w:rPr>
            </w:pPr>
          </w:p>
        </w:tc>
        <w:tc>
          <w:tcPr>
            <w:tcW w:w="1240" w:type="dxa"/>
            <w:vAlign w:val="bottom"/>
            <w:gridSpan w:val="2"/>
            <w:vMerge w:val="restart"/>
          </w:tcPr>
          <w:p>
            <w:pPr>
              <w:jc w:val="center"/>
              <w:ind w:left="10"/>
              <w:spacing w:after="0"/>
              <w:rPr>
                <w:sz w:val="20"/>
                <w:szCs w:val="20"/>
                <w:color w:val="auto"/>
              </w:rPr>
            </w:pPr>
            <w:r>
              <w:rPr>
                <w:rFonts w:ascii="Arial" w:cs="Arial" w:eastAsia="Arial" w:hAnsi="Arial"/>
                <w:sz w:val="18"/>
                <w:szCs w:val="18"/>
                <w:color w:val="auto"/>
                <w:w w:val="89"/>
              </w:rPr>
              <w:t>14</w:t>
            </w:r>
          </w:p>
        </w:tc>
        <w:tc>
          <w:tcPr>
            <w:tcW w:w="4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20" w:type="dxa"/>
            <w:vAlign w:val="bottom"/>
          </w:tcPr>
          <w:p>
            <w:pPr>
              <w:spacing w:after="0"/>
              <w:rPr>
                <w:sz w:val="24"/>
                <w:szCs w:val="24"/>
                <w:color w:val="auto"/>
              </w:rPr>
            </w:pPr>
          </w:p>
        </w:tc>
        <w:tc>
          <w:tcPr>
            <w:tcW w:w="5020" w:type="dxa"/>
            <w:vAlign w:val="bottom"/>
          </w:tcPr>
          <w:p>
            <w:pPr>
              <w:spacing w:after="0"/>
              <w:rPr>
                <w:sz w:val="24"/>
                <w:szCs w:val="24"/>
                <w:color w:val="auto"/>
              </w:rPr>
            </w:pPr>
          </w:p>
        </w:tc>
        <w:tc>
          <w:tcPr>
            <w:tcW w:w="1240" w:type="dxa"/>
            <w:vAlign w:val="bottom"/>
            <w:gridSpan w:val="2"/>
            <w:vMerge w:val="continue"/>
          </w:tcPr>
          <w:p>
            <w:pPr>
              <w:spacing w:after="0"/>
              <w:rPr>
                <w:sz w:val="24"/>
                <w:szCs w:val="24"/>
                <w:color w:val="auto"/>
              </w:rPr>
            </w:pPr>
          </w:p>
        </w:tc>
        <w:tc>
          <w:tcPr>
            <w:tcW w:w="4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20" w:type="dxa"/>
            <w:vAlign w:val="bottom"/>
            <w:tcBorders>
              <w:bottom w:val="single" w:sz="8" w:color="010101"/>
            </w:tcBorders>
          </w:tcPr>
          <w:p>
            <w:pPr>
              <w:spacing w:after="0"/>
              <w:rPr>
                <w:sz w:val="24"/>
                <w:szCs w:val="24"/>
                <w:color w:val="auto"/>
              </w:rPr>
            </w:pPr>
          </w:p>
        </w:tc>
        <w:tc>
          <w:tcPr>
            <w:tcW w:w="5460" w:type="dxa"/>
            <w:vAlign w:val="bottom"/>
            <w:tcBorders>
              <w:bottom w:val="single" w:sz="8" w:color="010101"/>
            </w:tcBorders>
            <w:gridSpan w:val="2"/>
          </w:tcPr>
          <w:p>
            <w:pPr>
              <w:spacing w:after="0"/>
              <w:rPr>
                <w:sz w:val="24"/>
                <w:szCs w:val="24"/>
                <w:color w:val="auto"/>
              </w:rPr>
            </w:pPr>
          </w:p>
        </w:tc>
        <w:tc>
          <w:tcPr>
            <w:tcW w:w="1280" w:type="dxa"/>
            <w:vAlign w:val="bottom"/>
            <w:tcBorders>
              <w:bottom w:val="single" w:sz="8" w:color="010101"/>
            </w:tcBorders>
            <w:gridSpan w:val="2"/>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500" w:type="dxa"/>
            <w:vAlign w:val="bottom"/>
            <w:tcBorders>
              <w:bottom w:val="single" w:sz="8" w:color="010101"/>
            </w:tcBorders>
          </w:tcPr>
          <w:p>
            <w:pPr>
              <w:spacing w:after="0"/>
              <w:rPr>
                <w:sz w:val="24"/>
                <w:szCs w:val="24"/>
                <w:color w:val="auto"/>
              </w:rPr>
            </w:pPr>
          </w:p>
        </w:tc>
        <w:tc>
          <w:tcPr>
            <w:tcW w:w="46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74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100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r>
        <w:trPr>
          <w:trHeight w:val="762"/>
        </w:trPr>
        <w:tc>
          <w:tcPr>
            <w:tcW w:w="20" w:type="dxa"/>
            <w:vAlign w:val="bottom"/>
          </w:tcPr>
          <w:p>
            <w:pPr>
              <w:spacing w:after="0"/>
              <w:rPr>
                <w:sz w:val="24"/>
                <w:szCs w:val="24"/>
                <w:color w:val="auto"/>
              </w:rPr>
            </w:pPr>
          </w:p>
        </w:tc>
        <w:tc>
          <w:tcPr>
            <w:tcW w:w="7020" w:type="dxa"/>
            <w:vAlign w:val="bottom"/>
            <w:gridSpan w:val="5"/>
          </w:tcPr>
          <w:p>
            <w:pPr>
              <w:jc w:val="center"/>
              <w:ind w:left="4270"/>
              <w:spacing w:after="0"/>
              <w:rPr>
                <w:sz w:val="20"/>
                <w:szCs w:val="20"/>
                <w:color w:val="auto"/>
              </w:rPr>
            </w:pPr>
            <w:r>
              <w:rPr>
                <w:rFonts w:ascii="Arial" w:cs="Arial" w:eastAsia="Arial" w:hAnsi="Arial"/>
                <w:sz w:val="18"/>
                <w:szCs w:val="18"/>
                <w:b w:val="1"/>
                <w:bCs w:val="1"/>
                <w:color w:val="auto"/>
                <w:w w:val="93"/>
              </w:rPr>
              <w:t>Principal Financial Group, Inc.</w:t>
            </w:r>
          </w:p>
        </w:tc>
        <w:tc>
          <w:tcPr>
            <w:tcW w:w="2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40" w:type="dxa"/>
            <w:vAlign w:val="bottom"/>
            <w:gridSpan w:val="9"/>
          </w:tcPr>
          <w:p>
            <w:pPr>
              <w:jc w:val="center"/>
              <w:ind w:left="2750"/>
              <w:spacing w:after="0"/>
              <w:rPr>
                <w:sz w:val="20"/>
                <w:szCs w:val="20"/>
                <w:color w:val="auto"/>
              </w:rPr>
            </w:pPr>
            <w:r>
              <w:rPr>
                <w:rFonts w:ascii="Arial" w:cs="Arial" w:eastAsia="Arial" w:hAnsi="Arial"/>
                <w:sz w:val="18"/>
                <w:szCs w:val="18"/>
                <w:b w:val="1"/>
                <w:bCs w:val="1"/>
                <w:color w:val="auto"/>
                <w:w w:val="88"/>
              </w:rPr>
              <w:t>Notes to Consolidated Financial Statements (continued)</w:t>
            </w: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18"/>
                <w:szCs w:val="18"/>
                <w:color w:val="auto"/>
              </w:rPr>
            </w:pPr>
          </w:p>
        </w:tc>
        <w:tc>
          <w:tcPr>
            <w:tcW w:w="1240" w:type="dxa"/>
            <w:vAlign w:val="bottom"/>
            <w:gridSpan w:val="2"/>
          </w:tcPr>
          <w:p>
            <w:pPr>
              <w:jc w:val="center"/>
              <w:ind w:left="30"/>
              <w:spacing w:after="0"/>
              <w:rPr>
                <w:sz w:val="20"/>
                <w:szCs w:val="20"/>
                <w:color w:val="auto"/>
              </w:rPr>
            </w:pPr>
            <w:r>
              <w:rPr>
                <w:rFonts w:ascii="Arial" w:cs="Arial" w:eastAsia="Arial" w:hAnsi="Arial"/>
                <w:sz w:val="18"/>
                <w:szCs w:val="18"/>
                <w:b w:val="1"/>
                <w:bCs w:val="1"/>
                <w:color w:val="auto"/>
                <w:w w:val="88"/>
              </w:rPr>
              <w:t>June 30, 2006</w:t>
            </w: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020" w:type="dxa"/>
            <w:vAlign w:val="bottom"/>
          </w:tcPr>
          <w:p>
            <w:pPr>
              <w:spacing w:after="0"/>
              <w:rPr>
                <w:sz w:val="20"/>
                <w:szCs w:val="20"/>
                <w:color w:val="auto"/>
              </w:rPr>
            </w:pPr>
          </w:p>
        </w:tc>
        <w:tc>
          <w:tcPr>
            <w:tcW w:w="1240" w:type="dxa"/>
            <w:vAlign w:val="bottom"/>
            <w:gridSpan w:val="2"/>
          </w:tcPr>
          <w:p>
            <w:pPr>
              <w:jc w:val="center"/>
              <w:ind w:left="10"/>
              <w:spacing w:after="0"/>
              <w:rPr>
                <w:sz w:val="20"/>
                <w:szCs w:val="20"/>
                <w:color w:val="auto"/>
              </w:rPr>
            </w:pPr>
            <w:r>
              <w:rPr>
                <w:rFonts w:ascii="Arial" w:cs="Arial" w:eastAsia="Arial" w:hAnsi="Arial"/>
                <w:sz w:val="18"/>
                <w:szCs w:val="18"/>
                <w:b w:val="1"/>
                <w:bCs w:val="1"/>
                <w:color w:val="auto"/>
                <w:w w:val="93"/>
              </w:rPr>
              <w:t>(Unaudited)</w:t>
            </w:r>
          </w:p>
        </w:tc>
        <w:tc>
          <w:tcPr>
            <w:tcW w:w="4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5040" w:type="dxa"/>
            <w:vAlign w:val="bottom"/>
            <w:gridSpan w:val="2"/>
          </w:tcPr>
          <w:p>
            <w:pPr>
              <w:spacing w:after="0"/>
              <w:rPr>
                <w:sz w:val="20"/>
                <w:szCs w:val="20"/>
                <w:color w:val="auto"/>
              </w:rPr>
            </w:pPr>
            <w:r>
              <w:rPr>
                <w:rFonts w:ascii="Arial" w:cs="Arial" w:eastAsia="Arial" w:hAnsi="Arial"/>
                <w:sz w:val="18"/>
                <w:szCs w:val="18"/>
                <w:b w:val="1"/>
                <w:bCs w:val="1"/>
                <w:color w:val="auto"/>
              </w:rPr>
              <w:t>7. Comprehensive Income (Loss)</w:t>
            </w:r>
          </w:p>
        </w:tc>
        <w:tc>
          <w:tcPr>
            <w:tcW w:w="4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5040" w:type="dxa"/>
            <w:vAlign w:val="bottom"/>
            <w:gridSpan w:val="2"/>
          </w:tcPr>
          <w:p>
            <w:pPr>
              <w:spacing w:after="0"/>
              <w:rPr>
                <w:sz w:val="20"/>
                <w:szCs w:val="20"/>
                <w:color w:val="auto"/>
              </w:rPr>
            </w:pPr>
            <w:r>
              <w:rPr>
                <w:rFonts w:ascii="Arial" w:cs="Arial" w:eastAsia="Arial" w:hAnsi="Arial"/>
                <w:sz w:val="18"/>
                <w:szCs w:val="18"/>
                <w:color w:val="auto"/>
              </w:rPr>
              <w:t>Comprehensive income (loss) is as follows:</w:t>
            </w:r>
          </w:p>
        </w:tc>
        <w:tc>
          <w:tcPr>
            <w:tcW w:w="4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20" w:type="dxa"/>
            <w:vAlign w:val="bottom"/>
          </w:tcPr>
          <w:p>
            <w:pPr>
              <w:spacing w:after="0"/>
              <w:rPr>
                <w:sz w:val="24"/>
                <w:szCs w:val="24"/>
                <w:color w:val="auto"/>
              </w:rPr>
            </w:pPr>
          </w:p>
        </w:tc>
        <w:tc>
          <w:tcPr>
            <w:tcW w:w="50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080" w:type="dxa"/>
            <w:vAlign w:val="bottom"/>
            <w:gridSpan w:val="7"/>
          </w:tcPr>
          <w:p>
            <w:pPr>
              <w:jc w:val="right"/>
              <w:ind w:right="840"/>
              <w:spacing w:after="0"/>
              <w:rPr>
                <w:sz w:val="20"/>
                <w:szCs w:val="20"/>
                <w:color w:val="auto"/>
              </w:rPr>
            </w:pPr>
            <w:r>
              <w:rPr>
                <w:rFonts w:ascii="Arial" w:cs="Arial" w:eastAsia="Arial" w:hAnsi="Arial"/>
                <w:sz w:val="14"/>
                <w:szCs w:val="14"/>
                <w:b w:val="1"/>
                <w:bCs w:val="1"/>
                <w:color w:val="auto"/>
              </w:rPr>
              <w:t>For the three months ended</w:t>
            </w: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340" w:type="dxa"/>
            <w:vAlign w:val="bottom"/>
            <w:gridSpan w:val="7"/>
          </w:tcPr>
          <w:p>
            <w:pPr>
              <w:jc w:val="right"/>
              <w:ind w:right="700"/>
              <w:spacing w:after="0"/>
              <w:rPr>
                <w:sz w:val="20"/>
                <w:szCs w:val="20"/>
                <w:color w:val="auto"/>
              </w:rPr>
            </w:pPr>
            <w:r>
              <w:rPr>
                <w:rFonts w:ascii="Arial" w:cs="Arial" w:eastAsia="Arial" w:hAnsi="Arial"/>
                <w:sz w:val="14"/>
                <w:szCs w:val="14"/>
                <w:b w:val="1"/>
                <w:bCs w:val="1"/>
                <w:color w:val="auto"/>
                <w:w w:val="95"/>
              </w:rPr>
              <w:t>For the six months ended</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50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gridSpan w:val="3"/>
          </w:tcPr>
          <w:p>
            <w:pPr>
              <w:jc w:val="right"/>
              <w:ind w:right="105"/>
              <w:spacing w:after="0"/>
              <w:rPr>
                <w:sz w:val="20"/>
                <w:szCs w:val="20"/>
                <w:color w:val="auto"/>
              </w:rPr>
            </w:pPr>
            <w:r>
              <w:rPr>
                <w:rFonts w:ascii="Arial" w:cs="Arial" w:eastAsia="Arial" w:hAnsi="Arial"/>
                <w:sz w:val="14"/>
                <w:szCs w:val="14"/>
                <w:b w:val="1"/>
                <w:bCs w:val="1"/>
                <w:color w:val="auto"/>
              </w:rPr>
              <w:t>June 30,</w:t>
            </w:r>
          </w:p>
        </w:tc>
        <w:tc>
          <w:tcPr>
            <w:tcW w:w="5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gridSpan w:val="4"/>
          </w:tcPr>
          <w:p>
            <w:pPr>
              <w:jc w:val="right"/>
              <w:ind w:right="30"/>
              <w:spacing w:after="0"/>
              <w:rPr>
                <w:sz w:val="20"/>
                <w:szCs w:val="20"/>
                <w:color w:val="auto"/>
              </w:rPr>
            </w:pPr>
            <w:r>
              <w:rPr>
                <w:rFonts w:ascii="Arial" w:cs="Arial" w:eastAsia="Arial" w:hAnsi="Arial"/>
                <w:sz w:val="14"/>
                <w:szCs w:val="14"/>
                <w:b w:val="1"/>
                <w:bCs w:val="1"/>
                <w:color w:val="auto"/>
              </w:rPr>
              <w:t>June 30,</w:t>
            </w:r>
          </w:p>
        </w:tc>
        <w:tc>
          <w:tcPr>
            <w:tcW w:w="10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0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2006</w:t>
            </w:r>
          </w:p>
        </w:tc>
        <w:tc>
          <w:tcPr>
            <w:tcW w:w="48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2005</w:t>
            </w:r>
          </w:p>
        </w:tc>
        <w:tc>
          <w:tcPr>
            <w:tcW w:w="46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1020" w:type="dxa"/>
            <w:vAlign w:val="bottom"/>
            <w:tcBorders>
              <w:bottom w:val="single" w:sz="8" w:color="auto"/>
            </w:tcBorders>
            <w:gridSpan w:val="2"/>
          </w:tcPr>
          <w:p>
            <w:pPr>
              <w:jc w:val="right"/>
              <w:ind w:right="424"/>
              <w:spacing w:after="0" w:line="129" w:lineRule="exact"/>
              <w:rPr>
                <w:sz w:val="20"/>
                <w:szCs w:val="20"/>
                <w:color w:val="auto"/>
              </w:rPr>
            </w:pPr>
            <w:r>
              <w:rPr>
                <w:rFonts w:ascii="Arial" w:cs="Arial" w:eastAsia="Arial" w:hAnsi="Arial"/>
                <w:sz w:val="14"/>
                <w:szCs w:val="14"/>
                <w:b w:val="1"/>
                <w:bCs w:val="1"/>
                <w:color w:val="auto"/>
              </w:rPr>
              <w:t>2006</w:t>
            </w:r>
          </w:p>
        </w:tc>
        <w:tc>
          <w:tcPr>
            <w:tcW w:w="24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1000" w:type="dxa"/>
            <w:vAlign w:val="bottom"/>
            <w:tcBorders>
              <w:bottom w:val="single" w:sz="8" w:color="auto"/>
            </w:tcBorders>
          </w:tcPr>
          <w:p>
            <w:pPr>
              <w:jc w:val="right"/>
              <w:ind w:right="392"/>
              <w:spacing w:after="0" w:line="129" w:lineRule="exact"/>
              <w:rPr>
                <w:sz w:val="20"/>
                <w:szCs w:val="20"/>
                <w:color w:val="auto"/>
              </w:rPr>
            </w:pPr>
            <w:r>
              <w:rPr>
                <w:rFonts w:ascii="Arial" w:cs="Arial" w:eastAsia="Arial" w:hAnsi="Arial"/>
                <w:sz w:val="14"/>
                <w:szCs w:val="14"/>
                <w:b w:val="1"/>
                <w:bCs w:val="1"/>
                <w:color w:val="auto"/>
              </w:rPr>
              <w:t>2005</w:t>
            </w:r>
          </w:p>
        </w:tc>
        <w:tc>
          <w:tcPr>
            <w:tcW w:w="2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0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80" w:type="dxa"/>
            <w:vAlign w:val="bottom"/>
            <w:gridSpan w:val="3"/>
          </w:tcPr>
          <w:p>
            <w:pPr>
              <w:jc w:val="right"/>
              <w:spacing w:after="0" w:line="129" w:lineRule="exact"/>
              <w:rPr>
                <w:sz w:val="20"/>
                <w:szCs w:val="20"/>
                <w:color w:val="auto"/>
              </w:rPr>
            </w:pPr>
            <w:r>
              <w:rPr>
                <w:rFonts w:ascii="Arial" w:cs="Arial" w:eastAsia="Arial" w:hAnsi="Arial"/>
                <w:sz w:val="14"/>
                <w:szCs w:val="14"/>
                <w:b w:val="1"/>
                <w:bCs w:val="1"/>
                <w:color w:val="auto"/>
              </w:rPr>
              <w:t>(in millions)</w:t>
            </w:r>
          </w:p>
        </w:tc>
        <w:tc>
          <w:tcPr>
            <w:tcW w:w="2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Comprehensive income (loss):</w:t>
            </w:r>
          </w:p>
        </w:tc>
        <w:tc>
          <w:tcPr>
            <w:tcW w:w="4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Net income</w:t>
            </w:r>
          </w:p>
        </w:tc>
        <w:tc>
          <w:tcPr>
            <w:tcW w:w="1240" w:type="dxa"/>
            <w:vAlign w:val="bottom"/>
            <w:gridSpan w:val="2"/>
          </w:tcPr>
          <w:p>
            <w:pPr>
              <w:jc w:val="right"/>
              <w:ind w:right="647"/>
              <w:spacing w:after="0"/>
              <w:rPr>
                <w:sz w:val="20"/>
                <w:szCs w:val="20"/>
                <w:color w:val="auto"/>
              </w:rPr>
            </w:pPr>
            <w:r>
              <w:rPr>
                <w:rFonts w:ascii="Arial" w:cs="Arial" w:eastAsia="Arial" w:hAnsi="Arial"/>
                <w:sz w:val="18"/>
                <w:szCs w:val="18"/>
                <w:b w:val="1"/>
                <w:bCs w:val="1"/>
                <w:color w:val="auto"/>
              </w:rPr>
              <w:t>$</w:t>
            </w:r>
          </w:p>
        </w:tc>
        <w:tc>
          <w:tcPr>
            <w:tcW w:w="480" w:type="dxa"/>
            <w:vAlign w:val="bottom"/>
          </w:tcPr>
          <w:p>
            <w:pPr>
              <w:jc w:val="right"/>
              <w:spacing w:after="0"/>
              <w:rPr>
                <w:sz w:val="20"/>
                <w:szCs w:val="20"/>
                <w:color w:val="auto"/>
              </w:rPr>
            </w:pPr>
            <w:r>
              <w:rPr>
                <w:rFonts w:ascii="Arial" w:cs="Arial" w:eastAsia="Arial" w:hAnsi="Arial"/>
                <w:sz w:val="18"/>
                <w:szCs w:val="18"/>
                <w:b w:val="1"/>
                <w:bCs w:val="1"/>
                <w:color w:val="auto"/>
                <w:w w:val="97"/>
              </w:rPr>
              <w:t>218.8</w:t>
            </w:r>
          </w:p>
        </w:tc>
        <w:tc>
          <w:tcPr>
            <w:tcW w:w="280" w:type="dxa"/>
            <w:vAlign w:val="bottom"/>
          </w:tcPr>
          <w:p>
            <w:pPr>
              <w:spacing w:after="0"/>
              <w:rPr>
                <w:sz w:val="18"/>
                <w:szCs w:val="18"/>
                <w:color w:val="auto"/>
              </w:rPr>
            </w:pPr>
          </w:p>
        </w:tc>
        <w:tc>
          <w:tcPr>
            <w:tcW w:w="280" w:type="dxa"/>
            <w:vAlign w:val="bottom"/>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238.9</w:t>
            </w:r>
          </w:p>
        </w:tc>
        <w:tc>
          <w:tcPr>
            <w:tcW w:w="280" w:type="dxa"/>
            <w:vAlign w:val="bottom"/>
          </w:tcPr>
          <w:p>
            <w:pPr>
              <w:spacing w:after="0"/>
              <w:rPr>
                <w:sz w:val="18"/>
                <w:szCs w:val="18"/>
                <w:color w:val="auto"/>
              </w:rPr>
            </w:pPr>
          </w:p>
        </w:tc>
        <w:tc>
          <w:tcPr>
            <w:tcW w:w="240" w:type="dxa"/>
            <w:vAlign w:val="bottom"/>
          </w:tcPr>
          <w:p>
            <w:pPr>
              <w:jc w:val="right"/>
              <w:ind w:right="73"/>
              <w:spacing w:after="0"/>
              <w:rPr>
                <w:sz w:val="20"/>
                <w:szCs w:val="20"/>
                <w:color w:val="auto"/>
              </w:rPr>
            </w:pPr>
            <w:r>
              <w:rPr>
                <w:rFonts w:ascii="Arial" w:cs="Arial" w:eastAsia="Arial" w:hAnsi="Arial"/>
                <w:sz w:val="15"/>
                <w:szCs w:val="15"/>
                <w:b w:val="1"/>
                <w:bCs w:val="1"/>
                <w:color w:val="auto"/>
                <w:w w:val="71"/>
              </w:rPr>
              <w:t>$</w:t>
            </w:r>
          </w:p>
        </w:tc>
        <w:tc>
          <w:tcPr>
            <w:tcW w:w="1020" w:type="dxa"/>
            <w:vAlign w:val="bottom"/>
            <w:gridSpan w:val="2"/>
          </w:tcPr>
          <w:p>
            <w:pPr>
              <w:jc w:val="right"/>
              <w:spacing w:after="0"/>
              <w:rPr>
                <w:sz w:val="20"/>
                <w:szCs w:val="20"/>
                <w:color w:val="auto"/>
              </w:rPr>
            </w:pPr>
            <w:r>
              <w:rPr>
                <w:rFonts w:ascii="Arial" w:cs="Arial" w:eastAsia="Arial" w:hAnsi="Arial"/>
                <w:sz w:val="18"/>
                <w:szCs w:val="18"/>
                <w:b w:val="1"/>
                <w:bCs w:val="1"/>
                <w:color w:val="auto"/>
              </w:rPr>
              <w:t>512.7</w:t>
            </w:r>
          </w:p>
        </w:tc>
        <w:tc>
          <w:tcPr>
            <w:tcW w:w="240" w:type="dxa"/>
            <w:vAlign w:val="bottom"/>
          </w:tcPr>
          <w:p>
            <w:pPr>
              <w:spacing w:after="0"/>
              <w:rPr>
                <w:sz w:val="18"/>
                <w:szCs w:val="18"/>
                <w:color w:val="auto"/>
              </w:rPr>
            </w:pPr>
          </w:p>
        </w:tc>
        <w:tc>
          <w:tcPr>
            <w:tcW w:w="260" w:type="dxa"/>
            <w:vAlign w:val="bottom"/>
            <w:gridSpan w:val="2"/>
          </w:tcPr>
          <w:p>
            <w:pPr>
              <w:jc w:val="right"/>
              <w:ind w:right="50"/>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444.4</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50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Net change in unrealized gains and losses on fixed maturities,</w:t>
            </w:r>
          </w:p>
        </w:tc>
        <w:tc>
          <w:tcPr>
            <w:tcW w:w="44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76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w w:val="91"/>
              </w:rPr>
              <w:t>(625.0)</w:t>
            </w:r>
          </w:p>
        </w:tc>
        <w:tc>
          <w:tcPr>
            <w:tcW w:w="2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60" w:type="dxa"/>
            <w:vAlign w:val="bottom"/>
            <w:gridSpan w:val="3"/>
            <w:vMerge w:val="restart"/>
            <w:shd w:val="clear" w:color="auto" w:fill="CCEEFF"/>
          </w:tcPr>
          <w:p>
            <w:pPr>
              <w:jc w:val="right"/>
              <w:ind w:right="92"/>
              <w:spacing w:after="0"/>
              <w:rPr>
                <w:sz w:val="20"/>
                <w:szCs w:val="20"/>
                <w:color w:val="auto"/>
              </w:rPr>
            </w:pPr>
            <w:r>
              <w:rPr>
                <w:rFonts w:ascii="Arial" w:cs="Arial" w:eastAsia="Arial" w:hAnsi="Arial"/>
                <w:sz w:val="18"/>
                <w:szCs w:val="18"/>
                <w:b w:val="1"/>
                <w:bCs w:val="1"/>
                <w:color w:val="auto"/>
              </w:rPr>
              <w:t>(1,368.3)</w:t>
            </w: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available-for-sale</w:t>
            </w:r>
          </w:p>
        </w:tc>
        <w:tc>
          <w:tcPr>
            <w:tcW w:w="440" w:type="dxa"/>
            <w:vAlign w:val="bottom"/>
            <w:shd w:val="clear" w:color="auto" w:fill="CCEEFF"/>
          </w:tcPr>
          <w:p>
            <w:pPr>
              <w:spacing w:after="0"/>
              <w:rPr>
                <w:sz w:val="20"/>
                <w:szCs w:val="20"/>
                <w:color w:val="auto"/>
              </w:rPr>
            </w:pPr>
          </w:p>
        </w:tc>
        <w:tc>
          <w:tcPr>
            <w:tcW w:w="800" w:type="dxa"/>
            <w:vAlign w:val="bottom"/>
            <w:shd w:val="clear" w:color="auto" w:fill="CCEEFF"/>
          </w:tcPr>
          <w:p>
            <w:pPr>
              <w:spacing w:after="0"/>
              <w:rPr>
                <w:sz w:val="20"/>
                <w:szCs w:val="20"/>
                <w:color w:val="auto"/>
              </w:rPr>
            </w:pPr>
          </w:p>
        </w:tc>
        <w:tc>
          <w:tcPr>
            <w:tcW w:w="760" w:type="dxa"/>
            <w:vAlign w:val="bottom"/>
            <w:gridSpan w:val="2"/>
            <w:vMerge w:val="continue"/>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691.0</w:t>
            </w:r>
          </w:p>
        </w:tc>
        <w:tc>
          <w:tcPr>
            <w:tcW w:w="28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260" w:type="dxa"/>
            <w:vAlign w:val="bottom"/>
            <w:gridSpan w:val="3"/>
            <w:vMerge w:val="continue"/>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158.5</w:t>
            </w:r>
          </w:p>
        </w:tc>
        <w:tc>
          <w:tcPr>
            <w:tcW w:w="80" w:type="dxa"/>
            <w:vAlign w:val="bottom"/>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5020" w:type="dxa"/>
            <w:vAlign w:val="bottom"/>
          </w:tcPr>
          <w:p>
            <w:pPr>
              <w:spacing w:after="0" w:line="201" w:lineRule="exact"/>
              <w:rPr>
                <w:sz w:val="20"/>
                <w:szCs w:val="20"/>
                <w:color w:val="auto"/>
              </w:rPr>
            </w:pPr>
            <w:r>
              <w:rPr>
                <w:rFonts w:ascii="Arial" w:cs="Arial" w:eastAsia="Arial" w:hAnsi="Arial"/>
                <w:sz w:val="18"/>
                <w:szCs w:val="18"/>
                <w:color w:val="auto"/>
                <w:w w:val="99"/>
              </w:rPr>
              <w:t>Net change in unrealized gains and losses on equity securities,</w:t>
            </w:r>
          </w:p>
        </w:tc>
        <w:tc>
          <w:tcPr>
            <w:tcW w:w="4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76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(10.9)</w:t>
            </w:r>
          </w:p>
        </w:tc>
        <w:tc>
          <w:tcPr>
            <w:tcW w:w="2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60" w:type="dxa"/>
            <w:vAlign w:val="bottom"/>
            <w:gridSpan w:val="3"/>
            <w:vMerge w:val="restart"/>
          </w:tcPr>
          <w:p>
            <w:pPr>
              <w:jc w:val="right"/>
              <w:ind w:right="92"/>
              <w:spacing w:after="0"/>
              <w:rPr>
                <w:sz w:val="20"/>
                <w:szCs w:val="20"/>
                <w:color w:val="auto"/>
              </w:rPr>
            </w:pPr>
            <w:r>
              <w:rPr>
                <w:rFonts w:ascii="Arial" w:cs="Arial" w:eastAsia="Arial" w:hAnsi="Arial"/>
                <w:sz w:val="18"/>
                <w:szCs w:val="18"/>
                <w:b w:val="1"/>
                <w:bCs w:val="1"/>
                <w:color w:val="auto"/>
              </w:rPr>
              <w:t>(9.6)</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020" w:type="dxa"/>
            <w:vAlign w:val="bottom"/>
          </w:tcPr>
          <w:p>
            <w:pPr>
              <w:ind w:left="160"/>
              <w:spacing w:after="0"/>
              <w:rPr>
                <w:sz w:val="20"/>
                <w:szCs w:val="20"/>
                <w:color w:val="auto"/>
              </w:rPr>
            </w:pPr>
            <w:r>
              <w:rPr>
                <w:rFonts w:ascii="Arial" w:cs="Arial" w:eastAsia="Arial" w:hAnsi="Arial"/>
                <w:sz w:val="18"/>
                <w:szCs w:val="18"/>
                <w:color w:val="auto"/>
              </w:rPr>
              <w:t>available-for-sale</w:t>
            </w:r>
          </w:p>
        </w:tc>
        <w:tc>
          <w:tcPr>
            <w:tcW w:w="4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760" w:type="dxa"/>
            <w:vAlign w:val="bottom"/>
            <w:gridSpan w:val="2"/>
            <w:vMerge w:val="continue"/>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10.1</w:t>
            </w: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60" w:type="dxa"/>
            <w:vAlign w:val="bottom"/>
            <w:gridSpan w:val="3"/>
            <w:vMerge w:val="continue"/>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3.8</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50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Net change in unrealized gains and losses on equity method</w:t>
            </w:r>
          </w:p>
        </w:tc>
        <w:tc>
          <w:tcPr>
            <w:tcW w:w="44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76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(51.2)</w:t>
            </w:r>
          </w:p>
        </w:tc>
        <w:tc>
          <w:tcPr>
            <w:tcW w:w="2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2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18.3</w:t>
            </w: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subsidiaries and minority interest adjustments</w:t>
            </w:r>
          </w:p>
        </w:tc>
        <w:tc>
          <w:tcPr>
            <w:tcW w:w="440" w:type="dxa"/>
            <w:vAlign w:val="bottom"/>
            <w:shd w:val="clear" w:color="auto" w:fill="CCEEFF"/>
          </w:tcPr>
          <w:p>
            <w:pPr>
              <w:spacing w:after="0"/>
              <w:rPr>
                <w:sz w:val="20"/>
                <w:szCs w:val="20"/>
                <w:color w:val="auto"/>
              </w:rPr>
            </w:pPr>
          </w:p>
        </w:tc>
        <w:tc>
          <w:tcPr>
            <w:tcW w:w="800" w:type="dxa"/>
            <w:vAlign w:val="bottom"/>
            <w:shd w:val="clear" w:color="auto" w:fill="CCEEFF"/>
          </w:tcPr>
          <w:p>
            <w:pPr>
              <w:spacing w:after="0"/>
              <w:rPr>
                <w:sz w:val="20"/>
                <w:szCs w:val="20"/>
                <w:color w:val="auto"/>
              </w:rPr>
            </w:pPr>
          </w:p>
        </w:tc>
        <w:tc>
          <w:tcPr>
            <w:tcW w:w="760" w:type="dxa"/>
            <w:vAlign w:val="bottom"/>
            <w:gridSpan w:val="2"/>
            <w:vMerge w:val="continue"/>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2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(17.3)</w:t>
            </w:r>
          </w:p>
        </w:tc>
        <w:tc>
          <w:tcPr>
            <w:tcW w:w="240" w:type="dxa"/>
            <w:vAlign w:val="bottom"/>
            <w:shd w:val="clear" w:color="auto" w:fill="CCEEFF"/>
          </w:tcPr>
          <w:p>
            <w:pPr>
              <w:spacing w:after="0"/>
              <w:rPr>
                <w:sz w:val="20"/>
                <w:szCs w:val="20"/>
                <w:color w:val="auto"/>
              </w:rPr>
            </w:pPr>
          </w:p>
        </w:tc>
        <w:tc>
          <w:tcPr>
            <w:tcW w:w="1020" w:type="dxa"/>
            <w:vAlign w:val="bottom"/>
            <w:gridSpan w:val="2"/>
            <w:vMerge w:val="continue"/>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1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(17.0)</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Adjustments for assumed changes in amortization patterns:</w:t>
            </w:r>
          </w:p>
        </w:tc>
        <w:tc>
          <w:tcPr>
            <w:tcW w:w="4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Deferred policy acquisition costs</w:t>
            </w:r>
          </w:p>
        </w:tc>
        <w:tc>
          <w:tcPr>
            <w:tcW w:w="4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92.1</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(36.8)</w:t>
            </w:r>
          </w:p>
        </w:tc>
        <w:tc>
          <w:tcPr>
            <w:tcW w:w="2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179.8</w:t>
            </w: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6.8</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160"/>
              <w:spacing w:after="0"/>
              <w:rPr>
                <w:sz w:val="20"/>
                <w:szCs w:val="20"/>
                <w:color w:val="auto"/>
              </w:rPr>
            </w:pPr>
            <w:r>
              <w:rPr>
                <w:rFonts w:ascii="Arial" w:cs="Arial" w:eastAsia="Arial" w:hAnsi="Arial"/>
                <w:sz w:val="18"/>
                <w:szCs w:val="18"/>
                <w:color w:val="auto"/>
              </w:rPr>
              <w:t>Sales inducements</w:t>
            </w:r>
          </w:p>
        </w:tc>
        <w:tc>
          <w:tcPr>
            <w:tcW w:w="4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b w:val="1"/>
                <w:bCs w:val="1"/>
                <w:color w:val="auto"/>
              </w:rPr>
              <w:t>4.8</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gridSpan w:val="3"/>
          </w:tcPr>
          <w:p>
            <w:pPr>
              <w:jc w:val="right"/>
              <w:ind w:right="220"/>
              <w:spacing w:after="0"/>
              <w:rPr>
                <w:sz w:val="20"/>
                <w:szCs w:val="20"/>
                <w:color w:val="auto"/>
              </w:rPr>
            </w:pPr>
            <w:r>
              <w:rPr>
                <w:rFonts w:ascii="Arial" w:cs="Arial" w:eastAsia="Arial" w:hAnsi="Arial"/>
                <w:sz w:val="18"/>
                <w:szCs w:val="18"/>
                <w:color w:val="auto"/>
              </w:rPr>
              <w:t>(3.8)</w:t>
            </w:r>
          </w:p>
        </w:tc>
        <w:tc>
          <w:tcPr>
            <w:tcW w:w="240" w:type="dxa"/>
            <w:vAlign w:val="bottom"/>
          </w:tcPr>
          <w:p>
            <w:pPr>
              <w:spacing w:after="0"/>
              <w:rPr>
                <w:sz w:val="18"/>
                <w:szCs w:val="18"/>
                <w:color w:val="auto"/>
              </w:rPr>
            </w:pPr>
          </w:p>
        </w:tc>
        <w:tc>
          <w:tcPr>
            <w:tcW w:w="1020" w:type="dxa"/>
            <w:vAlign w:val="bottom"/>
            <w:gridSpan w:val="2"/>
          </w:tcPr>
          <w:p>
            <w:pPr>
              <w:jc w:val="right"/>
              <w:spacing w:after="0"/>
              <w:rPr>
                <w:sz w:val="20"/>
                <w:szCs w:val="20"/>
                <w:color w:val="auto"/>
              </w:rPr>
            </w:pPr>
            <w:r>
              <w:rPr>
                <w:rFonts w:ascii="Arial" w:cs="Arial" w:eastAsia="Arial" w:hAnsi="Arial"/>
                <w:sz w:val="18"/>
                <w:szCs w:val="18"/>
                <w:b w:val="1"/>
                <w:bCs w:val="1"/>
                <w:color w:val="auto"/>
              </w:rPr>
              <w:t>9.3</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3"/>
          </w:tcPr>
          <w:p>
            <w:pPr>
              <w:jc w:val="right"/>
              <w:ind w:right="20"/>
              <w:spacing w:after="0"/>
              <w:rPr>
                <w:sz w:val="20"/>
                <w:szCs w:val="20"/>
                <w:color w:val="auto"/>
              </w:rPr>
            </w:pPr>
            <w:r>
              <w:rPr>
                <w:rFonts w:ascii="Arial" w:cs="Arial" w:eastAsia="Arial" w:hAnsi="Arial"/>
                <w:sz w:val="18"/>
                <w:szCs w:val="18"/>
                <w:color w:val="auto"/>
              </w:rPr>
              <w:t>(0.2)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Unearned revenue reserves</w:t>
            </w:r>
          </w:p>
        </w:tc>
        <w:tc>
          <w:tcPr>
            <w:tcW w:w="4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(4.1)</w:t>
            </w:r>
          </w:p>
        </w:tc>
        <w:tc>
          <w:tcPr>
            <w:tcW w:w="28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(9.5)</w:t>
            </w:r>
          </w:p>
        </w:tc>
        <w:tc>
          <w:tcPr>
            <w:tcW w:w="240" w:type="dxa"/>
            <w:vAlign w:val="bottom"/>
            <w:shd w:val="clear" w:color="auto" w:fill="CCEEFF"/>
          </w:tcPr>
          <w:p>
            <w:pPr>
              <w:spacing w:after="0"/>
              <w:rPr>
                <w:sz w:val="18"/>
                <w:szCs w:val="18"/>
                <w:color w:val="auto"/>
              </w:rPr>
            </w:pPr>
          </w:p>
        </w:tc>
        <w:tc>
          <w:tcPr>
            <w:tcW w:w="1260" w:type="dxa"/>
            <w:vAlign w:val="bottom"/>
            <w:gridSpan w:val="3"/>
            <w:shd w:val="clear" w:color="auto" w:fill="CCEEFF"/>
          </w:tcPr>
          <w:p>
            <w:pPr>
              <w:jc w:val="right"/>
              <w:ind w:right="92"/>
              <w:spacing w:after="0"/>
              <w:rPr>
                <w:sz w:val="20"/>
                <w:szCs w:val="20"/>
                <w:color w:val="auto"/>
              </w:rPr>
            </w:pPr>
            <w:r>
              <w:rPr>
                <w:rFonts w:ascii="Arial" w:cs="Arial" w:eastAsia="Arial" w:hAnsi="Arial"/>
                <w:sz w:val="18"/>
                <w:szCs w:val="18"/>
                <w:b w:val="1"/>
                <w:bCs w:val="1"/>
                <w:color w:val="auto"/>
              </w:rPr>
              <w:t>(7.9)</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w w:val="92"/>
              </w:rPr>
              <w:t>Net change in unrealized gains and losses on derivative instruments</w:t>
            </w:r>
          </w:p>
        </w:tc>
        <w:tc>
          <w:tcPr>
            <w:tcW w:w="4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b w:val="1"/>
                <w:bCs w:val="1"/>
                <w:color w:val="auto"/>
              </w:rPr>
              <w:t>15.2</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0.6</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right"/>
              <w:spacing w:after="0"/>
              <w:rPr>
                <w:sz w:val="20"/>
                <w:szCs w:val="20"/>
                <w:color w:val="auto"/>
              </w:rPr>
            </w:pPr>
            <w:r>
              <w:rPr>
                <w:rFonts w:ascii="Arial" w:cs="Arial" w:eastAsia="Arial" w:hAnsi="Arial"/>
                <w:sz w:val="18"/>
                <w:szCs w:val="18"/>
                <w:b w:val="1"/>
                <w:bCs w:val="1"/>
                <w:color w:val="auto"/>
              </w:rPr>
              <w:t>31.7</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25.2</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50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Adjustments to unrealized gains and losses for Closed Block</w:t>
            </w:r>
          </w:p>
        </w:tc>
        <w:tc>
          <w:tcPr>
            <w:tcW w:w="44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76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2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33.7</w:t>
            </w: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policyholder dividend obligation</w:t>
            </w:r>
          </w:p>
        </w:tc>
        <w:tc>
          <w:tcPr>
            <w:tcW w:w="440" w:type="dxa"/>
            <w:vAlign w:val="bottom"/>
            <w:shd w:val="clear" w:color="auto" w:fill="CCEEFF"/>
          </w:tcPr>
          <w:p>
            <w:pPr>
              <w:spacing w:after="0"/>
              <w:rPr>
                <w:sz w:val="20"/>
                <w:szCs w:val="20"/>
                <w:color w:val="auto"/>
              </w:rPr>
            </w:pPr>
          </w:p>
        </w:tc>
        <w:tc>
          <w:tcPr>
            <w:tcW w:w="800" w:type="dxa"/>
            <w:vAlign w:val="bottom"/>
            <w:shd w:val="clear" w:color="auto" w:fill="CCEEFF"/>
          </w:tcPr>
          <w:p>
            <w:pPr>
              <w:spacing w:after="0"/>
              <w:rPr>
                <w:sz w:val="20"/>
                <w:szCs w:val="20"/>
                <w:color w:val="auto"/>
              </w:rPr>
            </w:pPr>
          </w:p>
        </w:tc>
        <w:tc>
          <w:tcPr>
            <w:tcW w:w="760" w:type="dxa"/>
            <w:vAlign w:val="bottom"/>
            <w:gridSpan w:val="2"/>
            <w:vMerge w:val="continue"/>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2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(62.9)</w:t>
            </w:r>
          </w:p>
        </w:tc>
        <w:tc>
          <w:tcPr>
            <w:tcW w:w="240" w:type="dxa"/>
            <w:vAlign w:val="bottom"/>
            <w:shd w:val="clear" w:color="auto" w:fill="CCEEFF"/>
          </w:tcPr>
          <w:p>
            <w:pPr>
              <w:spacing w:after="0"/>
              <w:rPr>
                <w:sz w:val="20"/>
                <w:szCs w:val="20"/>
                <w:color w:val="auto"/>
              </w:rPr>
            </w:pPr>
          </w:p>
        </w:tc>
        <w:tc>
          <w:tcPr>
            <w:tcW w:w="1020" w:type="dxa"/>
            <w:vAlign w:val="bottom"/>
            <w:gridSpan w:val="2"/>
            <w:vMerge w:val="continue"/>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1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(10.0)</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Change in net foreign currency translation adjustment</w:t>
            </w:r>
          </w:p>
        </w:tc>
        <w:tc>
          <w:tcPr>
            <w:tcW w:w="4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(31.6)</w:t>
            </w:r>
          </w:p>
        </w:tc>
        <w:tc>
          <w:tcPr>
            <w:tcW w:w="28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24.2</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gridSpan w:val="3"/>
          </w:tcPr>
          <w:p>
            <w:pPr>
              <w:jc w:val="right"/>
              <w:ind w:right="92"/>
              <w:spacing w:after="0"/>
              <w:rPr>
                <w:sz w:val="20"/>
                <w:szCs w:val="20"/>
                <w:color w:val="auto"/>
              </w:rPr>
            </w:pPr>
            <w:r>
              <w:rPr>
                <w:rFonts w:ascii="Arial" w:cs="Arial" w:eastAsia="Arial" w:hAnsi="Arial"/>
                <w:sz w:val="18"/>
                <w:szCs w:val="18"/>
                <w:b w:val="1"/>
                <w:bCs w:val="1"/>
                <w:color w:val="auto"/>
              </w:rPr>
              <w:t>(30.2)</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15.2</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Provision for deferred income taxes (benefits)</w:t>
            </w:r>
          </w:p>
        </w:tc>
        <w:tc>
          <w:tcPr>
            <w:tcW w:w="4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7"/>
              </w:rPr>
              <w:t>189.9</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(188.1)</w:t>
            </w:r>
          </w:p>
        </w:tc>
        <w:tc>
          <w:tcPr>
            <w:tcW w:w="2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366.9</w:t>
            </w: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(39.3)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Comprehensive income (loss)</w:t>
            </w:r>
          </w:p>
        </w:tc>
        <w:tc>
          <w:tcPr>
            <w:tcW w:w="440" w:type="dxa"/>
            <w:vAlign w:val="bottom"/>
          </w:tcPr>
          <w:p>
            <w:pPr>
              <w:spacing w:after="0"/>
              <w:rPr>
                <w:sz w:val="19"/>
                <w:szCs w:val="19"/>
                <w:color w:val="auto"/>
              </w:rPr>
            </w:pPr>
          </w:p>
        </w:tc>
        <w:tc>
          <w:tcPr>
            <w:tcW w:w="800" w:type="dxa"/>
            <w:vAlign w:val="bottom"/>
            <w:tcBorders>
              <w:top w:val="single" w:sz="8" w:color="auto"/>
              <w:bottom w:val="single" w:sz="8" w:color="auto"/>
            </w:tcBorders>
          </w:tcPr>
          <w:p>
            <w:pPr>
              <w:jc w:val="right"/>
              <w:ind w:right="647"/>
              <w:spacing w:after="0"/>
              <w:rPr>
                <w:sz w:val="20"/>
                <w:szCs w:val="20"/>
                <w:color w:val="auto"/>
              </w:rPr>
            </w:pPr>
            <w:r>
              <w:rPr>
                <w:rFonts w:ascii="Arial" w:cs="Arial" w:eastAsia="Arial" w:hAnsi="Arial"/>
                <w:sz w:val="15"/>
                <w:szCs w:val="15"/>
                <w:b w:val="1"/>
                <w:bCs w:val="1"/>
                <w:color w:val="auto"/>
                <w:w w:val="71"/>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86"/>
              </w:rPr>
              <w:t>(202.0</w:t>
            </w:r>
          </w:p>
        </w:tc>
        <w:tc>
          <w:tcPr>
            <w:tcW w:w="280" w:type="dxa"/>
            <w:vAlign w:val="bottom"/>
          </w:tcPr>
          <w:p>
            <w:pPr>
              <w:jc w:val="right"/>
              <w:ind w:right="140"/>
              <w:spacing w:after="0"/>
              <w:rPr>
                <w:sz w:val="20"/>
                <w:szCs w:val="20"/>
                <w:color w:val="auto"/>
              </w:rPr>
            </w:pPr>
            <w:r>
              <w:rPr>
                <w:rFonts w:ascii="Arial" w:cs="Arial" w:eastAsia="Arial" w:hAnsi="Arial"/>
                <w:sz w:val="16"/>
                <w:szCs w:val="16"/>
                <w:b w:val="1"/>
                <w:bCs w:val="1"/>
                <w:color w:val="auto"/>
                <w:w w:val="74"/>
              </w:rPr>
              <w:t>)</w:t>
            </w:r>
          </w:p>
        </w:tc>
        <w:tc>
          <w:tcPr>
            <w:tcW w:w="280" w:type="dxa"/>
            <w:vAlign w:val="bottom"/>
            <w:tcBorders>
              <w:top w:val="single" w:sz="8" w:color="auto"/>
              <w:bottom w:val="single" w:sz="8" w:color="auto"/>
            </w:tcBorders>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646.4</w:t>
            </w:r>
          </w:p>
        </w:tc>
        <w:tc>
          <w:tcPr>
            <w:tcW w:w="280" w:type="dxa"/>
            <w:vAlign w:val="bottom"/>
          </w:tcPr>
          <w:p>
            <w:pPr>
              <w:spacing w:after="0"/>
              <w:rPr>
                <w:sz w:val="19"/>
                <w:szCs w:val="19"/>
                <w:color w:val="auto"/>
              </w:rPr>
            </w:pPr>
          </w:p>
        </w:tc>
        <w:tc>
          <w:tcPr>
            <w:tcW w:w="240" w:type="dxa"/>
            <w:vAlign w:val="bottom"/>
            <w:tcBorders>
              <w:top w:val="single" w:sz="8" w:color="auto"/>
              <w:bottom w:val="single" w:sz="8" w:color="auto"/>
            </w:tcBorders>
          </w:tcPr>
          <w:p>
            <w:pPr>
              <w:jc w:val="right"/>
              <w:ind w:right="73"/>
              <w:spacing w:after="0"/>
              <w:rPr>
                <w:sz w:val="20"/>
                <w:szCs w:val="20"/>
                <w:color w:val="auto"/>
              </w:rPr>
            </w:pPr>
            <w:r>
              <w:rPr>
                <w:rFonts w:ascii="Arial" w:cs="Arial" w:eastAsia="Arial" w:hAnsi="Arial"/>
                <w:sz w:val="15"/>
                <w:szCs w:val="15"/>
                <w:b w:val="1"/>
                <w:bCs w:val="1"/>
                <w:color w:val="auto"/>
                <w:w w:val="71"/>
              </w:rPr>
              <w:t>$</w:t>
            </w:r>
          </w:p>
        </w:tc>
        <w:tc>
          <w:tcPr>
            <w:tcW w:w="10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rPr>
              <w:t>(263.6</w:t>
            </w:r>
          </w:p>
        </w:tc>
        <w:tc>
          <w:tcPr>
            <w:tcW w:w="240" w:type="dxa"/>
            <w:vAlign w:val="bottom"/>
          </w:tcPr>
          <w:p>
            <w:pPr>
              <w:jc w:val="right"/>
              <w:ind w:right="92"/>
              <w:spacing w:after="0"/>
              <w:rPr>
                <w:sz w:val="20"/>
                <w:szCs w:val="20"/>
                <w:color w:val="auto"/>
              </w:rPr>
            </w:pPr>
            <w:r>
              <w:rPr>
                <w:rFonts w:ascii="Arial" w:cs="Arial" w:eastAsia="Arial" w:hAnsi="Arial"/>
                <w:sz w:val="16"/>
                <w:szCs w:val="16"/>
                <w:b w:val="1"/>
                <w:bCs w:val="1"/>
                <w:color w:val="auto"/>
                <w:w w:val="74"/>
              </w:rPr>
              <w:t>)</w:t>
            </w:r>
          </w:p>
        </w:tc>
        <w:tc>
          <w:tcPr>
            <w:tcW w:w="20" w:type="dxa"/>
            <w:vAlign w:val="bottom"/>
          </w:tcPr>
          <w:p>
            <w:pPr>
              <w:spacing w:after="0"/>
              <w:rPr>
                <w:sz w:val="19"/>
                <w:szCs w:val="19"/>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585.0</w:t>
            </w: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-4632325</wp:posOffset>
            </wp:positionV>
            <wp:extent cx="12700"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-4632325</wp:posOffset>
            </wp:positionV>
            <wp:extent cx="12700" cy="298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1" w:right="199" w:bottom="9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40"/>
        <w:spacing w:after="0"/>
        <w:rPr>
          <w:sz w:val="20"/>
          <w:szCs w:val="20"/>
          <w:color w:val="auto"/>
        </w:rPr>
      </w:pPr>
      <w:r>
        <w:rPr>
          <w:rFonts w:ascii="Arial" w:cs="Arial" w:eastAsia="Arial" w:hAnsi="Arial"/>
          <w:sz w:val="16"/>
          <w:szCs w:val="16"/>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250190</wp:posOffset>
            </wp:positionV>
            <wp:extent cx="7267575"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60"/>
          </w:cols>
          <w:pgMar w:left="240" w:top="121" w:right="199" w:bottom="96" w:gutter="0" w:footer="0" w:header="0"/>
          <w:type w:val="continuous"/>
        </w:sectPr>
      </w:pPr>
    </w:p>
    <w:bookmarkStart w:id="10" w:name="page11"/>
    <w:bookmarkEnd w:id="10"/>
    <w:p>
      <w:pPr>
        <w:spacing w:after="0" w:line="5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Segment Information</w:t>
      </w:r>
    </w:p>
    <w:p>
      <w:pPr>
        <w:spacing w:after="0" w:line="229" w:lineRule="exact"/>
        <w:rPr>
          <w:sz w:val="20"/>
          <w:szCs w:val="20"/>
          <w:color w:val="auto"/>
        </w:rPr>
      </w:pPr>
    </w:p>
    <w:p>
      <w:pPr>
        <w:ind w:right="120" w:firstLine="648"/>
        <w:spacing w:after="0" w:line="312" w:lineRule="auto"/>
        <w:rPr>
          <w:sz w:val="20"/>
          <w:szCs w:val="20"/>
          <w:color w:val="auto"/>
        </w:rPr>
      </w:pPr>
      <w:r>
        <w:rPr>
          <w:rFonts w:ascii="Arial" w:cs="Arial" w:eastAsia="Arial" w:hAnsi="Arial"/>
          <w:sz w:val="16"/>
          <w:szCs w:val="16"/>
          <w:color w:val="auto"/>
        </w:rPr>
        <w:t>We provide financial products and services through the following segments: U.S. Asset Management and Accumulation, International Asset Management and Accumulation and Life and Health Insurance. In addition, there is a Corporate and Other segment. The segments are managed and reported separately because they provide different products and services, have different strategies or have different markets and distribution channels.</w:t>
      </w:r>
    </w:p>
    <w:p>
      <w:pPr>
        <w:spacing w:after="0" w:line="147" w:lineRule="exact"/>
        <w:rPr>
          <w:sz w:val="20"/>
          <w:szCs w:val="20"/>
          <w:color w:val="auto"/>
        </w:rPr>
      </w:pPr>
    </w:p>
    <w:p>
      <w:pPr>
        <w:ind w:right="260" w:firstLine="648"/>
        <w:spacing w:after="0" w:line="264" w:lineRule="auto"/>
        <w:rPr>
          <w:sz w:val="20"/>
          <w:szCs w:val="20"/>
          <w:color w:val="auto"/>
        </w:rPr>
      </w:pPr>
      <w:r>
        <w:rPr>
          <w:rFonts w:ascii="Arial" w:cs="Arial" w:eastAsia="Arial" w:hAnsi="Arial"/>
          <w:sz w:val="18"/>
          <w:szCs w:val="18"/>
          <w:color w:val="auto"/>
        </w:rPr>
        <w:t>The U.S. Asset Management and Accumulation segment provides retirement and related financial products and services primarily to businesses, their employees and other individuals and provides asset management services to our asset accumulation business, the life and health insurance operations, the Corporate and Other segment and third-party clients.</w:t>
      </w:r>
    </w:p>
    <w:p>
      <w:pPr>
        <w:spacing w:after="0" w:line="181"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The International Asset Management and Accumulation segment consists of Principal International operations in Chile, Mexico, Hong Kong, Brazil, India, China, and Malaysia. We focus on countries with favorable demographics and a trend toward private sector defined contribution pension systems. We entered these countries through acquisitions, start-up operations and joint ventures.</w:t>
      </w:r>
    </w:p>
    <w:p>
      <w:pPr>
        <w:spacing w:after="0" w:line="181" w:lineRule="exact"/>
        <w:rPr>
          <w:sz w:val="20"/>
          <w:szCs w:val="20"/>
          <w:color w:val="auto"/>
        </w:rPr>
      </w:pPr>
    </w:p>
    <w:p>
      <w:pPr>
        <w:ind w:right="340" w:firstLine="648"/>
        <w:spacing w:after="0" w:line="308" w:lineRule="auto"/>
        <w:rPr>
          <w:sz w:val="20"/>
          <w:szCs w:val="20"/>
          <w:color w:val="auto"/>
        </w:rPr>
      </w:pPr>
      <w:r>
        <w:rPr>
          <w:rFonts w:ascii="Arial" w:cs="Arial" w:eastAsia="Arial" w:hAnsi="Arial"/>
          <w:sz w:val="17"/>
          <w:szCs w:val="17"/>
          <w:color w:val="auto"/>
        </w:rPr>
        <w:t>The Life and Health insurance segment provides individual life insurance, group health insurance and specialty benefits, which consists of group dental and vision insurance, individual and group disability insurance and group life insurance, throughout the United States.</w:t>
      </w:r>
    </w:p>
    <w:p>
      <w:pPr>
        <w:spacing w:after="0" w:line="147"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The Corporate and Other segment manages the assets representing capital that has not been allocated to any other segment. Financial results of the Corporate and Other segment primarily reflect our financing activities (including interest expense), income on capital not allocated to other segments, inter-segment eliminations, income tax risks and certain income, expenses and other after-tax adjustments not allocated to the segments based on the nature of such items.</w:t>
      </w:r>
    </w:p>
    <w:p>
      <w:pPr>
        <w:spacing w:after="0" w:line="187" w:lineRule="exact"/>
        <w:rPr>
          <w:sz w:val="20"/>
          <w:szCs w:val="20"/>
          <w:color w:val="auto"/>
        </w:rPr>
      </w:pPr>
    </w:p>
    <w:p>
      <w:pPr>
        <w:ind w:firstLine="648"/>
        <w:spacing w:after="0" w:line="287" w:lineRule="auto"/>
        <w:rPr>
          <w:sz w:val="20"/>
          <w:szCs w:val="20"/>
          <w:color w:val="auto"/>
        </w:rPr>
      </w:pPr>
      <w:r>
        <w:rPr>
          <w:rFonts w:ascii="Arial" w:cs="Arial" w:eastAsia="Arial" w:hAnsi="Arial"/>
          <w:sz w:val="16"/>
          <w:szCs w:val="16"/>
          <w:color w:val="auto"/>
        </w:rPr>
        <w:t xml:space="preserve">Management uses segment operating earnings for goal setting, determining employee compensation and evaluating performance on a basis comparable to that used by securities analysts. We determine segment operating earnings by adjusting U.S. GAAP net income available to common stockholders for net realized/unrealized capital gains and losses, as adjusted, and other after-tax adjustments which management believes are not indicative of overall operating trends. Net realized/unrealized capital gains and losses, as adjusted, are net of income taxes, related changes in the amortization pattern of deferred policy acquisition costs (“DPAC”) and sales inducements, recognition of front-end fee revenues for sales charges on pension products and services, net realized capital gains and losses distributed, minority interest capital gains and losses and certain market value adjustments to fee revenues. Segment operating revenues exclude net realized/unrealized capital gains and their impact on recognition of front-end fee revenues and certain market value adjustments to fee revenues and include operating revenues from real estate properties that qualify for discontinued operations treatment under SFAS No. 144, </w:t>
      </w:r>
      <w:r>
        <w:rPr>
          <w:rFonts w:ascii="Arial" w:cs="Arial" w:eastAsia="Arial" w:hAnsi="Arial"/>
          <w:sz w:val="16"/>
          <w:szCs w:val="16"/>
          <w:i w:val="1"/>
          <w:iCs w:val="1"/>
          <w:color w:val="auto"/>
        </w:rPr>
        <w:t xml:space="preserve">Accounting for the Impairment or Disposal of Long-Lived Assets </w:t>
      </w:r>
      <w:r>
        <w:rPr>
          <w:rFonts w:ascii="Arial" w:cs="Arial" w:eastAsia="Arial" w:hAnsi="Arial"/>
          <w:sz w:val="16"/>
          <w:szCs w:val="16"/>
          <w:color w:val="auto"/>
        </w:rPr>
        <w:t>(“SFAS 144”). While these items may be significant components in understanding and</w:t>
      </w:r>
      <w:r>
        <w:rPr>
          <w:rFonts w:ascii="Arial" w:cs="Arial" w:eastAsia="Arial" w:hAnsi="Arial"/>
          <w:sz w:val="16"/>
          <w:szCs w:val="16"/>
          <w:i w:val="1"/>
          <w:iCs w:val="1"/>
          <w:color w:val="auto"/>
        </w:rPr>
        <w:t xml:space="preserve"> </w:t>
      </w:r>
      <w:r>
        <w:rPr>
          <w:rFonts w:ascii="Arial" w:cs="Arial" w:eastAsia="Arial" w:hAnsi="Arial"/>
          <w:sz w:val="16"/>
          <w:szCs w:val="16"/>
          <w:color w:val="auto"/>
        </w:rPr>
        <w:t>assessing the consolidated financial performance, management believes the presentation of segment operating earnings enhances the understanding of our results of operations by highlighting earnings attributable to the normal, ongoing operations of the business.</w:t>
      </w:r>
    </w:p>
    <w:p>
      <w:pPr>
        <w:spacing w:after="0" w:line="173"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The accounting policies of the segments are consistent with the accounting policies for the consolidated financial statements, with the exception of income tax allocation. The Corporate and Other segment functions to absorb the risk inherent in interpreting and applying tax law. The segments are allocated tax adjustments consistent with our tax position. The Corporate and Other segment results reflect any differences between the tax returns and the estimated resolution of any disputes.</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Segment Information (continued)</w:t>
      </w:r>
    </w:p>
    <w:p>
      <w:pPr>
        <w:spacing w:after="0" w:line="229" w:lineRule="exact"/>
        <w:rPr>
          <w:sz w:val="20"/>
          <w:szCs w:val="20"/>
          <w:color w:val="auto"/>
        </w:rPr>
      </w:pPr>
    </w:p>
    <w:p>
      <w:pPr>
        <w:ind w:right="620" w:firstLine="648"/>
        <w:spacing w:after="0" w:line="277" w:lineRule="auto"/>
        <w:rPr>
          <w:sz w:val="20"/>
          <w:szCs w:val="20"/>
          <w:color w:val="auto"/>
        </w:rPr>
      </w:pPr>
      <w:r>
        <w:rPr>
          <w:rFonts w:ascii="Arial" w:cs="Arial" w:eastAsia="Arial" w:hAnsi="Arial"/>
          <w:sz w:val="18"/>
          <w:szCs w:val="18"/>
          <w:color w:val="auto"/>
        </w:rPr>
        <w:t>The following tables summarize selected financial information by segment and reconcile segment totals to those reported in the consolidated financial statements:</w:t>
      </w:r>
    </w:p>
    <w:p>
      <w:pPr>
        <w:spacing w:after="0" w:line="348" w:lineRule="exact"/>
        <w:rPr>
          <w:sz w:val="20"/>
          <w:szCs w:val="20"/>
          <w:color w:val="auto"/>
        </w:rPr>
      </w:pPr>
    </w:p>
    <w:tbl>
      <w:tblPr>
        <w:tblLayout w:type="fixed"/>
        <w:tblInd w:w="1420" w:type="dxa"/>
        <w:tblCellMar>
          <w:top w:w="0" w:type="dxa"/>
          <w:left w:w="0" w:type="dxa"/>
          <w:bottom w:w="0" w:type="dxa"/>
          <w:right w:w="0" w:type="dxa"/>
        </w:tblCellMar>
      </w:tblPr>
      <w:tr>
        <w:trPr>
          <w:trHeight w:val="161"/>
        </w:trPr>
        <w:tc>
          <w:tcPr>
            <w:tcW w:w="6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80" w:type="dxa"/>
            <w:vAlign w:val="bottom"/>
            <w:gridSpan w:val="2"/>
          </w:tcPr>
          <w:p>
            <w:pPr>
              <w:ind w:left="60"/>
              <w:spacing w:after="0"/>
              <w:rPr>
                <w:sz w:val="20"/>
                <w:szCs w:val="20"/>
                <w:color w:val="auto"/>
              </w:rPr>
            </w:pPr>
            <w:r>
              <w:rPr>
                <w:rFonts w:ascii="Arial" w:cs="Arial" w:eastAsia="Arial" w:hAnsi="Arial"/>
                <w:sz w:val="14"/>
                <w:szCs w:val="14"/>
                <w:b w:val="1"/>
                <w:bCs w:val="1"/>
                <w:color w:val="auto"/>
              </w:rPr>
              <w:t>June 30,</w:t>
            </w:r>
          </w:p>
        </w:tc>
        <w:tc>
          <w:tcPr>
            <w:tcW w:w="980" w:type="dxa"/>
            <w:vAlign w:val="bottom"/>
            <w:gridSpan w:val="3"/>
          </w:tcPr>
          <w:p>
            <w:pPr>
              <w:ind w:left="40"/>
              <w:spacing w:after="0"/>
              <w:rPr>
                <w:sz w:val="20"/>
                <w:szCs w:val="20"/>
                <w:color w:val="auto"/>
              </w:rPr>
            </w:pPr>
            <w:r>
              <w:rPr>
                <w:rFonts w:ascii="Arial" w:cs="Arial" w:eastAsia="Arial" w:hAnsi="Arial"/>
                <w:sz w:val="14"/>
                <w:szCs w:val="14"/>
                <w:b w:val="1"/>
                <w:bCs w:val="1"/>
                <w:color w:val="auto"/>
              </w:rPr>
              <w:t>December 31,</w:t>
            </w:r>
          </w:p>
        </w:tc>
      </w:tr>
      <w:tr>
        <w:trPr>
          <w:trHeight w:val="162"/>
        </w:trPr>
        <w:tc>
          <w:tcPr>
            <w:tcW w:w="64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37"/>
              <w:spacing w:after="0"/>
              <w:rPr>
                <w:sz w:val="20"/>
                <w:szCs w:val="20"/>
                <w:color w:val="auto"/>
              </w:rPr>
            </w:pPr>
            <w:r>
              <w:rPr>
                <w:rFonts w:ascii="Arial" w:cs="Arial" w:eastAsia="Arial" w:hAnsi="Arial"/>
                <w:sz w:val="14"/>
                <w:szCs w:val="14"/>
                <w:b w:val="1"/>
                <w:bCs w:val="1"/>
                <w:color w:val="auto"/>
              </w:rPr>
              <w:t>2006</w:t>
            </w:r>
          </w:p>
        </w:tc>
        <w:tc>
          <w:tcPr>
            <w:tcW w:w="2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33"/>
              <w:spacing w:after="0"/>
              <w:rPr>
                <w:sz w:val="20"/>
                <w:szCs w:val="20"/>
                <w:color w:val="auto"/>
              </w:rPr>
            </w:pPr>
            <w:r>
              <w:rPr>
                <w:rFonts w:ascii="Arial" w:cs="Arial" w:eastAsia="Arial" w:hAnsi="Arial"/>
                <w:sz w:val="14"/>
                <w:szCs w:val="14"/>
                <w:b w:val="1"/>
                <w:bCs w:val="1"/>
                <w:color w:val="auto"/>
              </w:rPr>
              <w:t>2005</w:t>
            </w:r>
          </w:p>
        </w:tc>
        <w:tc>
          <w:tcPr>
            <w:tcW w:w="60" w:type="dxa"/>
            <w:vAlign w:val="bottom"/>
          </w:tcPr>
          <w:p>
            <w:pPr>
              <w:spacing w:after="0"/>
              <w:rPr>
                <w:sz w:val="14"/>
                <w:szCs w:val="14"/>
                <w:color w:val="auto"/>
              </w:rPr>
            </w:pPr>
          </w:p>
        </w:tc>
      </w:tr>
      <w:tr>
        <w:trPr>
          <w:trHeight w:val="129"/>
        </w:trPr>
        <w:tc>
          <w:tcPr>
            <w:tcW w:w="64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900" w:type="dxa"/>
            <w:vAlign w:val="bottom"/>
            <w:gridSpan w:val="4"/>
          </w:tcPr>
          <w:p>
            <w:pPr>
              <w:jc w:val="right"/>
              <w:ind w:right="553"/>
              <w:spacing w:after="0" w:line="129" w:lineRule="exact"/>
              <w:rPr>
                <w:sz w:val="20"/>
                <w:szCs w:val="20"/>
                <w:color w:val="auto"/>
              </w:rPr>
            </w:pPr>
            <w:r>
              <w:rPr>
                <w:rFonts w:ascii="Arial" w:cs="Arial" w:eastAsia="Arial" w:hAnsi="Arial"/>
                <w:sz w:val="14"/>
                <w:szCs w:val="14"/>
                <w:b w:val="1"/>
                <w:bCs w:val="1"/>
                <w:color w:val="auto"/>
              </w:rPr>
              <w:t>(in millions)</w:t>
            </w:r>
          </w:p>
        </w:tc>
        <w:tc>
          <w:tcPr>
            <w:tcW w:w="60" w:type="dxa"/>
            <w:vAlign w:val="bottom"/>
          </w:tcPr>
          <w:p>
            <w:pPr>
              <w:spacing w:after="0"/>
              <w:rPr>
                <w:sz w:val="11"/>
                <w:szCs w:val="11"/>
                <w:color w:val="auto"/>
              </w:rPr>
            </w:pPr>
          </w:p>
        </w:tc>
      </w:tr>
      <w:tr>
        <w:trPr>
          <w:trHeight w:val="216"/>
        </w:trPr>
        <w:tc>
          <w:tcPr>
            <w:tcW w:w="64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6480" w:type="dxa"/>
            <w:vAlign w:val="bottom"/>
          </w:tcPr>
          <w:p>
            <w:pPr>
              <w:spacing w:after="0"/>
              <w:rPr>
                <w:sz w:val="20"/>
                <w:szCs w:val="20"/>
                <w:color w:val="auto"/>
              </w:rPr>
            </w:pPr>
            <w:r>
              <w:rPr>
                <w:rFonts w:ascii="Arial" w:cs="Arial" w:eastAsia="Arial" w:hAnsi="Arial"/>
                <w:sz w:val="18"/>
                <w:szCs w:val="18"/>
                <w:color w:val="auto"/>
              </w:rPr>
              <w:t>U.S. Asset Management and Accumulation</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w w:val="92"/>
              </w:rPr>
              <w:t>108,160.0</w:t>
            </w:r>
          </w:p>
        </w:tc>
        <w:tc>
          <w:tcPr>
            <w:tcW w:w="2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103,506.1</w:t>
            </w:r>
          </w:p>
        </w:tc>
        <w:tc>
          <w:tcPr>
            <w:tcW w:w="60" w:type="dxa"/>
            <w:vAlign w:val="bottom"/>
          </w:tcPr>
          <w:p>
            <w:pPr>
              <w:spacing w:after="0"/>
              <w:rPr>
                <w:sz w:val="18"/>
                <w:szCs w:val="18"/>
                <w:color w:val="auto"/>
              </w:rPr>
            </w:pPr>
          </w:p>
        </w:tc>
      </w:tr>
      <w:tr>
        <w:trPr>
          <w:trHeight w:val="216"/>
        </w:trPr>
        <w:tc>
          <w:tcPr>
            <w:tcW w:w="6480" w:type="dxa"/>
            <w:vAlign w:val="bottom"/>
            <w:shd w:val="clear" w:color="auto" w:fill="CCEEFF"/>
          </w:tcPr>
          <w:p>
            <w:pPr>
              <w:spacing w:after="0"/>
              <w:rPr>
                <w:sz w:val="20"/>
                <w:szCs w:val="20"/>
                <w:color w:val="auto"/>
              </w:rPr>
            </w:pPr>
            <w:r>
              <w:rPr>
                <w:rFonts w:ascii="Arial" w:cs="Arial" w:eastAsia="Arial" w:hAnsi="Arial"/>
                <w:sz w:val="18"/>
                <w:szCs w:val="18"/>
                <w:color w:val="auto"/>
              </w:rPr>
              <w:t>International Asset Management and Accumulation</w:t>
            </w: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6,833.2</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6,856.2</w:t>
            </w:r>
          </w:p>
        </w:tc>
        <w:tc>
          <w:tcPr>
            <w:tcW w:w="60" w:type="dxa"/>
            <w:vAlign w:val="bottom"/>
            <w:shd w:val="clear" w:color="auto" w:fill="CCEEFF"/>
          </w:tcPr>
          <w:p>
            <w:pPr>
              <w:spacing w:after="0"/>
              <w:rPr>
                <w:sz w:val="18"/>
                <w:szCs w:val="18"/>
                <w:color w:val="auto"/>
              </w:rPr>
            </w:pPr>
          </w:p>
        </w:tc>
      </w:tr>
      <w:tr>
        <w:trPr>
          <w:trHeight w:val="216"/>
        </w:trPr>
        <w:tc>
          <w:tcPr>
            <w:tcW w:w="6480" w:type="dxa"/>
            <w:vAlign w:val="bottom"/>
          </w:tcPr>
          <w:p>
            <w:pPr>
              <w:spacing w:after="0"/>
              <w:rPr>
                <w:sz w:val="20"/>
                <w:szCs w:val="20"/>
                <w:color w:val="auto"/>
              </w:rPr>
            </w:pPr>
            <w:r>
              <w:rPr>
                <w:rFonts w:ascii="Arial" w:cs="Arial" w:eastAsia="Arial" w:hAnsi="Arial"/>
                <w:sz w:val="18"/>
                <w:szCs w:val="18"/>
                <w:color w:val="auto"/>
              </w:rPr>
              <w:t>Life and Health Insurance</w:t>
            </w: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13,951.7</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14,080.2</w:t>
            </w:r>
          </w:p>
        </w:tc>
        <w:tc>
          <w:tcPr>
            <w:tcW w:w="60" w:type="dxa"/>
            <w:vAlign w:val="bottom"/>
          </w:tcPr>
          <w:p>
            <w:pPr>
              <w:spacing w:after="0"/>
              <w:rPr>
                <w:sz w:val="18"/>
                <w:szCs w:val="18"/>
                <w:color w:val="auto"/>
              </w:rPr>
            </w:pPr>
          </w:p>
        </w:tc>
      </w:tr>
      <w:tr>
        <w:trPr>
          <w:trHeight w:val="216"/>
        </w:trPr>
        <w:tc>
          <w:tcPr>
            <w:tcW w:w="6480" w:type="dxa"/>
            <w:vAlign w:val="bottom"/>
            <w:shd w:val="clear" w:color="auto" w:fill="CCEEFF"/>
          </w:tcPr>
          <w:p>
            <w:pPr>
              <w:spacing w:after="0"/>
              <w:rPr>
                <w:sz w:val="20"/>
                <w:szCs w:val="20"/>
                <w:color w:val="auto"/>
              </w:rPr>
            </w:pPr>
            <w:r>
              <w:rPr>
                <w:rFonts w:ascii="Arial" w:cs="Arial" w:eastAsia="Arial" w:hAnsi="Arial"/>
                <w:sz w:val="18"/>
                <w:szCs w:val="18"/>
                <w:color w:val="auto"/>
              </w:rPr>
              <w:t>Corporate and Other</w:t>
            </w:r>
          </w:p>
        </w:tc>
        <w:tc>
          <w:tcPr>
            <w:tcW w:w="14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2,484.5</w:t>
            </w:r>
          </w:p>
        </w:tc>
        <w:tc>
          <w:tcPr>
            <w:tcW w:w="2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2,592.9</w:t>
            </w:r>
          </w:p>
        </w:tc>
        <w:tc>
          <w:tcPr>
            <w:tcW w:w="60" w:type="dxa"/>
            <w:vAlign w:val="bottom"/>
            <w:shd w:val="clear" w:color="auto" w:fill="CCEEFF"/>
          </w:tcPr>
          <w:p>
            <w:pPr>
              <w:spacing w:after="0"/>
              <w:rPr>
                <w:sz w:val="18"/>
                <w:szCs w:val="18"/>
                <w:color w:val="auto"/>
              </w:rPr>
            </w:pPr>
          </w:p>
        </w:tc>
      </w:tr>
      <w:tr>
        <w:trPr>
          <w:trHeight w:val="210"/>
        </w:trPr>
        <w:tc>
          <w:tcPr>
            <w:tcW w:w="6480" w:type="dxa"/>
            <w:vAlign w:val="bottom"/>
          </w:tcPr>
          <w:p>
            <w:pPr>
              <w:ind w:left="180"/>
              <w:spacing w:after="0"/>
              <w:rPr>
                <w:sz w:val="20"/>
                <w:szCs w:val="20"/>
                <w:color w:val="auto"/>
              </w:rPr>
            </w:pPr>
            <w:r>
              <w:rPr>
                <w:rFonts w:ascii="Arial" w:cs="Arial" w:eastAsia="Arial" w:hAnsi="Arial"/>
                <w:sz w:val="18"/>
                <w:szCs w:val="18"/>
                <w:color w:val="auto"/>
              </w:rPr>
              <w:t>Total consolidated assets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2"/>
              </w:rPr>
              <w:t>131,429.4</w:t>
            </w:r>
          </w:p>
        </w:tc>
        <w:tc>
          <w:tcPr>
            <w:tcW w:w="2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127,035.4</w:t>
            </w:r>
          </w:p>
        </w:tc>
        <w:tc>
          <w:tcPr>
            <w:tcW w:w="60" w:type="dxa"/>
            <w:vAlign w:val="bottom"/>
          </w:tcPr>
          <w:p>
            <w:pPr>
              <w:spacing w:after="0"/>
              <w:rPr>
                <w:sz w:val="18"/>
                <w:szCs w:val="18"/>
                <w:color w:val="auto"/>
              </w:rPr>
            </w:pPr>
          </w:p>
        </w:tc>
      </w:tr>
      <w:tr>
        <w:trPr>
          <w:trHeight w:val="20"/>
        </w:trPr>
        <w:tc>
          <w:tcPr>
            <w:tcW w:w="64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63" w:lineRule="exact"/>
        <w:rPr>
          <w:sz w:val="20"/>
          <w:szCs w:val="20"/>
          <w:color w:val="auto"/>
        </w:rPr>
      </w:pPr>
    </w:p>
    <w:tbl>
      <w:tblPr>
        <w:tblLayout w:type="fixed"/>
        <w:tblInd w:w="5620" w:type="dxa"/>
        <w:tblCellMar>
          <w:top w:w="0" w:type="dxa"/>
          <w:left w:w="0" w:type="dxa"/>
          <w:bottom w:w="0" w:type="dxa"/>
          <w:right w:w="0" w:type="dxa"/>
        </w:tblCellMar>
      </w:tblPr>
      <w:tr>
        <w:trPr>
          <w:trHeight w:val="161"/>
        </w:trPr>
        <w:tc>
          <w:tcPr>
            <w:tcW w:w="228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90"/>
              </w:rPr>
              <w:t>For the three months ended</w:t>
            </w:r>
          </w:p>
        </w:tc>
        <w:tc>
          <w:tcPr>
            <w:tcW w:w="20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For the six months ended</w:t>
            </w:r>
          </w:p>
        </w:tc>
      </w:tr>
      <w:tr>
        <w:trPr>
          <w:trHeight w:val="162"/>
        </w:trPr>
        <w:tc>
          <w:tcPr>
            <w:tcW w:w="680" w:type="dxa"/>
            <w:vAlign w:val="bottom"/>
          </w:tcPr>
          <w:p>
            <w:pPr>
              <w:spacing w:after="0"/>
              <w:rPr>
                <w:sz w:val="14"/>
                <w:szCs w:val="14"/>
                <w:color w:val="auto"/>
              </w:rPr>
            </w:pPr>
          </w:p>
        </w:tc>
        <w:tc>
          <w:tcPr>
            <w:tcW w:w="1600" w:type="dxa"/>
            <w:vAlign w:val="bottom"/>
            <w:gridSpan w:val="2"/>
          </w:tcPr>
          <w:p>
            <w:pPr>
              <w:jc w:val="center"/>
              <w:ind w:right="920"/>
              <w:spacing w:after="0"/>
              <w:rPr>
                <w:sz w:val="20"/>
                <w:szCs w:val="20"/>
                <w:color w:val="auto"/>
              </w:rPr>
            </w:pPr>
            <w:r>
              <w:rPr>
                <w:rFonts w:ascii="Arial" w:cs="Arial" w:eastAsia="Arial" w:hAnsi="Arial"/>
                <w:sz w:val="14"/>
                <w:szCs w:val="14"/>
                <w:b w:val="1"/>
                <w:bCs w:val="1"/>
                <w:color w:val="auto"/>
                <w:w w:val="92"/>
              </w:rPr>
              <w:t>June 30,</w:t>
            </w:r>
          </w:p>
        </w:tc>
        <w:tc>
          <w:tcPr>
            <w:tcW w:w="680" w:type="dxa"/>
            <w:vAlign w:val="bottom"/>
          </w:tcPr>
          <w:p>
            <w:pPr>
              <w:spacing w:after="0"/>
              <w:rPr>
                <w:sz w:val="14"/>
                <w:szCs w:val="14"/>
                <w:color w:val="auto"/>
              </w:rPr>
            </w:pPr>
          </w:p>
        </w:tc>
        <w:tc>
          <w:tcPr>
            <w:tcW w:w="1380" w:type="dxa"/>
            <w:vAlign w:val="bottom"/>
          </w:tcPr>
          <w:p>
            <w:pPr>
              <w:jc w:val="center"/>
              <w:ind w:right="628"/>
              <w:spacing w:after="0"/>
              <w:rPr>
                <w:sz w:val="20"/>
                <w:szCs w:val="20"/>
                <w:color w:val="auto"/>
              </w:rPr>
            </w:pPr>
            <w:r>
              <w:rPr>
                <w:rFonts w:ascii="Arial" w:cs="Arial" w:eastAsia="Arial" w:hAnsi="Arial"/>
                <w:sz w:val="14"/>
                <w:szCs w:val="14"/>
                <w:b w:val="1"/>
                <w:bCs w:val="1"/>
                <w:color w:val="auto"/>
                <w:w w:val="92"/>
              </w:rPr>
              <w:t>June 30,</w:t>
            </w:r>
          </w:p>
        </w:tc>
      </w:tr>
      <w:tr>
        <w:trPr>
          <w:trHeight w:val="129"/>
        </w:trPr>
        <w:tc>
          <w:tcPr>
            <w:tcW w:w="680" w:type="dxa"/>
            <w:vAlign w:val="bottom"/>
            <w:tcBorders>
              <w:top w:val="single" w:sz="8" w:color="auto"/>
              <w:bottom w:val="single" w:sz="8" w:color="auto"/>
            </w:tcBorders>
          </w:tcPr>
          <w:p>
            <w:pPr>
              <w:jc w:val="right"/>
              <w:ind w:right="8"/>
              <w:spacing w:after="0" w:line="129" w:lineRule="exact"/>
              <w:rPr>
                <w:sz w:val="20"/>
                <w:szCs w:val="20"/>
                <w:color w:val="auto"/>
              </w:rPr>
            </w:pPr>
            <w:r>
              <w:rPr>
                <w:rFonts w:ascii="Arial" w:cs="Arial" w:eastAsia="Arial" w:hAnsi="Arial"/>
                <w:sz w:val="14"/>
                <w:szCs w:val="14"/>
                <w:b w:val="1"/>
                <w:bCs w:val="1"/>
                <w:color w:val="auto"/>
              </w:rPr>
              <w:t>2006</w:t>
            </w:r>
          </w:p>
        </w:tc>
        <w:tc>
          <w:tcPr>
            <w:tcW w:w="1380" w:type="dxa"/>
            <w:vAlign w:val="bottom"/>
            <w:tcBorders>
              <w:top w:val="single" w:sz="8" w:color="auto"/>
              <w:bottom w:val="single" w:sz="8" w:color="auto"/>
            </w:tcBorders>
          </w:tcPr>
          <w:p>
            <w:pPr>
              <w:jc w:val="right"/>
              <w:ind w:right="248"/>
              <w:spacing w:after="0" w:line="129" w:lineRule="exact"/>
              <w:rPr>
                <w:sz w:val="20"/>
                <w:szCs w:val="20"/>
                <w:color w:val="auto"/>
              </w:rPr>
            </w:pPr>
            <w:r>
              <w:rPr>
                <w:rFonts w:ascii="Arial" w:cs="Arial" w:eastAsia="Arial" w:hAnsi="Arial"/>
                <w:sz w:val="14"/>
                <w:szCs w:val="14"/>
                <w:b w:val="1"/>
                <w:bCs w:val="1"/>
                <w:color w:val="auto"/>
              </w:rPr>
              <w:t>2005</w:t>
            </w:r>
          </w:p>
        </w:tc>
        <w:tc>
          <w:tcPr>
            <w:tcW w:w="220" w:type="dxa"/>
            <w:vAlign w:val="bottom"/>
            <w:tcBorders>
              <w:bottom w:val="single" w:sz="8" w:color="auto"/>
            </w:tcBorders>
          </w:tcPr>
          <w:p>
            <w:pPr>
              <w:spacing w:after="0"/>
              <w:rPr>
                <w:sz w:val="11"/>
                <w:szCs w:val="11"/>
                <w:color w:val="auto"/>
              </w:rPr>
            </w:pPr>
          </w:p>
        </w:tc>
        <w:tc>
          <w:tcPr>
            <w:tcW w:w="680" w:type="dxa"/>
            <w:vAlign w:val="bottom"/>
            <w:tcBorders>
              <w:top w:val="single" w:sz="8" w:color="auto"/>
              <w:bottom w:val="single" w:sz="8" w:color="auto"/>
            </w:tcBorders>
          </w:tcPr>
          <w:p>
            <w:pPr>
              <w:jc w:val="right"/>
              <w:ind w:right="28"/>
              <w:spacing w:after="0" w:line="129" w:lineRule="exact"/>
              <w:rPr>
                <w:sz w:val="20"/>
                <w:szCs w:val="20"/>
                <w:color w:val="auto"/>
              </w:rPr>
            </w:pPr>
            <w:r>
              <w:rPr>
                <w:rFonts w:ascii="Arial" w:cs="Arial" w:eastAsia="Arial" w:hAnsi="Arial"/>
                <w:sz w:val="14"/>
                <w:szCs w:val="14"/>
                <w:b w:val="1"/>
                <w:bCs w:val="1"/>
                <w:color w:val="auto"/>
              </w:rPr>
              <w:t>2006</w:t>
            </w:r>
          </w:p>
        </w:tc>
        <w:tc>
          <w:tcPr>
            <w:tcW w:w="1380" w:type="dxa"/>
            <w:vAlign w:val="bottom"/>
            <w:tcBorders>
              <w:top w:val="single" w:sz="8" w:color="auto"/>
              <w:bottom w:val="single" w:sz="8" w:color="auto"/>
            </w:tcBorders>
          </w:tcPr>
          <w:p>
            <w:pPr>
              <w:jc w:val="right"/>
              <w:ind w:right="268"/>
              <w:spacing w:after="0" w:line="129" w:lineRule="exact"/>
              <w:rPr>
                <w:sz w:val="20"/>
                <w:szCs w:val="20"/>
                <w:color w:val="auto"/>
              </w:rPr>
            </w:pPr>
            <w:r>
              <w:rPr>
                <w:rFonts w:ascii="Arial" w:cs="Arial" w:eastAsia="Arial" w:hAnsi="Arial"/>
                <w:sz w:val="14"/>
                <w:szCs w:val="14"/>
                <w:b w:val="1"/>
                <w:bCs w:val="1"/>
                <w:color w:val="auto"/>
              </w:rPr>
              <w:t>2005</w:t>
            </w:r>
          </w:p>
        </w:tc>
      </w:tr>
      <w:tr>
        <w:trPr>
          <w:trHeight w:val="180"/>
        </w:trPr>
        <w:tc>
          <w:tcPr>
            <w:tcW w:w="680" w:type="dxa"/>
            <w:vAlign w:val="bottom"/>
          </w:tcPr>
          <w:p>
            <w:pPr>
              <w:spacing w:after="0"/>
              <w:rPr>
                <w:sz w:val="15"/>
                <w:szCs w:val="15"/>
                <w:color w:val="auto"/>
              </w:rPr>
            </w:pPr>
          </w:p>
        </w:tc>
        <w:tc>
          <w:tcPr>
            <w:tcW w:w="2280" w:type="dxa"/>
            <w:vAlign w:val="bottom"/>
            <w:gridSpan w:val="3"/>
          </w:tcPr>
          <w:p>
            <w:pPr>
              <w:jc w:val="right"/>
              <w:ind w:right="348"/>
              <w:spacing w:after="0"/>
              <w:rPr>
                <w:sz w:val="20"/>
                <w:szCs w:val="20"/>
                <w:color w:val="auto"/>
              </w:rPr>
            </w:pPr>
            <w:r>
              <w:rPr>
                <w:rFonts w:ascii="Arial" w:cs="Arial" w:eastAsia="Arial" w:hAnsi="Arial"/>
                <w:sz w:val="14"/>
                <w:szCs w:val="14"/>
                <w:b w:val="1"/>
                <w:bCs w:val="1"/>
                <w:color w:val="auto"/>
              </w:rPr>
              <w:t>(in millions)</w:t>
            </w:r>
          </w:p>
        </w:tc>
        <w:tc>
          <w:tcPr>
            <w:tcW w:w="1380" w:type="dxa"/>
            <w:vAlign w:val="bottom"/>
          </w:tcPr>
          <w:p>
            <w:pPr>
              <w:spacing w:after="0"/>
              <w:rPr>
                <w:sz w:val="15"/>
                <w:szCs w:val="15"/>
                <w:color w:val="auto"/>
              </w:rPr>
            </w:pPr>
          </w:p>
        </w:tc>
      </w:tr>
    </w:tbl>
    <w:p>
      <w:pPr>
        <w:sectPr>
          <w:pgSz w:w="11900" w:h="16895" w:orient="portrait"/>
          <w:cols w:equalWidth="0" w:num="1">
            <w:col w:w="11420"/>
          </w:cols>
          <w:pgMar w:left="240" w:top="580" w:right="239" w:bottom="0" w:gutter="0" w:footer="0" w:header="0"/>
        </w:sectPr>
      </w:pPr>
    </w:p>
    <w:bookmarkStart w:id="11" w:name="page12"/>
    <w:bookmarkEnd w:id="11"/>
    <w:p>
      <w:pPr>
        <w:spacing w:after="0" w:line="1" w:lineRule="exact"/>
        <w:rPr>
          <w:sz w:val="20"/>
          <w:szCs w:val="20"/>
          <w:color w:val="auto"/>
        </w:rPr>
      </w:pPr>
    </w:p>
    <w:tbl>
      <w:tblPr>
        <w:tblLayout w:type="fixed"/>
        <w:tblInd w:w="1380" w:type="dxa"/>
        <w:tblCellMar>
          <w:top w:w="0" w:type="dxa"/>
          <w:left w:w="0" w:type="dxa"/>
          <w:bottom w:w="0" w:type="dxa"/>
          <w:right w:w="0" w:type="dxa"/>
        </w:tblCellMar>
      </w:tblP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revenues by segment:</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tcPr>
          <w:p>
            <w:pPr>
              <w:spacing w:after="0"/>
              <w:rPr>
                <w:sz w:val="20"/>
                <w:szCs w:val="20"/>
                <w:color w:val="auto"/>
              </w:rPr>
            </w:pPr>
            <w:r>
              <w:rPr>
                <w:rFonts w:ascii="Arial" w:cs="Arial" w:eastAsia="Arial" w:hAnsi="Arial"/>
                <w:sz w:val="18"/>
                <w:szCs w:val="18"/>
                <w:color w:val="auto"/>
              </w:rPr>
              <w:t>U.S. Asset Management and Accumulation</w:t>
            </w:r>
          </w:p>
        </w:tc>
        <w:tc>
          <w:tcPr>
            <w:tcW w:w="3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1,116.2</w:t>
            </w:r>
          </w:p>
        </w:tc>
        <w:tc>
          <w:tcPr>
            <w:tcW w:w="140" w:type="dxa"/>
            <w:vAlign w:val="bottom"/>
          </w:tcPr>
          <w:p>
            <w:pPr>
              <w:spacing w:after="0"/>
              <w:rPr>
                <w:sz w:val="18"/>
                <w:szCs w:val="18"/>
                <w:color w:val="auto"/>
              </w:rPr>
            </w:pPr>
          </w:p>
        </w:tc>
        <w:tc>
          <w:tcPr>
            <w:tcW w:w="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971.1</w:t>
            </w:r>
          </w:p>
        </w:tc>
        <w:tc>
          <w:tcPr>
            <w:tcW w:w="140" w:type="dxa"/>
            <w:vAlign w:val="bottom"/>
          </w:tcPr>
          <w:p>
            <w:pPr>
              <w:spacing w:after="0"/>
              <w:rPr>
                <w:sz w:val="18"/>
                <w:szCs w:val="18"/>
                <w:color w:val="auto"/>
              </w:rPr>
            </w:pPr>
          </w:p>
        </w:tc>
        <w:tc>
          <w:tcPr>
            <w:tcW w:w="3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2,166.0</w:t>
            </w:r>
          </w:p>
        </w:tc>
        <w:tc>
          <w:tcPr>
            <w:tcW w:w="20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1,928.4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International Asset Management and Accumulation</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164.2</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158.2</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307.6</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291.0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tcPr>
          <w:p>
            <w:pPr>
              <w:spacing w:after="0"/>
              <w:rPr>
                <w:sz w:val="20"/>
                <w:szCs w:val="20"/>
                <w:color w:val="auto"/>
              </w:rPr>
            </w:pPr>
            <w:r>
              <w:rPr>
                <w:rFonts w:ascii="Arial" w:cs="Arial" w:eastAsia="Arial" w:hAnsi="Arial"/>
                <w:sz w:val="18"/>
                <w:szCs w:val="18"/>
                <w:color w:val="auto"/>
              </w:rPr>
              <w:t>Life and Health Insurance</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1,183.1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1,089.5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2,342.7</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2,158.1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Corporate and Other</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(28.0)</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(5.9)</w:t>
            </w:r>
          </w:p>
        </w:tc>
        <w:tc>
          <w:tcPr>
            <w:tcW w:w="2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(38.1)</w:t>
            </w:r>
          </w:p>
        </w:tc>
        <w:tc>
          <w:tcPr>
            <w:tcW w:w="0" w:type="dxa"/>
            <w:vAlign w:val="bottom"/>
          </w:tcPr>
          <w:p>
            <w:pPr>
              <w:spacing w:after="0"/>
              <w:rPr>
                <w:sz w:val="1"/>
                <w:szCs w:val="1"/>
                <w:color w:val="auto"/>
              </w:rPr>
            </w:pPr>
          </w:p>
        </w:tc>
      </w:tr>
      <w:tr>
        <w:trPr>
          <w:trHeight w:val="210"/>
        </w:trPr>
        <w:tc>
          <w:tcPr>
            <w:tcW w:w="4100" w:type="dxa"/>
            <w:vAlign w:val="bottom"/>
          </w:tcPr>
          <w:p>
            <w:pPr>
              <w:ind w:left="180"/>
              <w:spacing w:after="0"/>
              <w:rPr>
                <w:sz w:val="20"/>
                <w:szCs w:val="20"/>
                <w:color w:val="auto"/>
              </w:rPr>
            </w:pPr>
            <w:r>
              <w:rPr>
                <w:rFonts w:ascii="Arial" w:cs="Arial" w:eastAsia="Arial" w:hAnsi="Arial"/>
                <w:sz w:val="18"/>
                <w:szCs w:val="18"/>
                <w:color w:val="auto"/>
              </w:rPr>
              <w:t>Total segment operating revenues</w:t>
            </w:r>
          </w:p>
        </w:tc>
        <w:tc>
          <w:tcPr>
            <w:tcW w:w="1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2,467.3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2,190.8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4,810.4</w:t>
            </w:r>
          </w:p>
        </w:tc>
        <w:tc>
          <w:tcPr>
            <w:tcW w:w="2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4,339.4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Add:</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100" w:type="dxa"/>
            <w:vAlign w:val="bottom"/>
          </w:tcPr>
          <w:p>
            <w:pPr>
              <w:ind w:left="180"/>
              <w:spacing w:after="0" w:line="201" w:lineRule="exact"/>
              <w:rPr>
                <w:sz w:val="20"/>
                <w:szCs w:val="20"/>
                <w:color w:val="auto"/>
              </w:rPr>
            </w:pPr>
            <w:r>
              <w:rPr>
                <w:rFonts w:ascii="Arial" w:cs="Arial" w:eastAsia="Arial" w:hAnsi="Arial"/>
                <w:sz w:val="18"/>
                <w:szCs w:val="18"/>
                <w:color w:val="auto"/>
              </w:rPr>
              <w:t>Net realized/unrealized capital gains (losses),</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100" w:type="dxa"/>
            <w:vAlign w:val="bottom"/>
          </w:tcPr>
          <w:p>
            <w:pPr>
              <w:ind w:left="360"/>
              <w:spacing w:after="0"/>
              <w:rPr>
                <w:sz w:val="20"/>
                <w:szCs w:val="20"/>
                <w:color w:val="auto"/>
              </w:rPr>
            </w:pPr>
            <w:r>
              <w:rPr>
                <w:rFonts w:ascii="Arial" w:cs="Arial" w:eastAsia="Arial" w:hAnsi="Arial"/>
                <w:sz w:val="18"/>
                <w:szCs w:val="18"/>
                <w:color w:val="auto"/>
              </w:rPr>
              <w:t>including recognition of front-end fee revenues</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tcPr>
          <w:p>
            <w:pPr>
              <w:ind w:left="360"/>
              <w:spacing w:after="0"/>
              <w:rPr>
                <w:sz w:val="20"/>
                <w:szCs w:val="20"/>
                <w:color w:val="auto"/>
              </w:rPr>
            </w:pPr>
            <w:r>
              <w:rPr>
                <w:rFonts w:ascii="Arial" w:cs="Arial" w:eastAsia="Arial" w:hAnsi="Arial"/>
                <w:sz w:val="18"/>
                <w:szCs w:val="18"/>
                <w:color w:val="auto"/>
              </w:rPr>
              <w:t>and certain market value adjustments to fee</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vMerge w:val="restart"/>
          </w:tcPr>
          <w:p>
            <w:pPr>
              <w:jc w:val="right"/>
              <w:ind w:right="80"/>
              <w:spacing w:after="0"/>
              <w:rPr>
                <w:sz w:val="20"/>
                <w:szCs w:val="20"/>
                <w:color w:val="auto"/>
              </w:rPr>
            </w:pPr>
            <w:r>
              <w:rPr>
                <w:rFonts w:ascii="Arial" w:cs="Arial" w:eastAsia="Arial" w:hAnsi="Arial"/>
                <w:sz w:val="18"/>
                <w:szCs w:val="18"/>
                <w:b w:val="1"/>
                <w:bCs w:val="1"/>
                <w:color w:val="auto"/>
              </w:rPr>
              <w:t>(18.9)</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29.7</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100" w:type="dxa"/>
            <w:vAlign w:val="bottom"/>
          </w:tcPr>
          <w:p>
            <w:pPr>
              <w:ind w:left="360"/>
              <w:spacing w:after="0"/>
              <w:rPr>
                <w:sz w:val="20"/>
                <w:szCs w:val="20"/>
                <w:color w:val="auto"/>
              </w:rPr>
            </w:pPr>
            <w:r>
              <w:rPr>
                <w:rFonts w:ascii="Arial" w:cs="Arial" w:eastAsia="Arial" w:hAnsi="Arial"/>
                <w:sz w:val="18"/>
                <w:szCs w:val="18"/>
                <w:color w:val="auto"/>
              </w:rPr>
              <w:t>revenues</w:t>
            </w:r>
          </w:p>
        </w:tc>
        <w:tc>
          <w:tcPr>
            <w:tcW w:w="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10.6</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00" w:type="dxa"/>
            <w:vAlign w:val="bottom"/>
            <w:vMerge w:val="continue"/>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Subtract:</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100" w:type="dxa"/>
            <w:vAlign w:val="bottom"/>
          </w:tcPr>
          <w:p>
            <w:pPr>
              <w:ind w:left="180"/>
              <w:spacing w:after="0" w:line="201" w:lineRule="exact"/>
              <w:rPr>
                <w:sz w:val="20"/>
                <w:szCs w:val="20"/>
                <w:color w:val="auto"/>
              </w:rPr>
            </w:pPr>
            <w:r>
              <w:rPr>
                <w:rFonts w:ascii="Arial" w:cs="Arial" w:eastAsia="Arial" w:hAnsi="Arial"/>
                <w:sz w:val="18"/>
                <w:szCs w:val="18"/>
                <w:color w:val="auto"/>
                <w:w w:val="95"/>
              </w:rPr>
              <w:t>Operating revenues from a discontinued real estate</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140" w:type="dxa"/>
            <w:vAlign w:val="bottom"/>
            <w:vMerge w:val="restart"/>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vMerge w:val="restart"/>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100" w:type="dxa"/>
            <w:vAlign w:val="bottom"/>
            <w:tcBorders>
              <w:bottom w:val="single" w:sz="8" w:color="CCEEFF"/>
            </w:tcBorders>
          </w:tcPr>
          <w:p>
            <w:pPr>
              <w:ind w:left="360"/>
              <w:spacing w:after="0"/>
              <w:rPr>
                <w:sz w:val="20"/>
                <w:szCs w:val="20"/>
                <w:color w:val="auto"/>
              </w:rPr>
            </w:pPr>
            <w:r>
              <w:rPr>
                <w:rFonts w:ascii="Arial" w:cs="Arial" w:eastAsia="Arial" w:hAnsi="Arial"/>
                <w:sz w:val="18"/>
                <w:szCs w:val="18"/>
                <w:color w:val="auto"/>
              </w:rPr>
              <w:t>investment</w:t>
            </w:r>
          </w:p>
        </w:tc>
        <w:tc>
          <w:tcPr>
            <w:tcW w:w="140" w:type="dxa"/>
            <w:vAlign w:val="bottom"/>
            <w:tcBorders>
              <w:bottom w:val="single" w:sz="8" w:color="CCEEFF"/>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vMerge w:val="continue"/>
          </w:tcPr>
          <w:p>
            <w:pPr>
              <w:spacing w:after="0"/>
              <w:rPr>
                <w:sz w:val="20"/>
                <w:szCs w:val="20"/>
                <w:color w:val="auto"/>
              </w:rPr>
            </w:pPr>
          </w:p>
        </w:tc>
        <w:tc>
          <w:tcPr>
            <w:tcW w:w="140" w:type="dxa"/>
            <w:vAlign w:val="bottom"/>
            <w:tcBorders>
              <w:bottom w:val="single" w:sz="8" w:color="CCEEFF"/>
            </w:tcBorders>
            <w:vMerge w:val="continue"/>
          </w:tcPr>
          <w:p>
            <w:pPr>
              <w:spacing w:after="0"/>
              <w:rPr>
                <w:sz w:val="20"/>
                <w:szCs w:val="20"/>
                <w:color w:val="auto"/>
              </w:rPr>
            </w:pPr>
          </w:p>
        </w:tc>
        <w:tc>
          <w:tcPr>
            <w:tcW w:w="80" w:type="dxa"/>
            <w:vAlign w:val="bottom"/>
            <w:tcBorders>
              <w:bottom w:val="single" w:sz="8" w:color="CCEEFF"/>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140" w:type="dxa"/>
            <w:vAlign w:val="bottom"/>
            <w:tcBorders>
              <w:bottom w:val="single" w:sz="8" w:color="CCEEFF"/>
            </w:tcBorders>
          </w:tcPr>
          <w:p>
            <w:pPr>
              <w:spacing w:after="0"/>
              <w:rPr>
                <w:sz w:val="20"/>
                <w:szCs w:val="20"/>
                <w:color w:val="auto"/>
              </w:rPr>
            </w:pPr>
          </w:p>
        </w:tc>
        <w:tc>
          <w:tcPr>
            <w:tcW w:w="80" w:type="dxa"/>
            <w:vAlign w:val="bottom"/>
            <w:tcBorders>
              <w:bottom w:val="single" w:sz="8" w:color="CCEEFF"/>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vMerge w:val="continue"/>
          </w:tcPr>
          <w:p>
            <w:pPr>
              <w:spacing w:after="0"/>
              <w:rPr>
                <w:sz w:val="20"/>
                <w:szCs w:val="20"/>
                <w:color w:val="auto"/>
              </w:rPr>
            </w:pPr>
          </w:p>
        </w:tc>
        <w:tc>
          <w:tcPr>
            <w:tcW w:w="200" w:type="dxa"/>
            <w:vAlign w:val="bottom"/>
            <w:tcBorders>
              <w:bottom w:val="single" w:sz="8" w:color="CCEEFF"/>
            </w:tcBorders>
            <w:vMerge w:val="continue"/>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w:t>
            </w:r>
          </w:p>
        </w:tc>
        <w:tc>
          <w:tcPr>
            <w:tcW w:w="10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4100" w:type="dxa"/>
            <w:vAlign w:val="bottom"/>
            <w:shd w:val="clear" w:color="auto" w:fill="CCEEFF"/>
          </w:tcPr>
          <w:p>
            <w:pPr>
              <w:ind w:left="180"/>
              <w:spacing w:after="0" w:line="182" w:lineRule="exact"/>
              <w:rPr>
                <w:sz w:val="20"/>
                <w:szCs w:val="20"/>
                <w:color w:val="auto"/>
              </w:rPr>
            </w:pPr>
            <w:r>
              <w:rPr>
                <w:rFonts w:ascii="Arial" w:cs="Arial" w:eastAsia="Arial" w:hAnsi="Arial"/>
                <w:sz w:val="18"/>
                <w:szCs w:val="18"/>
                <w:color w:val="auto"/>
              </w:rPr>
              <w:t>Total revenues per consolidated statements of</w:t>
            </w:r>
          </w:p>
        </w:tc>
        <w:tc>
          <w:tcPr>
            <w:tcW w:w="36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2,448.4</w:t>
            </w:r>
          </w:p>
        </w:tc>
        <w:tc>
          <w:tcPr>
            <w:tcW w:w="140" w:type="dxa"/>
            <w:vAlign w:val="bottom"/>
            <w:shd w:val="clear" w:color="auto" w:fill="CCEEFF"/>
          </w:tcPr>
          <w:p>
            <w:pPr>
              <w:spacing w:after="0"/>
              <w:rPr>
                <w:sz w:val="15"/>
                <w:szCs w:val="15"/>
                <w:color w:val="auto"/>
              </w:rPr>
            </w:pPr>
          </w:p>
        </w:tc>
        <w:tc>
          <w:tcPr>
            <w:tcW w:w="30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2,200.</w:t>
            </w:r>
            <w:r>
              <w:rPr>
                <w:rFonts w:ascii="Arial" w:cs="Arial" w:eastAsia="Arial" w:hAnsi="Arial"/>
                <w:sz w:val="18"/>
                <w:szCs w:val="18"/>
                <w:u w:val="single" w:color="auto"/>
                <w:color w:val="auto"/>
              </w:rPr>
              <w:t>4</w:t>
            </w:r>
          </w:p>
        </w:tc>
        <w:tc>
          <w:tcPr>
            <w:tcW w:w="140" w:type="dxa"/>
            <w:vAlign w:val="bottom"/>
            <w:shd w:val="clear" w:color="auto" w:fill="CCEEFF"/>
          </w:tcPr>
          <w:p>
            <w:pPr>
              <w:spacing w:after="0"/>
              <w:rPr>
                <w:sz w:val="15"/>
                <w:szCs w:val="15"/>
                <w:color w:val="auto"/>
              </w:rPr>
            </w:pPr>
          </w:p>
        </w:tc>
        <w:tc>
          <w:tcPr>
            <w:tcW w:w="30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4,840.1</w:t>
            </w:r>
          </w:p>
        </w:tc>
        <w:tc>
          <w:tcPr>
            <w:tcW w:w="200" w:type="dxa"/>
            <w:vAlign w:val="bottom"/>
            <w:shd w:val="clear" w:color="auto" w:fill="CCEEFF"/>
          </w:tcPr>
          <w:p>
            <w:pPr>
              <w:spacing w:after="0"/>
              <w:rPr>
                <w:sz w:val="15"/>
                <w:szCs w:val="15"/>
                <w:color w:val="auto"/>
              </w:rPr>
            </w:pPr>
          </w:p>
        </w:tc>
        <w:tc>
          <w:tcPr>
            <w:tcW w:w="240" w:type="dxa"/>
            <w:vAlign w:val="bottom"/>
            <w:vMerge w:val="restart"/>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4,344.</w:t>
            </w:r>
            <w:r>
              <w:rPr>
                <w:rFonts w:ascii="Arial" w:cs="Arial" w:eastAsia="Arial" w:hAnsi="Arial"/>
                <w:sz w:val="18"/>
                <w:szCs w:val="18"/>
                <w:u w:val="single" w:color="auto"/>
                <w:color w:val="auto"/>
              </w:rPr>
              <w:t>1</w:t>
            </w:r>
          </w:p>
        </w:tc>
        <w:tc>
          <w:tcPr>
            <w:tcW w:w="1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7"/>
        </w:trPr>
        <w:tc>
          <w:tcPr>
            <w:tcW w:w="41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operations</w:t>
            </w:r>
          </w:p>
        </w:tc>
        <w:tc>
          <w:tcPr>
            <w:tcW w:w="360" w:type="dxa"/>
            <w:vAlign w:val="bottom"/>
            <w:gridSpan w:val="2"/>
            <w:vMerge w:val="continue"/>
            <w:shd w:val="clear" w:color="auto" w:fill="CCEEFF"/>
          </w:tcPr>
          <w:p>
            <w:pPr>
              <w:spacing w:after="0"/>
              <w:rPr>
                <w:sz w:val="18"/>
                <w:szCs w:val="18"/>
                <w:color w:val="auto"/>
              </w:rPr>
            </w:pPr>
          </w:p>
        </w:tc>
        <w:tc>
          <w:tcPr>
            <w:tcW w:w="70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gridSpan w:val="2"/>
            <w:vMerge w:val="continue"/>
            <w:shd w:val="clear" w:color="auto" w:fill="CCEEFF"/>
          </w:tcPr>
          <w:p>
            <w:pPr>
              <w:spacing w:after="0"/>
              <w:rPr>
                <w:sz w:val="18"/>
                <w:szCs w:val="18"/>
                <w:color w:val="auto"/>
              </w:rPr>
            </w:pPr>
          </w:p>
        </w:tc>
        <w:tc>
          <w:tcPr>
            <w:tcW w:w="70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gridSpan w:val="2"/>
            <w:vMerge w:val="continue"/>
            <w:shd w:val="clear" w:color="auto" w:fill="CCEEFF"/>
          </w:tcPr>
          <w:p>
            <w:pPr>
              <w:spacing w:after="0"/>
              <w:rPr>
                <w:sz w:val="18"/>
                <w:szCs w:val="18"/>
                <w:color w:val="auto"/>
              </w:rPr>
            </w:pPr>
          </w:p>
        </w:tc>
        <w:tc>
          <w:tcPr>
            <w:tcW w:w="700" w:type="dxa"/>
            <w:vAlign w:val="bottom"/>
            <w:vMerge w:val="continue"/>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vMerge w:val="continue"/>
            <w:shd w:val="clear" w:color="auto" w:fill="CCEEFF"/>
          </w:tcPr>
          <w:p>
            <w:pPr>
              <w:spacing w:after="0"/>
              <w:rPr>
                <w:sz w:val="18"/>
                <w:szCs w:val="18"/>
                <w:color w:val="auto"/>
              </w:rPr>
            </w:pPr>
          </w:p>
        </w:tc>
        <w:tc>
          <w:tcPr>
            <w:tcW w:w="70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100" w:type="dxa"/>
            <w:vAlign w:val="bottom"/>
            <w:tcBorders>
              <w:top w:val="single" w:sz="8" w:color="CCEEFF"/>
              <w:bottom w:val="single" w:sz="8" w:color="CCEEFF"/>
            </w:tcBorders>
            <w:vMerge w:val="restart"/>
          </w:tcPr>
          <w:p>
            <w:pPr>
              <w:spacing w:after="0" w:line="191" w:lineRule="exact"/>
              <w:rPr>
                <w:sz w:val="20"/>
                <w:szCs w:val="20"/>
                <w:color w:val="auto"/>
              </w:rPr>
            </w:pPr>
            <w:r>
              <w:rPr>
                <w:rFonts w:ascii="Arial" w:cs="Arial" w:eastAsia="Arial" w:hAnsi="Arial"/>
                <w:sz w:val="18"/>
                <w:szCs w:val="18"/>
                <w:b w:val="1"/>
                <w:bCs w:val="1"/>
                <w:color w:val="auto"/>
                <w:w w:val="91"/>
              </w:rPr>
              <w:t>Operating earnings (loss) by segment, net of related</w:t>
            </w:r>
          </w:p>
        </w:tc>
        <w:tc>
          <w:tcPr>
            <w:tcW w:w="1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4100" w:type="dxa"/>
            <w:vAlign w:val="bottom"/>
            <w:vMerge w:val="continue"/>
          </w:tcPr>
          <w:p>
            <w:pPr>
              <w:spacing w:after="0"/>
              <w:rPr>
                <w:sz w:val="13"/>
                <w:szCs w:val="13"/>
                <w:color w:val="auto"/>
              </w:rPr>
            </w:pPr>
          </w:p>
        </w:tc>
        <w:tc>
          <w:tcPr>
            <w:tcW w:w="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4"/>
        </w:trPr>
        <w:tc>
          <w:tcPr>
            <w:tcW w:w="4100" w:type="dxa"/>
            <w:vAlign w:val="bottom"/>
          </w:tcPr>
          <w:p>
            <w:pPr>
              <w:ind w:left="180"/>
              <w:spacing w:after="0"/>
              <w:rPr>
                <w:sz w:val="20"/>
                <w:szCs w:val="20"/>
                <w:color w:val="auto"/>
              </w:rPr>
            </w:pPr>
            <w:r>
              <w:rPr>
                <w:rFonts w:ascii="Arial" w:cs="Arial" w:eastAsia="Arial" w:hAnsi="Arial"/>
                <w:sz w:val="18"/>
                <w:szCs w:val="18"/>
                <w:b w:val="1"/>
                <w:bCs w:val="1"/>
                <w:color w:val="auto"/>
              </w:rPr>
              <w:t>income taxes:</w:t>
            </w:r>
          </w:p>
        </w:tc>
        <w:tc>
          <w:tcPr>
            <w:tcW w:w="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U.S. Asset Management and Accumulation</w:t>
            </w: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151.2</w:t>
            </w:r>
          </w:p>
        </w:tc>
        <w:tc>
          <w:tcPr>
            <w:tcW w:w="14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130.5</w:t>
            </w:r>
          </w:p>
        </w:tc>
        <w:tc>
          <w:tcPr>
            <w:tcW w:w="14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309.0</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269.1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tcPr>
          <w:p>
            <w:pPr>
              <w:spacing w:after="0"/>
              <w:rPr>
                <w:sz w:val="20"/>
                <w:szCs w:val="20"/>
                <w:color w:val="auto"/>
              </w:rPr>
            </w:pPr>
            <w:r>
              <w:rPr>
                <w:rFonts w:ascii="Arial" w:cs="Arial" w:eastAsia="Arial" w:hAnsi="Arial"/>
                <w:sz w:val="18"/>
                <w:szCs w:val="18"/>
                <w:color w:val="auto"/>
              </w:rPr>
              <w:t>International Asset Management and Accumulation</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16.1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19.1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33.7</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28.6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Life and Health Insurance</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65.2</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76.3</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135.6</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tcPr>
          <w:p>
            <w:pPr>
              <w:spacing w:after="0"/>
              <w:rPr>
                <w:sz w:val="20"/>
                <w:szCs w:val="20"/>
                <w:color w:val="auto"/>
              </w:rPr>
            </w:pPr>
            <w:r>
              <w:rPr>
                <w:rFonts w:ascii="Arial" w:cs="Arial" w:eastAsia="Arial" w:hAnsi="Arial"/>
                <w:sz w:val="18"/>
                <w:szCs w:val="18"/>
                <w:color w:val="auto"/>
              </w:rPr>
              <w:t>Corporate and Other</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(7.3)</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80"/>
              <w:spacing w:after="0"/>
              <w:rPr>
                <w:sz w:val="20"/>
                <w:szCs w:val="20"/>
                <w:color w:val="auto"/>
              </w:rPr>
            </w:pPr>
            <w:r>
              <w:rPr>
                <w:rFonts w:ascii="Arial" w:cs="Arial" w:eastAsia="Arial" w:hAnsi="Arial"/>
                <w:sz w:val="18"/>
                <w:szCs w:val="18"/>
                <w:color w:val="auto"/>
              </w:rPr>
              <w:t>(4.9)</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(12.9)</w:t>
            </w:r>
          </w:p>
        </w:tc>
        <w:tc>
          <w:tcPr>
            <w:tcW w:w="24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(13.3)</w:t>
            </w:r>
          </w:p>
        </w:tc>
        <w:tc>
          <w:tcPr>
            <w:tcW w:w="0" w:type="dxa"/>
            <w:vAlign w:val="bottom"/>
          </w:tcPr>
          <w:p>
            <w:pPr>
              <w:spacing w:after="0"/>
              <w:rPr>
                <w:sz w:val="1"/>
                <w:szCs w:val="1"/>
                <w:color w:val="auto"/>
              </w:rPr>
            </w:pPr>
          </w:p>
        </w:tc>
      </w:tr>
      <w:tr>
        <w:trPr>
          <w:trHeight w:val="182"/>
        </w:trPr>
        <w:tc>
          <w:tcPr>
            <w:tcW w:w="4100" w:type="dxa"/>
            <w:vAlign w:val="bottom"/>
            <w:tcBorders>
              <w:top w:val="single" w:sz="8" w:color="CCEEFF"/>
            </w:tcBorders>
            <w:shd w:val="clear" w:color="auto" w:fill="CCEEFF"/>
          </w:tcPr>
          <w:p>
            <w:pPr>
              <w:ind w:left="180"/>
              <w:spacing w:after="0" w:line="182" w:lineRule="exact"/>
              <w:rPr>
                <w:sz w:val="20"/>
                <w:szCs w:val="20"/>
                <w:color w:val="auto"/>
              </w:rPr>
            </w:pPr>
            <w:r>
              <w:rPr>
                <w:rFonts w:ascii="Arial" w:cs="Arial" w:eastAsia="Arial" w:hAnsi="Arial"/>
                <w:sz w:val="18"/>
                <w:szCs w:val="18"/>
                <w:color w:val="auto"/>
              </w:rPr>
              <w:t>Total segment operating earnings, net of related</w:t>
            </w:r>
          </w:p>
        </w:tc>
        <w:tc>
          <w:tcPr>
            <w:tcW w:w="14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225.2</w:t>
            </w:r>
          </w:p>
        </w:tc>
        <w:tc>
          <w:tcPr>
            <w:tcW w:w="14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14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465.4</w:t>
            </w:r>
          </w:p>
        </w:tc>
        <w:tc>
          <w:tcPr>
            <w:tcW w:w="20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41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income taxes</w:t>
            </w:r>
          </w:p>
        </w:tc>
        <w:tc>
          <w:tcPr>
            <w:tcW w:w="1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00" w:type="dxa"/>
            <w:vAlign w:val="bottom"/>
            <w:vMerge w:val="continue"/>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221.0</w:t>
            </w:r>
          </w:p>
        </w:tc>
        <w:tc>
          <w:tcPr>
            <w:tcW w:w="1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00" w:type="dxa"/>
            <w:vAlign w:val="bottom"/>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430.2</w:t>
            </w: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4100" w:type="dxa"/>
            <w:vAlign w:val="bottom"/>
          </w:tcPr>
          <w:p>
            <w:pPr>
              <w:ind w:left="180"/>
              <w:spacing w:after="0" w:line="201" w:lineRule="exact"/>
              <w:rPr>
                <w:sz w:val="20"/>
                <w:szCs w:val="20"/>
                <w:color w:val="auto"/>
              </w:rPr>
            </w:pPr>
            <w:r>
              <w:rPr>
                <w:rFonts w:ascii="Arial" w:cs="Arial" w:eastAsia="Arial" w:hAnsi="Arial"/>
                <w:sz w:val="18"/>
                <w:szCs w:val="18"/>
                <w:color w:val="auto"/>
              </w:rPr>
              <w:t>Net realized/unrealized capital gains (losses), as</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gridSpan w:val="2"/>
            <w:vMerge w:val="restart"/>
          </w:tcPr>
          <w:p>
            <w:pPr>
              <w:jc w:val="right"/>
              <w:ind w:right="80"/>
              <w:spacing w:after="0"/>
              <w:rPr>
                <w:sz w:val="20"/>
                <w:szCs w:val="20"/>
                <w:color w:val="auto"/>
              </w:rPr>
            </w:pPr>
            <w:r>
              <w:rPr>
                <w:rFonts w:ascii="Arial" w:cs="Arial" w:eastAsia="Arial" w:hAnsi="Arial"/>
                <w:sz w:val="18"/>
                <w:szCs w:val="18"/>
                <w:b w:val="1"/>
                <w:bCs w:val="1"/>
                <w:color w:val="auto"/>
              </w:rPr>
              <w:t>(12.9)</w:t>
            </w: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12.0</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100" w:type="dxa"/>
            <w:vAlign w:val="bottom"/>
          </w:tcPr>
          <w:p>
            <w:pPr>
              <w:ind w:left="360"/>
              <w:spacing w:after="0"/>
              <w:rPr>
                <w:sz w:val="20"/>
                <w:szCs w:val="20"/>
                <w:color w:val="auto"/>
              </w:rPr>
            </w:pPr>
            <w:r>
              <w:rPr>
                <w:rFonts w:ascii="Arial" w:cs="Arial" w:eastAsia="Arial" w:hAnsi="Arial"/>
                <w:sz w:val="18"/>
                <w:szCs w:val="18"/>
                <w:color w:val="auto"/>
              </w:rPr>
              <w:t>adjusted</w:t>
            </w:r>
          </w:p>
        </w:tc>
        <w:tc>
          <w:tcPr>
            <w:tcW w:w="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3.2</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00" w:type="dxa"/>
            <w:vAlign w:val="bottom"/>
            <w:vMerge w:val="continue"/>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Other after-tax adjustments (1)</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(1.8)</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18.8</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100" w:type="dxa"/>
            <w:vAlign w:val="bottom"/>
            <w:vMerge w:val="restart"/>
          </w:tcPr>
          <w:p>
            <w:pPr>
              <w:ind w:left="180"/>
              <w:spacing w:after="0" w:line="201" w:lineRule="exact"/>
              <w:rPr>
                <w:sz w:val="20"/>
                <w:szCs w:val="20"/>
                <w:color w:val="auto"/>
              </w:rPr>
            </w:pPr>
            <w:r>
              <w:rPr>
                <w:rFonts w:ascii="Arial" w:cs="Arial" w:eastAsia="Arial" w:hAnsi="Arial"/>
                <w:sz w:val="18"/>
                <w:szCs w:val="18"/>
                <w:color w:val="auto"/>
                <w:w w:val="97"/>
              </w:rPr>
              <w:t>Net income available to common stockholders per</w:t>
            </w:r>
          </w:p>
        </w:tc>
        <w:tc>
          <w:tcPr>
            <w:tcW w:w="1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4100" w:type="dxa"/>
            <w:vAlign w:val="bottom"/>
            <w:vMerge w:val="continue"/>
          </w:tcPr>
          <w:p>
            <w:pPr>
              <w:spacing w:after="0"/>
              <w:rPr>
                <w:sz w:val="15"/>
                <w:szCs w:val="15"/>
                <w:color w:val="auto"/>
              </w:rPr>
            </w:pPr>
          </w:p>
        </w:tc>
        <w:tc>
          <w:tcPr>
            <w:tcW w:w="36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w:t>
            </w:r>
          </w:p>
        </w:tc>
        <w:tc>
          <w:tcPr>
            <w:tcW w:w="7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210.5</w:t>
            </w:r>
          </w:p>
        </w:tc>
        <w:tc>
          <w:tcPr>
            <w:tcW w:w="140" w:type="dxa"/>
            <w:vAlign w:val="bottom"/>
          </w:tcPr>
          <w:p>
            <w:pPr>
              <w:spacing w:after="0"/>
              <w:rPr>
                <w:sz w:val="15"/>
                <w:szCs w:val="15"/>
                <w:color w:val="auto"/>
              </w:rPr>
            </w:pPr>
          </w:p>
        </w:tc>
        <w:tc>
          <w:tcPr>
            <w:tcW w:w="300" w:type="dxa"/>
            <w:vAlign w:val="bottom"/>
            <w:gridSpan w:val="2"/>
            <w:vMerge w:val="restart"/>
          </w:tcPr>
          <w:p>
            <w:pPr>
              <w:jc w:val="right"/>
              <w:ind w:right="140"/>
              <w:spacing w:after="0"/>
              <w:rPr>
                <w:sz w:val="20"/>
                <w:szCs w:val="20"/>
                <w:color w:val="auto"/>
              </w:rPr>
            </w:pPr>
            <w:r>
              <w:rPr>
                <w:rFonts w:ascii="Arial" w:cs="Arial" w:eastAsia="Arial" w:hAnsi="Arial"/>
                <w:sz w:val="18"/>
                <w:szCs w:val="18"/>
                <w:color w:val="auto"/>
              </w:rPr>
              <w:t>$</w:t>
            </w:r>
          </w:p>
        </w:tc>
        <w:tc>
          <w:tcPr>
            <w:tcW w:w="700" w:type="dxa"/>
            <w:vAlign w:val="bottom"/>
            <w:vMerge w:val="restart"/>
          </w:tcPr>
          <w:p>
            <w:pPr>
              <w:jc w:val="right"/>
              <w:spacing w:after="0"/>
              <w:rPr>
                <w:sz w:val="20"/>
                <w:szCs w:val="20"/>
                <w:color w:val="auto"/>
              </w:rPr>
            </w:pPr>
            <w:r>
              <w:rPr>
                <w:rFonts w:ascii="Arial" w:cs="Arial" w:eastAsia="Arial" w:hAnsi="Arial"/>
                <w:sz w:val="18"/>
                <w:szCs w:val="18"/>
                <w:color w:val="auto"/>
              </w:rPr>
              <w:t>238.9</w:t>
            </w:r>
          </w:p>
        </w:tc>
        <w:tc>
          <w:tcPr>
            <w:tcW w:w="140" w:type="dxa"/>
            <w:vAlign w:val="bottom"/>
          </w:tcPr>
          <w:p>
            <w:pPr>
              <w:spacing w:after="0"/>
              <w:rPr>
                <w:sz w:val="15"/>
                <w:szCs w:val="15"/>
                <w:color w:val="auto"/>
              </w:rPr>
            </w:pPr>
          </w:p>
        </w:tc>
        <w:tc>
          <w:tcPr>
            <w:tcW w:w="30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w:t>
            </w:r>
          </w:p>
        </w:tc>
        <w:tc>
          <w:tcPr>
            <w:tcW w:w="7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496.2</w:t>
            </w:r>
          </w:p>
        </w:tc>
        <w:tc>
          <w:tcPr>
            <w:tcW w:w="200" w:type="dxa"/>
            <w:vAlign w:val="bottom"/>
          </w:tcPr>
          <w:p>
            <w:pPr>
              <w:spacing w:after="0"/>
              <w:rPr>
                <w:sz w:val="15"/>
                <w:szCs w:val="15"/>
                <w:color w:val="auto"/>
              </w:rPr>
            </w:pPr>
          </w:p>
        </w:tc>
        <w:tc>
          <w:tcPr>
            <w:tcW w:w="240" w:type="dxa"/>
            <w:vAlign w:val="bottom"/>
            <w:vMerge w:val="restart"/>
          </w:tcPr>
          <w:p>
            <w:pPr>
              <w:jc w:val="right"/>
              <w:ind w:right="50"/>
              <w:spacing w:after="0"/>
              <w:rPr>
                <w:sz w:val="20"/>
                <w:szCs w:val="20"/>
                <w:color w:val="auto"/>
              </w:rPr>
            </w:pPr>
            <w:r>
              <w:rPr>
                <w:rFonts w:ascii="Arial" w:cs="Arial" w:eastAsia="Arial" w:hAnsi="Arial"/>
                <w:sz w:val="18"/>
                <w:szCs w:val="18"/>
                <w:color w:val="auto"/>
                <w:w w:val="79"/>
              </w:rPr>
              <w:t>$</w:t>
            </w:r>
          </w:p>
        </w:tc>
        <w:tc>
          <w:tcPr>
            <w:tcW w:w="700" w:type="dxa"/>
            <w:vAlign w:val="bottom"/>
            <w:vMerge w:val="restart"/>
          </w:tcPr>
          <w:p>
            <w:pPr>
              <w:jc w:val="right"/>
              <w:spacing w:after="0"/>
              <w:rPr>
                <w:sz w:val="20"/>
                <w:szCs w:val="20"/>
                <w:color w:val="auto"/>
              </w:rPr>
            </w:pPr>
            <w:r>
              <w:rPr>
                <w:rFonts w:ascii="Arial" w:cs="Arial" w:eastAsia="Arial" w:hAnsi="Arial"/>
                <w:sz w:val="18"/>
                <w:szCs w:val="18"/>
                <w:color w:val="auto"/>
              </w:rPr>
              <w:t>444.4</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7"/>
        </w:trPr>
        <w:tc>
          <w:tcPr>
            <w:tcW w:w="4100" w:type="dxa"/>
            <w:vAlign w:val="bottom"/>
          </w:tcPr>
          <w:p>
            <w:pPr>
              <w:ind w:left="360"/>
              <w:spacing w:after="0"/>
              <w:rPr>
                <w:sz w:val="20"/>
                <w:szCs w:val="20"/>
                <w:color w:val="auto"/>
              </w:rPr>
            </w:pPr>
            <w:r>
              <w:rPr>
                <w:rFonts w:ascii="Arial" w:cs="Arial" w:eastAsia="Arial" w:hAnsi="Arial"/>
                <w:sz w:val="18"/>
                <w:szCs w:val="18"/>
                <w:color w:val="auto"/>
              </w:rPr>
              <w:t>consolidated statements of operations</w:t>
            </w:r>
          </w:p>
        </w:tc>
        <w:tc>
          <w:tcPr>
            <w:tcW w:w="360" w:type="dxa"/>
            <w:vAlign w:val="bottom"/>
            <w:gridSpan w:val="2"/>
            <w:vMerge w:val="continue"/>
          </w:tcPr>
          <w:p>
            <w:pPr>
              <w:spacing w:after="0"/>
              <w:rPr>
                <w:sz w:val="18"/>
                <w:szCs w:val="18"/>
                <w:color w:val="auto"/>
              </w:rPr>
            </w:pPr>
          </w:p>
        </w:tc>
        <w:tc>
          <w:tcPr>
            <w:tcW w:w="70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gridSpan w:val="2"/>
            <w:vMerge w:val="continue"/>
          </w:tcPr>
          <w:p>
            <w:pPr>
              <w:spacing w:after="0"/>
              <w:rPr>
                <w:sz w:val="18"/>
                <w:szCs w:val="18"/>
                <w:color w:val="auto"/>
              </w:rPr>
            </w:pPr>
          </w:p>
        </w:tc>
        <w:tc>
          <w:tcPr>
            <w:tcW w:w="70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gridSpan w:val="2"/>
            <w:vMerge w:val="continue"/>
          </w:tcPr>
          <w:p>
            <w:pPr>
              <w:spacing w:after="0"/>
              <w:rPr>
                <w:sz w:val="18"/>
                <w:szCs w:val="18"/>
                <w:color w:val="auto"/>
              </w:rPr>
            </w:pPr>
          </w:p>
        </w:tc>
        <w:tc>
          <w:tcPr>
            <w:tcW w:w="70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vMerge w:val="continue"/>
          </w:tcPr>
          <w:p>
            <w:pPr>
              <w:spacing w:after="0"/>
              <w:rPr>
                <w:sz w:val="18"/>
                <w:szCs w:val="18"/>
                <w:color w:val="auto"/>
              </w:rPr>
            </w:pPr>
          </w:p>
        </w:tc>
        <w:tc>
          <w:tcPr>
            <w:tcW w:w="70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38938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660" w:right="300" w:hanging="328"/>
        <w:spacing w:after="0" w:line="277" w:lineRule="auto"/>
        <w:tabs>
          <w:tab w:leader="none" w:pos="681" w:val="left"/>
        </w:tabs>
        <w:numPr>
          <w:ilvl w:val="0"/>
          <w:numId w:val="7"/>
        </w:numPr>
        <w:rPr>
          <w:rFonts w:ascii="Arial" w:cs="Arial" w:eastAsia="Arial" w:hAnsi="Arial"/>
          <w:sz w:val="18"/>
          <w:szCs w:val="18"/>
          <w:color w:val="auto"/>
        </w:rPr>
      </w:pPr>
      <w:r>
        <w:rPr>
          <w:rFonts w:ascii="Arial" w:cs="Arial" w:eastAsia="Arial" w:hAnsi="Arial"/>
          <w:sz w:val="18"/>
          <w:szCs w:val="18"/>
          <w:color w:val="auto"/>
        </w:rPr>
        <w:t>For the three months ended June 30, 2006, other after-tax adjustments of $(1.8) million included a change in estimate associated with a favorable court ruling on a contested IRS issue for 1991 and later years.</w:t>
      </w:r>
    </w:p>
    <w:p>
      <w:pPr>
        <w:spacing w:after="0" w:line="170" w:lineRule="exact"/>
        <w:rPr>
          <w:sz w:val="20"/>
          <w:szCs w:val="20"/>
          <w:color w:val="auto"/>
        </w:rPr>
      </w:pPr>
    </w:p>
    <w:p>
      <w:pPr>
        <w:ind w:left="660" w:right="200"/>
        <w:spacing w:after="0" w:line="277" w:lineRule="auto"/>
        <w:rPr>
          <w:sz w:val="20"/>
          <w:szCs w:val="20"/>
          <w:color w:val="auto"/>
        </w:rPr>
      </w:pPr>
      <w:r>
        <w:rPr>
          <w:rFonts w:ascii="Arial" w:cs="Arial" w:eastAsia="Arial" w:hAnsi="Arial"/>
          <w:sz w:val="18"/>
          <w:szCs w:val="18"/>
          <w:color w:val="auto"/>
        </w:rPr>
        <w:t>For the three months ended June 30, 2005, other after-tax adjustments reflect a $14.7 million gain on sale of a real estate property that qualifies for discontinued operations treatment under SFAS 144.</w:t>
      </w:r>
    </w:p>
    <w:p>
      <w:pPr>
        <w:spacing w:after="0" w:line="170" w:lineRule="exact"/>
        <w:rPr>
          <w:sz w:val="20"/>
          <w:szCs w:val="20"/>
          <w:color w:val="auto"/>
        </w:rPr>
      </w:pPr>
    </w:p>
    <w:p>
      <w:pPr>
        <w:ind w:left="660" w:right="380"/>
        <w:spacing w:after="0" w:line="277" w:lineRule="auto"/>
        <w:rPr>
          <w:sz w:val="20"/>
          <w:szCs w:val="20"/>
          <w:color w:val="auto"/>
        </w:rPr>
      </w:pPr>
      <w:r>
        <w:rPr>
          <w:rFonts w:ascii="Arial" w:cs="Arial" w:eastAsia="Arial" w:hAnsi="Arial"/>
          <w:sz w:val="18"/>
          <w:szCs w:val="18"/>
          <w:color w:val="auto"/>
        </w:rPr>
        <w:t>For the six months ended June 30, 2006, other after-tax adjustments of $18.8 million included the positive effect of a favorable court ruling on a contested IRS issue for 1991 and later years.</w:t>
      </w:r>
    </w:p>
    <w:p>
      <w:pPr>
        <w:spacing w:after="0" w:line="170" w:lineRule="exact"/>
        <w:rPr>
          <w:sz w:val="20"/>
          <w:szCs w:val="20"/>
          <w:color w:val="auto"/>
        </w:rPr>
      </w:pPr>
    </w:p>
    <w:p>
      <w:pPr>
        <w:ind w:left="660" w:right="360"/>
        <w:spacing w:after="0" w:line="277" w:lineRule="auto"/>
        <w:rPr>
          <w:sz w:val="20"/>
          <w:szCs w:val="20"/>
          <w:color w:val="auto"/>
        </w:rPr>
      </w:pPr>
      <w:r>
        <w:rPr>
          <w:rFonts w:ascii="Arial" w:cs="Arial" w:eastAsia="Arial" w:hAnsi="Arial"/>
          <w:sz w:val="18"/>
          <w:szCs w:val="18"/>
          <w:color w:val="auto"/>
        </w:rPr>
        <w:t>For the six months ended June 30, 2005, other after-tax adjustments reflect a $14.7 million gain on sale of a real estate property that qualifies for discontinued operations treatment under SFAS 144.</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Stock-Based Compensation Plans</w:t>
      </w:r>
    </w:p>
    <w:p>
      <w:pPr>
        <w:spacing w:after="0" w:line="229" w:lineRule="exact"/>
        <w:rPr>
          <w:sz w:val="20"/>
          <w:szCs w:val="20"/>
          <w:color w:val="auto"/>
        </w:rPr>
      </w:pPr>
    </w:p>
    <w:p>
      <w:pPr>
        <w:ind w:firstLine="648"/>
        <w:spacing w:after="0" w:line="272" w:lineRule="auto"/>
        <w:rPr>
          <w:sz w:val="20"/>
          <w:szCs w:val="20"/>
          <w:color w:val="auto"/>
        </w:rPr>
      </w:pPr>
      <w:r>
        <w:rPr>
          <w:rFonts w:ascii="Arial" w:cs="Arial" w:eastAsia="Arial" w:hAnsi="Arial"/>
          <w:sz w:val="17"/>
          <w:szCs w:val="17"/>
          <w:color w:val="auto"/>
        </w:rPr>
        <w:t>As of June 30, 2006, we have the 2005 Stock Incentive Plan, the Employee Stock Purchase Plan, the 2005 Directors Stock Plan, the Stock Incentive Plan, the Directors Stock Plan and the Long-Term Performance Plan. As of May 17, 2005, no new grants will be made under the Stock Incentive Plan, the Directors Stock Plan or the Long-Term Performance Plan (“Stock-Based Compensation Plans”). Under the terms of the 2005 Stock Incentive Plan, grants may be nonqualified stock options, incentive stock options qualifying under Section 422 of the Internal Revenue Code, restricted stock, restricted stock units, stock appreciation rights, performance shares, performance units, or other stock based awards. The 2005 Directors Stock Plan provides for the grant of nonqualified stock options, restricted stock, restricted stock units, or other stock-based awards to our nonemployee directors. To date, we have not granted any incentive stock options, restricted stock, or performance units.</w:t>
      </w:r>
    </w:p>
    <w:p>
      <w:pPr>
        <w:spacing w:after="0" w:line="178"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As of June 30, 2006, the maximum number of new shares of common stock that were available for grant under the 2005 Stock Incentive Plan and the 2005 Directors Stock Plan was 21.6 million.</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For awards with graded vesting, we use an accelerated expense attribution method. The compensation cost that was charged against income for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Stock-Based Compensation Plans is as follows:</w:t>
      </w:r>
    </w:p>
    <w:p>
      <w:pPr>
        <w:spacing w:after="0" w:line="179" w:lineRule="exact"/>
        <w:rPr>
          <w:sz w:val="20"/>
          <w:szCs w:val="20"/>
          <w:color w:val="auto"/>
        </w:rPr>
      </w:pPr>
    </w:p>
    <w:p>
      <w:pPr>
        <w:jc w:val="center"/>
        <w:ind w:left="4400"/>
        <w:spacing w:after="0"/>
        <w:rPr>
          <w:sz w:val="20"/>
          <w:szCs w:val="20"/>
          <w:color w:val="auto"/>
        </w:rPr>
      </w:pPr>
      <w:r>
        <w:rPr>
          <w:rFonts w:ascii="Arial" w:cs="Arial" w:eastAsia="Arial" w:hAnsi="Arial"/>
          <w:sz w:val="14"/>
          <w:szCs w:val="14"/>
          <w:b w:val="1"/>
          <w:bCs w:val="1"/>
          <w:color w:val="auto"/>
        </w:rPr>
        <w:t>For the six months ended</w:t>
      </w:r>
    </w:p>
    <w:p>
      <w:pPr>
        <w:jc w:val="center"/>
        <w:ind w:left="4400"/>
        <w:spacing w:after="0" w:line="221" w:lineRule="auto"/>
        <w:rPr>
          <w:sz w:val="20"/>
          <w:szCs w:val="20"/>
          <w:color w:val="auto"/>
        </w:rPr>
      </w:pPr>
      <w:r>
        <w:rPr>
          <w:rFonts w:ascii="Arial" w:cs="Arial" w:eastAsia="Arial" w:hAnsi="Arial"/>
          <w:sz w:val="14"/>
          <w:szCs w:val="14"/>
          <w:b w:val="1"/>
          <w:bCs w:val="1"/>
          <w:color w:val="auto"/>
        </w:rPr>
        <w:t>June 30,</w:t>
      </w:r>
    </w:p>
    <w:tbl>
      <w:tblPr>
        <w:tblLayout w:type="fixed"/>
        <w:tblInd w:w="2420" w:type="dxa"/>
        <w:tblCellMar>
          <w:top w:w="0" w:type="dxa"/>
          <w:left w:w="0" w:type="dxa"/>
          <w:bottom w:w="0" w:type="dxa"/>
          <w:right w:w="0" w:type="dxa"/>
        </w:tblCellMar>
      </w:tblPr>
      <w:tr>
        <w:trPr>
          <w:trHeight w:val="136"/>
        </w:trPr>
        <w:tc>
          <w:tcPr>
            <w:tcW w:w="33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0" w:type="dxa"/>
            <w:vAlign w:val="bottom"/>
            <w:tcBorders>
              <w:top w:val="single" w:sz="8" w:color="auto"/>
              <w:bottom w:val="single" w:sz="8" w:color="auto"/>
            </w:tcBorders>
          </w:tcPr>
          <w:p>
            <w:pPr>
              <w:jc w:val="right"/>
              <w:spacing w:after="0" w:line="136" w:lineRule="exact"/>
              <w:rPr>
                <w:sz w:val="20"/>
                <w:szCs w:val="20"/>
                <w:color w:val="auto"/>
              </w:rPr>
            </w:pPr>
            <w:r>
              <w:rPr>
                <w:rFonts w:ascii="Arial" w:cs="Arial" w:eastAsia="Arial" w:hAnsi="Arial"/>
                <w:sz w:val="14"/>
                <w:szCs w:val="14"/>
                <w:b w:val="1"/>
                <w:bCs w:val="1"/>
                <w:color w:val="auto"/>
              </w:rPr>
              <w:t>2006</w:t>
            </w:r>
          </w:p>
        </w:tc>
        <w:tc>
          <w:tcPr>
            <w:tcW w:w="420" w:type="dxa"/>
            <w:vAlign w:val="bottom"/>
            <w:tcBorders>
              <w:top w:val="single" w:sz="8" w:color="auto"/>
              <w:bottom w:val="single" w:sz="8" w:color="auto"/>
            </w:tcBorders>
          </w:tcPr>
          <w:p>
            <w:pPr>
              <w:spacing w:after="0"/>
              <w:rPr>
                <w:sz w:val="11"/>
                <w:szCs w:val="11"/>
                <w:color w:val="auto"/>
              </w:rPr>
            </w:pPr>
          </w:p>
        </w:tc>
        <w:tc>
          <w:tcPr>
            <w:tcW w:w="400" w:type="dxa"/>
            <w:vAlign w:val="bottom"/>
            <w:tcBorders>
              <w:top w:val="single" w:sz="8" w:color="auto"/>
              <w:bottom w:val="single" w:sz="8" w:color="auto"/>
            </w:tcBorders>
          </w:tcPr>
          <w:p>
            <w:pPr>
              <w:spacing w:after="0"/>
              <w:rPr>
                <w:sz w:val="11"/>
                <w:szCs w:val="11"/>
                <w:color w:val="auto"/>
              </w:rPr>
            </w:pPr>
          </w:p>
        </w:tc>
        <w:tc>
          <w:tcPr>
            <w:tcW w:w="660" w:type="dxa"/>
            <w:vAlign w:val="bottom"/>
            <w:tcBorders>
              <w:top w:val="single" w:sz="8" w:color="auto"/>
              <w:bottom w:val="single" w:sz="8" w:color="auto"/>
            </w:tcBorders>
          </w:tcPr>
          <w:p>
            <w:pPr>
              <w:jc w:val="right"/>
              <w:ind w:right="254"/>
              <w:spacing w:after="0" w:line="136" w:lineRule="exact"/>
              <w:rPr>
                <w:sz w:val="20"/>
                <w:szCs w:val="20"/>
                <w:color w:val="auto"/>
              </w:rPr>
            </w:pPr>
            <w:r>
              <w:rPr>
                <w:rFonts w:ascii="Arial" w:cs="Arial" w:eastAsia="Arial" w:hAnsi="Arial"/>
                <w:sz w:val="14"/>
                <w:szCs w:val="14"/>
                <w:b w:val="1"/>
                <w:bCs w:val="1"/>
                <w:color w:val="auto"/>
                <w:w w:val="96"/>
              </w:rPr>
              <w:t>2005</w:t>
            </w:r>
          </w:p>
        </w:tc>
        <w:tc>
          <w:tcPr>
            <w:tcW w:w="60" w:type="dxa"/>
            <w:vAlign w:val="bottom"/>
          </w:tcPr>
          <w:p>
            <w:pPr>
              <w:spacing w:after="0"/>
              <w:rPr>
                <w:sz w:val="11"/>
                <w:szCs w:val="11"/>
                <w:color w:val="auto"/>
              </w:rPr>
            </w:pPr>
          </w:p>
        </w:tc>
      </w:tr>
      <w:tr>
        <w:trPr>
          <w:trHeight w:val="129"/>
        </w:trPr>
        <w:tc>
          <w:tcPr>
            <w:tcW w:w="33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9"/>
              </w:rPr>
              <w:t>(in millions)</w:t>
            </w:r>
          </w:p>
        </w:tc>
        <w:tc>
          <w:tcPr>
            <w:tcW w:w="660" w:type="dxa"/>
            <w:vAlign w:val="bottom"/>
          </w:tcPr>
          <w:p>
            <w:pPr>
              <w:spacing w:after="0"/>
              <w:rPr>
                <w:sz w:val="11"/>
                <w:szCs w:val="11"/>
                <w:color w:val="auto"/>
              </w:rPr>
            </w:pPr>
          </w:p>
        </w:tc>
        <w:tc>
          <w:tcPr>
            <w:tcW w:w="60" w:type="dxa"/>
            <w:vAlign w:val="bottom"/>
          </w:tcPr>
          <w:p>
            <w:pPr>
              <w:spacing w:after="0"/>
              <w:rPr>
                <w:sz w:val="11"/>
                <w:szCs w:val="11"/>
                <w:color w:val="auto"/>
              </w:rPr>
            </w:pPr>
          </w:p>
        </w:tc>
      </w:tr>
      <w:tr>
        <w:trPr>
          <w:trHeight w:val="216"/>
        </w:trPr>
        <w:tc>
          <w:tcPr>
            <w:tcW w:w="3300" w:type="dxa"/>
            <w:vAlign w:val="bottom"/>
            <w:shd w:val="clear" w:color="auto" w:fill="CCEEFF"/>
          </w:tcPr>
          <w:p>
            <w:pPr>
              <w:spacing w:after="0"/>
              <w:rPr>
                <w:sz w:val="20"/>
                <w:szCs w:val="20"/>
                <w:color w:val="auto"/>
              </w:rPr>
            </w:pPr>
            <w:r>
              <w:rPr>
                <w:rFonts w:ascii="Arial" w:cs="Arial" w:eastAsia="Arial" w:hAnsi="Arial"/>
                <w:sz w:val="18"/>
                <w:szCs w:val="18"/>
                <w:color w:val="auto"/>
              </w:rPr>
              <w:t>Compensation cost</w:t>
            </w:r>
          </w:p>
        </w:tc>
        <w:tc>
          <w:tcPr>
            <w:tcW w:w="1760" w:type="dxa"/>
            <w:vAlign w:val="bottom"/>
            <w:gridSpan w:val="2"/>
            <w:shd w:val="clear" w:color="auto" w:fill="CCEEFF"/>
          </w:tcPr>
          <w:p>
            <w:pPr>
              <w:jc w:val="right"/>
              <w:ind w:right="448"/>
              <w:spacing w:after="0"/>
              <w:rPr>
                <w:sz w:val="20"/>
                <w:szCs w:val="20"/>
                <w:color w:val="auto"/>
              </w:rPr>
            </w:pPr>
            <w:r>
              <w:rPr>
                <w:rFonts w:ascii="Arial" w:cs="Arial" w:eastAsia="Arial" w:hAnsi="Arial"/>
                <w:sz w:val="18"/>
                <w:szCs w:val="18"/>
                <w:b w:val="1"/>
                <w:bCs w:val="1"/>
                <w:color w:val="auto"/>
              </w:rPr>
              <w:t>$</w:t>
            </w:r>
          </w:p>
        </w:tc>
        <w:tc>
          <w:tcPr>
            <w:tcW w:w="420" w:type="dxa"/>
            <w:vAlign w:val="bottom"/>
            <w:shd w:val="clear" w:color="auto" w:fill="CCEEFF"/>
          </w:tcPr>
          <w:p>
            <w:pPr>
              <w:jc w:val="right"/>
              <w:ind w:right="14"/>
              <w:spacing w:after="0"/>
              <w:rPr>
                <w:sz w:val="20"/>
                <w:szCs w:val="20"/>
                <w:color w:val="auto"/>
              </w:rPr>
            </w:pPr>
            <w:r>
              <w:rPr>
                <w:rFonts w:ascii="Arial" w:cs="Arial" w:eastAsia="Arial" w:hAnsi="Arial"/>
                <w:sz w:val="18"/>
                <w:szCs w:val="18"/>
                <w:b w:val="1"/>
                <w:bCs w:val="1"/>
                <w:color w:val="auto"/>
                <w:w w:val="85"/>
              </w:rPr>
              <w:t>27.5</w:t>
            </w:r>
          </w:p>
        </w:tc>
        <w:tc>
          <w:tcPr>
            <w:tcW w:w="4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w:t>
            </w:r>
          </w:p>
        </w:tc>
        <w:tc>
          <w:tcPr>
            <w:tcW w:w="60" w:type="dxa"/>
            <w:vAlign w:val="bottom"/>
            <w:shd w:val="clear" w:color="auto" w:fill="CCEEFF"/>
          </w:tcPr>
          <w:p>
            <w:pPr>
              <w:spacing w:after="0"/>
              <w:rPr>
                <w:sz w:val="18"/>
                <w:szCs w:val="18"/>
                <w:color w:val="auto"/>
              </w:rPr>
            </w:pPr>
          </w:p>
        </w:tc>
      </w:tr>
      <w:tr>
        <w:trPr>
          <w:trHeight w:val="216"/>
        </w:trPr>
        <w:tc>
          <w:tcPr>
            <w:tcW w:w="3300" w:type="dxa"/>
            <w:vAlign w:val="bottom"/>
          </w:tcPr>
          <w:p>
            <w:pPr>
              <w:spacing w:after="0"/>
              <w:rPr>
                <w:sz w:val="20"/>
                <w:szCs w:val="20"/>
                <w:color w:val="auto"/>
              </w:rPr>
            </w:pPr>
            <w:r>
              <w:rPr>
                <w:rFonts w:ascii="Arial" w:cs="Arial" w:eastAsia="Arial" w:hAnsi="Arial"/>
                <w:sz w:val="18"/>
                <w:szCs w:val="18"/>
                <w:color w:val="auto"/>
              </w:rPr>
              <w:t>Related income tax benefit</w:t>
            </w:r>
          </w:p>
        </w:tc>
        <w:tc>
          <w:tcPr>
            <w:tcW w:w="1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20" w:type="dxa"/>
            <w:vAlign w:val="bottom"/>
          </w:tcPr>
          <w:p>
            <w:pPr>
              <w:jc w:val="right"/>
              <w:ind w:right="14"/>
              <w:spacing w:after="0"/>
              <w:rPr>
                <w:sz w:val="20"/>
                <w:szCs w:val="20"/>
                <w:color w:val="auto"/>
              </w:rPr>
            </w:pPr>
            <w:r>
              <w:rPr>
                <w:rFonts w:ascii="Arial" w:cs="Arial" w:eastAsia="Arial" w:hAnsi="Arial"/>
                <w:sz w:val="18"/>
                <w:szCs w:val="18"/>
                <w:b w:val="1"/>
                <w:bCs w:val="1"/>
                <w:color w:val="auto"/>
              </w:rPr>
              <w:t>8.5</w:t>
            </w:r>
          </w:p>
        </w:tc>
        <w:tc>
          <w:tcPr>
            <w:tcW w:w="4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6.0</w:t>
            </w:r>
          </w:p>
        </w:tc>
        <w:tc>
          <w:tcPr>
            <w:tcW w:w="60" w:type="dxa"/>
            <w:vAlign w:val="bottom"/>
          </w:tcPr>
          <w:p>
            <w:pPr>
              <w:spacing w:after="0"/>
              <w:rPr>
                <w:sz w:val="18"/>
                <w:szCs w:val="18"/>
                <w:color w:val="auto"/>
              </w:rPr>
            </w:pPr>
          </w:p>
        </w:tc>
      </w:tr>
      <w:tr>
        <w:trPr>
          <w:trHeight w:val="216"/>
        </w:trPr>
        <w:tc>
          <w:tcPr>
            <w:tcW w:w="3300" w:type="dxa"/>
            <w:vAlign w:val="bottom"/>
            <w:shd w:val="clear" w:color="auto" w:fill="CCEEFF"/>
          </w:tcPr>
          <w:p>
            <w:pPr>
              <w:spacing w:after="0"/>
              <w:rPr>
                <w:sz w:val="20"/>
                <w:szCs w:val="20"/>
                <w:color w:val="auto"/>
              </w:rPr>
            </w:pPr>
            <w:r>
              <w:rPr>
                <w:rFonts w:ascii="Arial" w:cs="Arial" w:eastAsia="Arial" w:hAnsi="Arial"/>
                <w:sz w:val="18"/>
                <w:szCs w:val="18"/>
                <w:color w:val="auto"/>
              </w:rPr>
              <w:t>Capitalized as part of an asset</w:t>
            </w:r>
          </w:p>
        </w:tc>
        <w:tc>
          <w:tcPr>
            <w:tcW w:w="1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1.8</w:t>
            </w:r>
          </w:p>
        </w:tc>
        <w:tc>
          <w:tcPr>
            <w:tcW w:w="4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60" w:type="dxa"/>
            <w:vAlign w:val="bottom"/>
            <w:shd w:val="clear" w:color="auto" w:fill="CCEEFF"/>
          </w:tcPr>
          <w:p>
            <w:pPr>
              <w:spacing w:after="0"/>
              <w:rPr>
                <w:sz w:val="18"/>
                <w:szCs w:val="18"/>
                <w:color w:val="auto"/>
              </w:rPr>
            </w:pPr>
          </w:p>
        </w:tc>
      </w:tr>
    </w:tbl>
    <w:p>
      <w:pPr>
        <w:sectPr>
          <w:pgSz w:w="11900" w:h="16838" w:orient="portrait"/>
          <w:cols w:equalWidth="0" w:num="1">
            <w:col w:w="11420"/>
          </w:cols>
          <w:pgMar w:left="240" w:top="140" w:right="239" w:bottom="0" w:gutter="0" w:footer="0" w:header="0"/>
        </w:sectPr>
      </w:pPr>
    </w:p>
    <w:bookmarkStart w:id="12" w:name="page13"/>
    <w:bookmarkEnd w:id="12"/>
    <w:p>
      <w:pPr>
        <w:spacing w:after="0" w:line="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Nonqualified Stock Options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We issue nonqualified stock options under the 2005 Directors Stock Plan, Directors Stock Plan, 2005 Stock Incentive Plan, and Stock Incentive Plan.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Nonqualified stock options are treated as an equity award.</w:t>
      </w:r>
    </w:p>
    <w:p>
      <w:pPr>
        <w:spacing w:after="0" w:line="211" w:lineRule="exact"/>
        <w:rPr>
          <w:sz w:val="20"/>
          <w:szCs w:val="20"/>
          <w:color w:val="auto"/>
        </w:rPr>
      </w:pPr>
    </w:p>
    <w:p>
      <w:pPr>
        <w:ind w:right="80" w:firstLine="648"/>
        <w:spacing w:after="0" w:line="302" w:lineRule="auto"/>
        <w:rPr>
          <w:sz w:val="20"/>
          <w:szCs w:val="20"/>
          <w:color w:val="auto"/>
        </w:rPr>
      </w:pPr>
      <w:r>
        <w:rPr>
          <w:rFonts w:ascii="Arial" w:cs="Arial" w:eastAsia="Arial" w:hAnsi="Arial"/>
          <w:sz w:val="16"/>
          <w:szCs w:val="16"/>
          <w:color w:val="auto"/>
        </w:rPr>
        <w:t>Non-qualified stock options were granted to certain employees under the 2005 Stock Incentive Plan and the Stock Incentive Plan. Total options granted under the 2005 Stock Incentive Plan and the Stock Incentive Plan were 2.1 million and 2.7 million for the six months ended June 30, 2006 and 2005, respectively. Options outstanding under the 2005 Stock Incentive Plan and the Stock Incentive Plan were granted at an exercise price equal to the market value of our common stock on the date of grant, and expire ten years after the grant date. These options have graded or cliff vesting over a three-year period.</w:t>
      </w:r>
    </w:p>
    <w:p>
      <w:pPr>
        <w:spacing w:after="0" w:line="154"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Non-qualified stock options granted under the Directors stock plans have an exercise price equal to the fair market value of the common stock on the date of the grant and a contractual term equal to the earlier of five years from the date the participant ceases to provide service or the tenth anniversary of the date the option was granted. Beginning with the 2003 grant, options become exercisable in four approximately equal installments on the three, six and nine month anniversaries of the grant date, and on the date that the Director’s full term of office expires. There were no options granted during the six months ended June 30, 2006 or 2005.</w:t>
      </w:r>
    </w:p>
    <w:p>
      <w:pPr>
        <w:spacing w:after="0" w:line="188" w:lineRule="exact"/>
        <w:rPr>
          <w:sz w:val="20"/>
          <w:szCs w:val="20"/>
          <w:color w:val="auto"/>
        </w:rPr>
      </w:pPr>
    </w:p>
    <w:p>
      <w:pPr>
        <w:ind w:right="140" w:firstLine="648"/>
        <w:spacing w:after="0" w:line="255" w:lineRule="auto"/>
        <w:rPr>
          <w:sz w:val="20"/>
          <w:szCs w:val="20"/>
          <w:color w:val="auto"/>
        </w:rPr>
      </w:pPr>
      <w:r>
        <w:rPr>
          <w:rFonts w:ascii="Arial" w:cs="Arial" w:eastAsia="Arial" w:hAnsi="Arial"/>
          <w:sz w:val="18"/>
          <w:szCs w:val="18"/>
          <w:color w:val="auto"/>
        </w:rPr>
        <w:t>The fair value of stock options is estimated using the Black-Scholes option pricing model that uses the assumptions noted in the following table. Expected volatilities are based on historical volatility of our stock and other factors. Due to our limited public company history, we use peer data to estimate option exercise and employee termination within the valuation model. Separate groups of employees that have similar historical exercise behavior are considered separately for valuation purposes. The expected term of options granted is estimated based on peer data and represents the period of time that options granted are expected to be outstanding. The risk-free rate for periods within the expected life of the option is based on the U.S. Treasury risk free interest rate in effect at the time of grant.</w:t>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Stock-Based Compensation Plans (continued)</w:t>
      </w:r>
    </w:p>
    <w:p>
      <w:pPr>
        <w:spacing w:after="0" w:line="229"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Cash received from stock options exercised under these share-based payment arrangements for the six months ended June 30, 2006 was $21.7 million. The actual tax benefits realized for the tax deductions for option exercise of the share-based payment arrangements for the six months ended June 30, 2006 was $5.8 million.</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is a summary of assumptions for the stock options granted during the period:</w:t>
      </w:r>
    </w:p>
    <w:p>
      <w:pPr>
        <w:spacing w:after="0" w:line="187"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61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92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91"/>
              </w:rPr>
              <w:t>For the six months ended</w:t>
            </w:r>
          </w:p>
        </w:tc>
        <w:tc>
          <w:tcPr>
            <w:tcW w:w="0" w:type="dxa"/>
            <w:vAlign w:val="bottom"/>
          </w:tcPr>
          <w:p>
            <w:pPr>
              <w:spacing w:after="0"/>
              <w:rPr>
                <w:sz w:val="1"/>
                <w:szCs w:val="1"/>
                <w:color w:val="auto"/>
              </w:rPr>
            </w:pPr>
          </w:p>
        </w:tc>
      </w:tr>
      <w:tr>
        <w:trPr>
          <w:trHeight w:val="162"/>
        </w:trPr>
        <w:tc>
          <w:tcPr>
            <w:tcW w:w="6140" w:type="dxa"/>
            <w:vAlign w:val="bottom"/>
            <w:vMerge w:val="restart"/>
          </w:tcPr>
          <w:p>
            <w:pPr>
              <w:spacing w:after="0"/>
              <w:rPr>
                <w:sz w:val="20"/>
                <w:szCs w:val="20"/>
                <w:color w:val="auto"/>
              </w:rPr>
            </w:pPr>
            <w:r>
              <w:rPr>
                <w:rFonts w:ascii="Arial" w:cs="Arial" w:eastAsia="Arial" w:hAnsi="Arial"/>
                <w:sz w:val="14"/>
                <w:szCs w:val="14"/>
                <w:b w:val="1"/>
                <w:bCs w:val="1"/>
                <w:color w:val="auto"/>
              </w:rPr>
              <w:t>Options</w:t>
            </w:r>
          </w:p>
        </w:tc>
        <w:tc>
          <w:tcPr>
            <w:tcW w:w="480" w:type="dxa"/>
            <w:vAlign w:val="bottom"/>
            <w:vMerge w:val="restart"/>
          </w:tcPr>
          <w:p>
            <w:pPr>
              <w:spacing w:after="0"/>
              <w:rPr>
                <w:sz w:val="14"/>
                <w:szCs w:val="14"/>
                <w:color w:val="auto"/>
              </w:rPr>
            </w:pPr>
          </w:p>
        </w:tc>
        <w:tc>
          <w:tcPr>
            <w:tcW w:w="1160" w:type="dxa"/>
            <w:vAlign w:val="bottom"/>
            <w:tcBorders>
              <w:bottom w:val="single" w:sz="8" w:color="auto"/>
            </w:tcBorders>
            <w:gridSpan w:val="3"/>
          </w:tcPr>
          <w:p>
            <w:pPr>
              <w:jc w:val="center"/>
              <w:ind w:left="438"/>
              <w:spacing w:after="0"/>
              <w:rPr>
                <w:sz w:val="20"/>
                <w:szCs w:val="20"/>
                <w:color w:val="auto"/>
              </w:rPr>
            </w:pPr>
            <w:r>
              <w:rPr>
                <w:rFonts w:ascii="Arial" w:cs="Arial" w:eastAsia="Arial" w:hAnsi="Arial"/>
                <w:sz w:val="14"/>
                <w:szCs w:val="14"/>
                <w:b w:val="1"/>
                <w:bCs w:val="1"/>
                <w:color w:val="auto"/>
                <w:w w:val="92"/>
              </w:rPr>
              <w:t>June 30,</w:t>
            </w:r>
          </w:p>
        </w:tc>
        <w:tc>
          <w:tcPr>
            <w:tcW w:w="54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6140" w:type="dxa"/>
            <w:vAlign w:val="bottom"/>
            <w:tcBorders>
              <w:bottom w:val="single" w:sz="8" w:color="auto"/>
            </w:tcBorders>
            <w:vMerge w:val="continue"/>
          </w:tcPr>
          <w:p>
            <w:pPr>
              <w:spacing w:after="0"/>
              <w:rPr>
                <w:sz w:val="11"/>
                <w:szCs w:val="11"/>
                <w:color w:val="auto"/>
              </w:rPr>
            </w:pPr>
          </w:p>
        </w:tc>
        <w:tc>
          <w:tcPr>
            <w:tcW w:w="480" w:type="dxa"/>
            <w:vAlign w:val="bottom"/>
            <w:tcBorders>
              <w:bottom w:val="single" w:sz="8" w:color="CCEEFF"/>
            </w:tcBorders>
            <w:vMerge w:val="continue"/>
          </w:tcPr>
          <w:p>
            <w:pPr>
              <w:spacing w:after="0"/>
              <w:rPr>
                <w:sz w:val="11"/>
                <w:szCs w:val="11"/>
                <w:color w:val="auto"/>
              </w:rPr>
            </w:pPr>
          </w:p>
        </w:tc>
        <w:tc>
          <w:tcPr>
            <w:tcW w:w="620" w:type="dxa"/>
            <w:vAlign w:val="bottom"/>
            <w:tcBorders>
              <w:bottom w:val="single" w:sz="8" w:color="auto"/>
            </w:tcBorders>
          </w:tcPr>
          <w:p>
            <w:pPr>
              <w:jc w:val="right"/>
              <w:ind w:right="98"/>
              <w:spacing w:after="0" w:line="129" w:lineRule="exact"/>
              <w:rPr>
                <w:sz w:val="20"/>
                <w:szCs w:val="20"/>
                <w:color w:val="auto"/>
              </w:rPr>
            </w:pPr>
            <w:r>
              <w:rPr>
                <w:rFonts w:ascii="Arial" w:cs="Arial" w:eastAsia="Arial" w:hAnsi="Arial"/>
                <w:sz w:val="14"/>
                <w:szCs w:val="14"/>
                <w:b w:val="1"/>
                <w:bCs w:val="1"/>
                <w:color w:val="auto"/>
              </w:rPr>
              <w:t>2006</w:t>
            </w:r>
          </w:p>
        </w:tc>
        <w:tc>
          <w:tcPr>
            <w:tcW w:w="44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tcPr>
          <w:p>
            <w:pPr>
              <w:jc w:val="right"/>
              <w:ind w:right="94"/>
              <w:spacing w:after="0" w:line="129" w:lineRule="exact"/>
              <w:rPr>
                <w:sz w:val="20"/>
                <w:szCs w:val="20"/>
                <w:color w:val="auto"/>
              </w:rPr>
            </w:pPr>
            <w:r>
              <w:rPr>
                <w:rFonts w:ascii="Arial" w:cs="Arial" w:eastAsia="Arial" w:hAnsi="Arial"/>
                <w:sz w:val="14"/>
                <w:szCs w:val="14"/>
                <w:b w:val="1"/>
                <w:bCs w:val="1"/>
                <w:color w:val="auto"/>
              </w:rPr>
              <w:t>2005</w:t>
            </w:r>
          </w:p>
        </w:tc>
        <w:tc>
          <w:tcPr>
            <w:tcW w:w="220" w:type="dxa"/>
            <w:vAlign w:val="bottom"/>
            <w:tcBorders>
              <w:bottom w:val="single" w:sz="8" w:color="CCEEFF"/>
            </w:tcBorders>
          </w:tcPr>
          <w:p>
            <w:pPr>
              <w:spacing w:after="0"/>
              <w:rPr>
                <w:sz w:val="11"/>
                <w:szCs w:val="11"/>
                <w:color w:val="auto"/>
              </w:rPr>
            </w:pPr>
          </w:p>
        </w:tc>
        <w:tc>
          <w:tcPr>
            <w:tcW w:w="0" w:type="dxa"/>
            <w:vAlign w:val="bottom"/>
          </w:tcPr>
          <w:p>
            <w:pPr>
              <w:spacing w:after="0"/>
              <w:rPr>
                <w:sz w:val="1"/>
                <w:szCs w:val="1"/>
                <w:color w:val="auto"/>
              </w:rPr>
            </w:pPr>
          </w:p>
        </w:tc>
      </w:tr>
      <w:tr>
        <w:trPr>
          <w:trHeight w:val="210"/>
        </w:trPr>
        <w:tc>
          <w:tcPr>
            <w:tcW w:w="6140" w:type="dxa"/>
            <w:vAlign w:val="bottom"/>
            <w:shd w:val="clear" w:color="auto" w:fill="CCEEFF"/>
          </w:tcPr>
          <w:p>
            <w:pPr>
              <w:spacing w:after="0"/>
              <w:rPr>
                <w:sz w:val="20"/>
                <w:szCs w:val="20"/>
                <w:color w:val="auto"/>
              </w:rPr>
            </w:pPr>
            <w:r>
              <w:rPr>
                <w:rFonts w:ascii="Arial" w:cs="Arial" w:eastAsia="Arial" w:hAnsi="Arial"/>
                <w:sz w:val="18"/>
                <w:szCs w:val="18"/>
                <w:color w:val="auto"/>
              </w:rPr>
              <w:t>Dividend yield</w:t>
            </w:r>
          </w:p>
        </w:tc>
        <w:tc>
          <w:tcPr>
            <w:tcW w:w="4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b w:val="1"/>
                <w:bCs w:val="1"/>
                <w:color w:val="auto"/>
              </w:rPr>
              <w:t>1.32%</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1.41%</w:t>
            </w:r>
          </w:p>
        </w:tc>
        <w:tc>
          <w:tcPr>
            <w:tcW w:w="0" w:type="dxa"/>
            <w:vAlign w:val="bottom"/>
          </w:tcPr>
          <w:p>
            <w:pPr>
              <w:spacing w:after="0"/>
              <w:rPr>
                <w:sz w:val="1"/>
                <w:szCs w:val="1"/>
                <w:color w:val="auto"/>
              </w:rPr>
            </w:pPr>
          </w:p>
        </w:tc>
      </w:tr>
      <w:tr>
        <w:trPr>
          <w:trHeight w:val="20"/>
        </w:trPr>
        <w:tc>
          <w:tcPr>
            <w:tcW w:w="6620" w:type="dxa"/>
            <w:vAlign w:val="bottom"/>
            <w:tcBorders>
              <w:top w:val="single" w:sz="8" w:color="CCEEFF"/>
              <w:bottom w:val="single" w:sz="8" w:color="CCEEFF"/>
            </w:tcBorders>
            <w:gridSpan w:val="2"/>
            <w:vMerge w:val="restart"/>
          </w:tcPr>
          <w:p>
            <w:pPr>
              <w:spacing w:after="0"/>
              <w:rPr>
                <w:sz w:val="20"/>
                <w:szCs w:val="20"/>
                <w:color w:val="auto"/>
              </w:rPr>
            </w:pPr>
            <w:r>
              <w:rPr>
                <w:rFonts w:ascii="Arial" w:cs="Arial" w:eastAsia="Arial" w:hAnsi="Arial"/>
                <w:sz w:val="18"/>
                <w:szCs w:val="18"/>
                <w:color w:val="auto"/>
              </w:rPr>
              <w:t>Expected volatility</w:t>
            </w:r>
          </w:p>
        </w:tc>
        <w:tc>
          <w:tcPr>
            <w:tcW w:w="6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6620" w:type="dxa"/>
            <w:vAlign w:val="bottom"/>
            <w:gridSpan w:val="2"/>
            <w:vMerge w:val="continue"/>
          </w:tcPr>
          <w:p>
            <w:pPr>
              <w:spacing w:after="0"/>
              <w:rPr>
                <w:sz w:val="18"/>
                <w:szCs w:val="18"/>
                <w:color w:val="auto"/>
              </w:rPr>
            </w:pPr>
          </w:p>
        </w:tc>
        <w:tc>
          <w:tcPr>
            <w:tcW w:w="1060" w:type="dxa"/>
            <w:vAlign w:val="bottom"/>
            <w:gridSpan w:val="2"/>
          </w:tcPr>
          <w:p>
            <w:pPr>
              <w:jc w:val="right"/>
              <w:ind w:right="260"/>
              <w:spacing w:after="0" w:line="196" w:lineRule="exact"/>
              <w:rPr>
                <w:sz w:val="20"/>
                <w:szCs w:val="20"/>
                <w:color w:val="auto"/>
              </w:rPr>
            </w:pPr>
            <w:r>
              <w:rPr>
                <w:rFonts w:ascii="Arial" w:cs="Arial" w:eastAsia="Arial" w:hAnsi="Arial"/>
                <w:sz w:val="18"/>
                <w:szCs w:val="18"/>
                <w:b w:val="1"/>
                <w:bCs w:val="1"/>
                <w:color w:val="auto"/>
              </w:rPr>
              <w:t>16.2%</w:t>
            </w:r>
          </w:p>
        </w:tc>
        <w:tc>
          <w:tcPr>
            <w:tcW w:w="100" w:type="dxa"/>
            <w:vAlign w:val="bottom"/>
          </w:tcPr>
          <w:p>
            <w:pPr>
              <w:spacing w:after="0"/>
              <w:rPr>
                <w:sz w:val="18"/>
                <w:szCs w:val="18"/>
                <w:color w:val="auto"/>
              </w:rPr>
            </w:pPr>
          </w:p>
        </w:tc>
        <w:tc>
          <w:tcPr>
            <w:tcW w:w="760" w:type="dxa"/>
            <w:vAlign w:val="bottom"/>
            <w:gridSpan w:val="2"/>
          </w:tcPr>
          <w:p>
            <w:pPr>
              <w:jc w:val="right"/>
              <w:ind w:right="80"/>
              <w:spacing w:after="0" w:line="196" w:lineRule="exact"/>
              <w:rPr>
                <w:sz w:val="20"/>
                <w:szCs w:val="20"/>
                <w:color w:val="auto"/>
              </w:rPr>
            </w:pPr>
            <w:r>
              <w:rPr>
                <w:rFonts w:ascii="Arial" w:cs="Arial" w:eastAsia="Arial" w:hAnsi="Arial"/>
                <w:sz w:val="18"/>
                <w:szCs w:val="18"/>
                <w:color w:val="auto"/>
              </w:rPr>
              <w:t>19.1%</w:t>
            </w:r>
          </w:p>
        </w:tc>
        <w:tc>
          <w:tcPr>
            <w:tcW w:w="0" w:type="dxa"/>
            <w:vAlign w:val="bottom"/>
          </w:tcPr>
          <w:p>
            <w:pPr>
              <w:spacing w:after="0"/>
              <w:rPr>
                <w:sz w:val="1"/>
                <w:szCs w:val="1"/>
                <w:color w:val="auto"/>
              </w:rPr>
            </w:pPr>
          </w:p>
        </w:tc>
      </w:tr>
      <w:tr>
        <w:trPr>
          <w:trHeight w:val="20"/>
        </w:trPr>
        <w:tc>
          <w:tcPr>
            <w:tcW w:w="6620" w:type="dxa"/>
            <w:vAlign w:val="bottom"/>
            <w:tcBorders>
              <w:top w:val="single" w:sz="8" w:color="CCEEFF"/>
            </w:tcBorders>
            <w:gridSpan w:val="2"/>
            <w:vMerge w:val="restart"/>
            <w:shd w:val="clear" w:color="auto" w:fill="CCEEFF"/>
          </w:tcPr>
          <w:p>
            <w:pPr>
              <w:spacing w:after="0"/>
              <w:rPr>
                <w:sz w:val="20"/>
                <w:szCs w:val="20"/>
                <w:color w:val="auto"/>
              </w:rPr>
            </w:pPr>
            <w:r>
              <w:rPr>
                <w:rFonts w:ascii="Arial" w:cs="Arial" w:eastAsia="Arial" w:hAnsi="Arial"/>
                <w:sz w:val="18"/>
                <w:szCs w:val="18"/>
                <w:color w:val="auto"/>
              </w:rPr>
              <w:t>Risk-free interest rate</w:t>
            </w:r>
          </w:p>
        </w:tc>
        <w:tc>
          <w:tcPr>
            <w:tcW w:w="620" w:type="dxa"/>
            <w:vAlign w:val="bottom"/>
            <w:tcBorders>
              <w:top w:val="single" w:sz="8" w:color="auto"/>
            </w:tcBorders>
            <w:shd w:val="clear" w:color="auto" w:fill="000000"/>
          </w:tcPr>
          <w:p>
            <w:pPr>
              <w:spacing w:after="0" w:line="20" w:lineRule="exact"/>
              <w:rPr>
                <w:sz w:val="1"/>
                <w:szCs w:val="1"/>
                <w:color w:val="auto"/>
              </w:rPr>
            </w:pPr>
          </w:p>
        </w:tc>
        <w:tc>
          <w:tcPr>
            <w:tcW w:w="4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620" w:type="dxa"/>
            <w:vAlign w:val="bottom"/>
            <w:gridSpan w:val="2"/>
            <w:vMerge w:val="continue"/>
            <w:shd w:val="clear" w:color="auto" w:fill="CCEEFF"/>
          </w:tcPr>
          <w:p>
            <w:pPr>
              <w:spacing w:after="0"/>
              <w:rPr>
                <w:sz w:val="17"/>
                <w:szCs w:val="17"/>
                <w:color w:val="auto"/>
              </w:rPr>
            </w:pPr>
          </w:p>
        </w:tc>
        <w:tc>
          <w:tcPr>
            <w:tcW w:w="1060" w:type="dxa"/>
            <w:vAlign w:val="bottom"/>
            <w:gridSpan w:val="2"/>
            <w:shd w:val="clear" w:color="auto" w:fill="CCEEFF"/>
          </w:tcPr>
          <w:p>
            <w:pPr>
              <w:jc w:val="right"/>
              <w:ind w:right="260"/>
              <w:spacing w:after="0" w:line="196" w:lineRule="exact"/>
              <w:rPr>
                <w:sz w:val="20"/>
                <w:szCs w:val="20"/>
                <w:color w:val="auto"/>
              </w:rPr>
            </w:pPr>
            <w:r>
              <w:rPr>
                <w:rFonts w:ascii="Arial" w:cs="Arial" w:eastAsia="Arial" w:hAnsi="Arial"/>
                <w:sz w:val="18"/>
                <w:szCs w:val="18"/>
                <w:b w:val="1"/>
                <w:bCs w:val="1"/>
                <w:color w:val="auto"/>
              </w:rPr>
              <w:t>4.6%</w:t>
            </w: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80"/>
              <w:spacing w:after="0" w:line="196" w:lineRule="exact"/>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0"/>
        </w:trPr>
        <w:tc>
          <w:tcPr>
            <w:tcW w:w="6620" w:type="dxa"/>
            <w:vAlign w:val="bottom"/>
            <w:tcBorders>
              <w:top w:val="single" w:sz="8" w:color="CCEEFF"/>
              <w:bottom w:val="single" w:sz="8" w:color="CCEEFF"/>
            </w:tcBorders>
            <w:gridSpan w:val="2"/>
            <w:vMerge w:val="restart"/>
          </w:tcPr>
          <w:p>
            <w:pPr>
              <w:spacing w:after="0"/>
              <w:rPr>
                <w:sz w:val="20"/>
                <w:szCs w:val="20"/>
                <w:color w:val="auto"/>
              </w:rPr>
            </w:pPr>
            <w:r>
              <w:rPr>
                <w:rFonts w:ascii="Arial" w:cs="Arial" w:eastAsia="Arial" w:hAnsi="Arial"/>
                <w:sz w:val="18"/>
                <w:szCs w:val="18"/>
                <w:color w:val="auto"/>
              </w:rPr>
              <w:t>Expected life (in years)</w:t>
            </w:r>
          </w:p>
        </w:tc>
        <w:tc>
          <w:tcPr>
            <w:tcW w:w="6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620" w:type="dxa"/>
            <w:vAlign w:val="bottom"/>
            <w:gridSpan w:val="2"/>
            <w:vMerge w:val="continue"/>
          </w:tcPr>
          <w:p>
            <w:pPr>
              <w:spacing w:after="0"/>
              <w:rPr>
                <w:sz w:val="17"/>
                <w:szCs w:val="17"/>
                <w:color w:val="auto"/>
              </w:rPr>
            </w:pPr>
          </w:p>
        </w:tc>
        <w:tc>
          <w:tcPr>
            <w:tcW w:w="6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6</w:t>
            </w:r>
          </w:p>
        </w:tc>
        <w:tc>
          <w:tcPr>
            <w:tcW w:w="44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6</w:t>
            </w: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1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Using the Black-Scholes option valuation model, the weighted-average estimated fair value of stock options granted was $11.41 and $9.17 per share during the six months ended June 30, 2006 and 2005, respectively.</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is a summary of the status of all of our stock option plans for six months ended June 30, 2006:</w:t>
      </w:r>
    </w:p>
    <w:p>
      <w:pPr>
        <w:spacing w:after="0" w:line="187"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4500" w:type="dxa"/>
            <w:vAlign w:val="bottom"/>
          </w:tcPr>
          <w:p>
            <w:pPr>
              <w:spacing w:after="0"/>
              <w:rPr>
                <w:sz w:val="14"/>
                <w:szCs w:val="14"/>
                <w:color w:val="auto"/>
              </w:rPr>
            </w:pPr>
          </w:p>
        </w:tc>
        <w:tc>
          <w:tcPr>
            <w:tcW w:w="118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1"/>
              </w:rPr>
              <w:t>Number of options</w:t>
            </w:r>
          </w:p>
        </w:tc>
        <w:tc>
          <w:tcPr>
            <w:tcW w:w="220" w:type="dxa"/>
            <w:vAlign w:val="bottom"/>
          </w:tcPr>
          <w:p>
            <w:pPr>
              <w:spacing w:after="0"/>
              <w:rPr>
                <w:sz w:val="14"/>
                <w:szCs w:val="14"/>
                <w:color w:val="auto"/>
              </w:rPr>
            </w:pPr>
          </w:p>
        </w:tc>
        <w:tc>
          <w:tcPr>
            <w:tcW w:w="1180" w:type="dxa"/>
            <w:vAlign w:val="bottom"/>
            <w:gridSpan w:val="2"/>
          </w:tcPr>
          <w:p>
            <w:pPr>
              <w:jc w:val="right"/>
              <w:spacing w:after="0"/>
              <w:rPr>
                <w:sz w:val="20"/>
                <w:szCs w:val="20"/>
                <w:color w:val="auto"/>
              </w:rPr>
            </w:pPr>
            <w:r>
              <w:rPr>
                <w:rFonts w:ascii="Arial" w:cs="Arial" w:eastAsia="Arial" w:hAnsi="Arial"/>
                <w:sz w:val="14"/>
                <w:szCs w:val="14"/>
                <w:b w:val="1"/>
                <w:bCs w:val="1"/>
                <w:color w:val="auto"/>
                <w:w w:val="92"/>
              </w:rPr>
              <w:t>Weighted-average</w:t>
            </w: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62"/>
        </w:trPr>
        <w:tc>
          <w:tcPr>
            <w:tcW w:w="4500" w:type="dxa"/>
            <w:vAlign w:val="bottom"/>
          </w:tcPr>
          <w:p>
            <w:pPr>
              <w:spacing w:after="0"/>
              <w:rPr>
                <w:sz w:val="14"/>
                <w:szCs w:val="14"/>
                <w:color w:val="auto"/>
              </w:rPr>
            </w:pPr>
          </w:p>
        </w:tc>
        <w:tc>
          <w:tcPr>
            <w:tcW w:w="118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tcPr>
          <w:p>
            <w:pPr>
              <w:jc w:val="right"/>
              <w:ind w:right="92"/>
              <w:spacing w:after="0"/>
              <w:rPr>
                <w:sz w:val="20"/>
                <w:szCs w:val="20"/>
                <w:color w:val="auto"/>
              </w:rPr>
            </w:pPr>
            <w:r>
              <w:rPr>
                <w:rFonts w:ascii="Arial" w:cs="Arial" w:eastAsia="Arial" w:hAnsi="Arial"/>
                <w:sz w:val="14"/>
                <w:szCs w:val="14"/>
                <w:b w:val="1"/>
                <w:bCs w:val="1"/>
                <w:color w:val="auto"/>
                <w:w w:val="92"/>
              </w:rPr>
              <w:t>exercise price</w:t>
            </w: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29"/>
        </w:trPr>
        <w:tc>
          <w:tcPr>
            <w:tcW w:w="4500" w:type="dxa"/>
            <w:vAlign w:val="bottom"/>
          </w:tcPr>
          <w:p>
            <w:pPr>
              <w:spacing w:after="0"/>
              <w:rPr>
                <w:sz w:val="11"/>
                <w:szCs w:val="11"/>
                <w:color w:val="auto"/>
              </w:rPr>
            </w:pPr>
          </w:p>
        </w:tc>
        <w:tc>
          <w:tcPr>
            <w:tcW w:w="1180" w:type="dxa"/>
            <w:vAlign w:val="bottom"/>
            <w:tcBorders>
              <w:top w:val="single" w:sz="8" w:color="auto"/>
            </w:tcBorders>
          </w:tcPr>
          <w:p>
            <w:pPr>
              <w:jc w:val="right"/>
              <w:ind w:right="154"/>
              <w:spacing w:after="0" w:line="129" w:lineRule="exact"/>
              <w:rPr>
                <w:sz w:val="20"/>
                <w:szCs w:val="20"/>
                <w:color w:val="auto"/>
              </w:rPr>
            </w:pPr>
            <w:r>
              <w:rPr>
                <w:rFonts w:ascii="Arial" w:cs="Arial" w:eastAsia="Arial" w:hAnsi="Arial"/>
                <w:sz w:val="14"/>
                <w:szCs w:val="14"/>
                <w:b w:val="1"/>
                <w:bCs w:val="1"/>
                <w:color w:val="auto"/>
              </w:rPr>
              <w:t>(in millions)</w:t>
            </w:r>
          </w:p>
        </w:tc>
        <w:tc>
          <w:tcPr>
            <w:tcW w:w="2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40" w:type="dxa"/>
            <w:vAlign w:val="bottom"/>
            <w:tcBorders>
              <w:top w:val="single" w:sz="8" w:color="auto"/>
            </w:tcBorders>
          </w:tcPr>
          <w:p>
            <w:pPr>
              <w:jc w:val="center"/>
              <w:ind w:right="99"/>
              <w:spacing w:after="0" w:line="129" w:lineRule="exact"/>
              <w:rPr>
                <w:sz w:val="20"/>
                <w:szCs w:val="20"/>
                <w:color w:val="auto"/>
              </w:rPr>
            </w:pPr>
            <w:r>
              <w:rPr>
                <w:rFonts w:ascii="Arial" w:cs="Arial" w:eastAsia="Arial" w:hAnsi="Arial"/>
                <w:sz w:val="14"/>
                <w:szCs w:val="14"/>
                <w:b w:val="1"/>
                <w:bCs w:val="1"/>
                <w:color w:val="auto"/>
                <w:w w:val="94"/>
              </w:rPr>
              <w:t>(in millions)</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500" w:type="dxa"/>
            <w:vAlign w:val="bottom"/>
            <w:shd w:val="clear" w:color="auto" w:fill="CCEEFF"/>
          </w:tcPr>
          <w:p>
            <w:pPr>
              <w:spacing w:after="0"/>
              <w:rPr>
                <w:sz w:val="20"/>
                <w:szCs w:val="20"/>
                <w:color w:val="auto"/>
              </w:rPr>
            </w:pPr>
            <w:r>
              <w:rPr>
                <w:rFonts w:ascii="Arial" w:cs="Arial" w:eastAsia="Arial" w:hAnsi="Arial"/>
                <w:sz w:val="18"/>
                <w:szCs w:val="18"/>
                <w:color w:val="auto"/>
              </w:rPr>
              <w:t>Options outstanding at January 1, 2006</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7.8</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33.06</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00" w:type="dxa"/>
            <w:vAlign w:val="bottom"/>
          </w:tcPr>
          <w:p>
            <w:pPr>
              <w:ind w:left="180"/>
              <w:spacing w:after="0"/>
              <w:rPr>
                <w:sz w:val="20"/>
                <w:szCs w:val="20"/>
                <w:color w:val="auto"/>
              </w:rPr>
            </w:pPr>
            <w:r>
              <w:rPr>
                <w:rFonts w:ascii="Arial" w:cs="Arial" w:eastAsia="Arial" w:hAnsi="Arial"/>
                <w:sz w:val="18"/>
                <w:szCs w:val="18"/>
                <w:color w:val="auto"/>
              </w:rPr>
              <w:t>Granted</w:t>
            </w:r>
          </w:p>
        </w:tc>
        <w:tc>
          <w:tcPr>
            <w:tcW w:w="1180" w:type="dxa"/>
            <w:vAlign w:val="bottom"/>
          </w:tcPr>
          <w:p>
            <w:pPr>
              <w:jc w:val="right"/>
              <w:spacing w:after="0"/>
              <w:rPr>
                <w:sz w:val="20"/>
                <w:szCs w:val="20"/>
                <w:color w:val="auto"/>
              </w:rPr>
            </w:pPr>
            <w:r>
              <w:rPr>
                <w:rFonts w:ascii="Arial" w:cs="Arial" w:eastAsia="Arial" w:hAnsi="Arial"/>
                <w:sz w:val="18"/>
                <w:szCs w:val="18"/>
                <w:b w:val="1"/>
                <w:bCs w:val="1"/>
                <w:color w:val="auto"/>
              </w:rPr>
              <w:t>2.1</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49.27</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Exercised</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0.7</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29.07</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0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Canceled</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0.1</w:t>
            </w:r>
          </w:p>
        </w:tc>
        <w:tc>
          <w:tcPr>
            <w:tcW w:w="22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060" w:type="dxa"/>
            <w:vAlign w:val="bottom"/>
            <w:tcBorders>
              <w:bottom w:val="single" w:sz="8" w:color="CCEEFF"/>
            </w:tcBorders>
          </w:tcPr>
          <w:p>
            <w:pPr>
              <w:jc w:val="right"/>
              <w:spacing w:after="0"/>
              <w:rPr>
                <w:sz w:val="20"/>
                <w:szCs w:val="20"/>
                <w:color w:val="auto"/>
              </w:rPr>
            </w:pPr>
            <w:r>
              <w:rPr>
                <w:rFonts w:ascii="Arial" w:cs="Arial" w:eastAsia="Arial" w:hAnsi="Arial"/>
                <w:sz w:val="18"/>
                <w:szCs w:val="18"/>
                <w:b w:val="1"/>
                <w:bCs w:val="1"/>
                <w:color w:val="auto"/>
              </w:rPr>
              <w:t>40.06</w:t>
            </w:r>
          </w:p>
        </w:tc>
        <w:tc>
          <w:tcPr>
            <w:tcW w:w="220" w:type="dxa"/>
            <w:vAlign w:val="bottom"/>
            <w:tcBorders>
              <w:bottom w:val="single" w:sz="8" w:color="CCEEFF"/>
            </w:tcBorders>
          </w:tcPr>
          <w:p>
            <w:pPr>
              <w:spacing w:after="0"/>
              <w:rPr>
                <w:sz w:val="18"/>
                <w:szCs w:val="18"/>
                <w:color w:val="auto"/>
              </w:rPr>
            </w:pPr>
          </w:p>
        </w:tc>
        <w:tc>
          <w:tcPr>
            <w:tcW w:w="160" w:type="dxa"/>
            <w:vAlign w:val="bottom"/>
            <w:tcBorders>
              <w:bottom w:val="single" w:sz="8" w:color="CCEEFF"/>
            </w:tcBorders>
          </w:tcPr>
          <w:p>
            <w:pPr>
              <w:spacing w:after="0"/>
              <w:rPr>
                <w:sz w:val="18"/>
                <w:szCs w:val="18"/>
                <w:color w:val="auto"/>
              </w:rPr>
            </w:pPr>
          </w:p>
        </w:tc>
        <w:tc>
          <w:tcPr>
            <w:tcW w:w="104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5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Options outstanding at June 30, 2006</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9.1</w:t>
            </w:r>
          </w:p>
        </w:tc>
        <w:tc>
          <w:tcPr>
            <w:tcW w:w="3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37.07</w:t>
            </w:r>
          </w:p>
        </w:tc>
        <w:tc>
          <w:tcPr>
            <w:tcW w:w="3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168.7</w:t>
            </w:r>
          </w:p>
        </w:tc>
        <w:tc>
          <w:tcPr>
            <w:tcW w:w="6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500" w:type="dxa"/>
            <w:vAlign w:val="bottom"/>
            <w:vMerge w:val="restart"/>
          </w:tcPr>
          <w:p>
            <w:pPr>
              <w:spacing w:after="0"/>
              <w:rPr>
                <w:sz w:val="20"/>
                <w:szCs w:val="20"/>
                <w:color w:val="auto"/>
              </w:rPr>
            </w:pPr>
            <w:r>
              <w:rPr>
                <w:rFonts w:ascii="Arial" w:cs="Arial" w:eastAsia="Arial" w:hAnsi="Arial"/>
                <w:sz w:val="18"/>
                <w:szCs w:val="18"/>
                <w:color w:val="auto"/>
              </w:rPr>
              <w:t>Vested or expected to vest at June 30, 2006</w:t>
            </w:r>
          </w:p>
        </w:tc>
        <w:tc>
          <w:tcPr>
            <w:tcW w:w="1180" w:type="dxa"/>
            <w:vAlign w:val="bottom"/>
            <w:tcBorders>
              <w:bottom w:val="single" w:sz="8" w:color="auto"/>
            </w:tcBorders>
          </w:tcPr>
          <w:p>
            <w:pPr>
              <w:spacing w:after="0" w:line="20" w:lineRule="exact"/>
              <w:rPr>
                <w:sz w:val="1"/>
                <w:szCs w:val="1"/>
                <w:color w:val="auto"/>
              </w:rPr>
            </w:pPr>
          </w:p>
        </w:tc>
        <w:tc>
          <w:tcPr>
            <w:tcW w:w="34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36.67</w:t>
            </w:r>
          </w:p>
        </w:tc>
        <w:tc>
          <w:tcPr>
            <w:tcW w:w="380" w:type="dxa"/>
            <w:vAlign w:val="bottom"/>
            <w:gridSpan w:val="2"/>
            <w:vMerge w:val="restart"/>
          </w:tcPr>
          <w:p>
            <w:pPr>
              <w:jc w:val="right"/>
              <w:ind w:right="80"/>
              <w:spacing w:after="0"/>
              <w:rPr>
                <w:sz w:val="20"/>
                <w:szCs w:val="20"/>
                <w:color w:val="auto"/>
              </w:rPr>
            </w:pPr>
            <w:r>
              <w:rPr>
                <w:rFonts w:ascii="Arial" w:cs="Arial" w:eastAsia="Arial" w:hAnsi="Arial"/>
                <w:sz w:val="18"/>
                <w:szCs w:val="18"/>
                <w:b w:val="1"/>
                <w:bCs w:val="1"/>
                <w:color w:val="auto"/>
              </w:rPr>
              <w:t>$</w:t>
            </w:r>
          </w:p>
        </w:tc>
        <w:tc>
          <w:tcPr>
            <w:tcW w:w="10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167.5</w:t>
            </w: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4500" w:type="dxa"/>
            <w:vAlign w:val="bottom"/>
            <w:tcBorders>
              <w:bottom w:val="single" w:sz="8" w:color="CCEEFF"/>
            </w:tcBorders>
            <w:vMerge w:val="continue"/>
          </w:tcPr>
          <w:p>
            <w:pPr>
              <w:spacing w:after="0"/>
              <w:rPr>
                <w:sz w:val="20"/>
                <w:szCs w:val="20"/>
                <w:color w:val="auto"/>
              </w:rPr>
            </w:pPr>
          </w:p>
        </w:tc>
        <w:tc>
          <w:tcPr>
            <w:tcW w:w="11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8.8</w:t>
            </w:r>
          </w:p>
        </w:tc>
        <w:tc>
          <w:tcPr>
            <w:tcW w:w="340" w:type="dxa"/>
            <w:vAlign w:val="bottom"/>
            <w:tcBorders>
              <w:bottom w:val="single" w:sz="8" w:color="CCEEFF"/>
            </w:tcBorders>
            <w:gridSpan w:val="2"/>
            <w:vMerge w:val="continue"/>
          </w:tcPr>
          <w:p>
            <w:pPr>
              <w:spacing w:after="0"/>
              <w:rPr>
                <w:sz w:val="20"/>
                <w:szCs w:val="20"/>
                <w:color w:val="auto"/>
              </w:rPr>
            </w:pPr>
          </w:p>
        </w:tc>
        <w:tc>
          <w:tcPr>
            <w:tcW w:w="1060" w:type="dxa"/>
            <w:vAlign w:val="bottom"/>
            <w:tcBorders>
              <w:bottom w:val="single" w:sz="8" w:color="CCEEFF"/>
            </w:tcBorders>
            <w:vMerge w:val="continue"/>
          </w:tcPr>
          <w:p>
            <w:pPr>
              <w:spacing w:after="0"/>
              <w:rPr>
                <w:sz w:val="20"/>
                <w:szCs w:val="20"/>
                <w:color w:val="auto"/>
              </w:rPr>
            </w:pPr>
          </w:p>
        </w:tc>
        <w:tc>
          <w:tcPr>
            <w:tcW w:w="380" w:type="dxa"/>
            <w:vAlign w:val="bottom"/>
            <w:tcBorders>
              <w:bottom w:val="single" w:sz="8" w:color="CCEEFF"/>
            </w:tcBorders>
            <w:gridSpan w:val="2"/>
            <w:vMerge w:val="continue"/>
          </w:tcPr>
          <w:p>
            <w:pPr>
              <w:spacing w:after="0"/>
              <w:rPr>
                <w:sz w:val="20"/>
                <w:szCs w:val="20"/>
                <w:color w:val="auto"/>
              </w:rPr>
            </w:pPr>
          </w:p>
        </w:tc>
        <w:tc>
          <w:tcPr>
            <w:tcW w:w="1040" w:type="dxa"/>
            <w:vAlign w:val="bottom"/>
            <w:tcBorders>
              <w:bottom w:val="single" w:sz="8" w:color="CCEEFF"/>
            </w:tcBorders>
            <w:vMerge w:val="continue"/>
          </w:tcPr>
          <w:p>
            <w:pPr>
              <w:spacing w:after="0"/>
              <w:rPr>
                <w:sz w:val="20"/>
                <w:szCs w:val="20"/>
                <w:color w:val="auto"/>
              </w:rPr>
            </w:pPr>
          </w:p>
        </w:tc>
        <w:tc>
          <w:tcPr>
            <w:tcW w:w="6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197"/>
        </w:trPr>
        <w:tc>
          <w:tcPr>
            <w:tcW w:w="4500" w:type="dxa"/>
            <w:vAlign w:val="bottom"/>
            <w:tcBorders>
              <w:bottom w:val="single" w:sz="8" w:color="CCEEFF"/>
            </w:tcBorders>
            <w:shd w:val="clear" w:color="auto" w:fill="CCEEFF"/>
          </w:tcPr>
          <w:p>
            <w:pPr>
              <w:spacing w:after="0" w:line="190" w:lineRule="exact"/>
              <w:rPr>
                <w:sz w:val="20"/>
                <w:szCs w:val="20"/>
                <w:color w:val="auto"/>
              </w:rPr>
            </w:pPr>
            <w:r>
              <w:rPr>
                <w:rFonts w:ascii="Arial" w:cs="Arial" w:eastAsia="Arial" w:hAnsi="Arial"/>
                <w:sz w:val="18"/>
                <w:szCs w:val="18"/>
                <w:color w:val="auto"/>
              </w:rPr>
              <w:t>Options exercisable at June 30, 2006</w:t>
            </w:r>
          </w:p>
        </w:tc>
        <w:tc>
          <w:tcPr>
            <w:tcW w:w="11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4.7</w:t>
            </w:r>
          </w:p>
        </w:tc>
        <w:tc>
          <w:tcPr>
            <w:tcW w:w="340" w:type="dxa"/>
            <w:vAlign w:val="bottom"/>
            <w:tcBorders>
              <w:bottom w:val="single" w:sz="8" w:color="CCEEFF"/>
            </w:tcBorders>
            <w:gridSpan w:val="2"/>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w:t>
            </w:r>
          </w:p>
        </w:tc>
        <w:tc>
          <w:tcPr>
            <w:tcW w:w="1060" w:type="dxa"/>
            <w:vAlign w:val="bottom"/>
            <w:tcBorders>
              <w:bottom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31.21</w:t>
            </w:r>
          </w:p>
        </w:tc>
        <w:tc>
          <w:tcPr>
            <w:tcW w:w="380" w:type="dxa"/>
            <w:vAlign w:val="bottom"/>
            <w:tcBorders>
              <w:bottom w:val="single" w:sz="8" w:color="CCEEFF"/>
            </w:tcBorders>
            <w:gridSpan w:val="2"/>
            <w:shd w:val="clear" w:color="auto" w:fill="CCEEFF"/>
          </w:tcPr>
          <w:p>
            <w:pPr>
              <w:jc w:val="right"/>
              <w:ind w:right="80"/>
              <w:spacing w:after="0" w:line="196" w:lineRule="exact"/>
              <w:rPr>
                <w:sz w:val="20"/>
                <w:szCs w:val="20"/>
                <w:color w:val="auto"/>
              </w:rPr>
            </w:pPr>
            <w:r>
              <w:rPr>
                <w:rFonts w:ascii="Arial" w:cs="Arial" w:eastAsia="Arial" w:hAnsi="Arial"/>
                <w:sz w:val="18"/>
                <w:szCs w:val="18"/>
                <w:b w:val="1"/>
                <w:bCs w:val="1"/>
                <w:color w:val="auto"/>
              </w:rPr>
              <w:t>$</w:t>
            </w:r>
          </w:p>
        </w:tc>
        <w:tc>
          <w:tcPr>
            <w:tcW w:w="1040" w:type="dxa"/>
            <w:vAlign w:val="bottom"/>
            <w:tcBorders>
              <w:bottom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114.5</w:t>
            </w:r>
          </w:p>
        </w:tc>
        <w:tc>
          <w:tcPr>
            <w:tcW w:w="6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5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660" w:firstLine="648"/>
        <w:spacing w:after="0" w:line="277" w:lineRule="auto"/>
        <w:rPr>
          <w:sz w:val="20"/>
          <w:szCs w:val="20"/>
          <w:color w:val="auto"/>
        </w:rPr>
      </w:pPr>
      <w:r>
        <w:rPr>
          <w:rFonts w:ascii="Arial" w:cs="Arial" w:eastAsia="Arial" w:hAnsi="Arial"/>
          <w:sz w:val="18"/>
          <w:szCs w:val="18"/>
          <w:color w:val="auto"/>
        </w:rPr>
        <w:t>The total intrinsic value of stock options exercised was $20.3 million and $8.8 million during the six months ended June 30, 2006 and 2005, respectively.</w:t>
      </w:r>
    </w:p>
    <w:p>
      <w:pPr>
        <w:spacing w:after="0" w:line="170"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The following is a summary of weighted-average remaining contractual lives for stock options outstanding and the range of exercise prices on the stock options as of June 30, 2006:</w:t>
      </w:r>
    </w:p>
    <w:p>
      <w:pPr>
        <w:spacing w:after="0" w:line="132" w:lineRule="exact"/>
        <w:rPr>
          <w:sz w:val="20"/>
          <w:szCs w:val="20"/>
          <w:color w:val="auto"/>
        </w:rPr>
      </w:pPr>
    </w:p>
    <w:tbl>
      <w:tblPr>
        <w:tblLayout w:type="fixed"/>
        <w:tblInd w:w="1460" w:type="dxa"/>
        <w:tblCellMar>
          <w:top w:w="0" w:type="dxa"/>
          <w:left w:w="0" w:type="dxa"/>
          <w:bottom w:w="0" w:type="dxa"/>
          <w:right w:w="0" w:type="dxa"/>
        </w:tblCellMar>
      </w:tblPr>
      <w:tr>
        <w:trPr>
          <w:trHeight w:val="161"/>
        </w:trPr>
        <w:tc>
          <w:tcPr>
            <w:tcW w:w="57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4"/>
              </w:rPr>
              <w:t>Number of</w:t>
            </w: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92"/>
              </w:rPr>
              <w:t>Weighted-average</w:t>
            </w:r>
          </w:p>
        </w:tc>
        <w:tc>
          <w:tcPr>
            <w:tcW w:w="0" w:type="dxa"/>
            <w:vAlign w:val="bottom"/>
          </w:tcPr>
          <w:p>
            <w:pPr>
              <w:spacing w:after="0"/>
              <w:rPr>
                <w:sz w:val="1"/>
                <w:szCs w:val="1"/>
                <w:color w:val="auto"/>
              </w:rPr>
            </w:pPr>
          </w:p>
        </w:tc>
      </w:tr>
      <w:tr>
        <w:trPr>
          <w:trHeight w:val="135"/>
        </w:trPr>
        <w:tc>
          <w:tcPr>
            <w:tcW w:w="59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Range of exercise prices</w:t>
            </w:r>
          </w:p>
        </w:tc>
        <w:tc>
          <w:tcPr>
            <w:tcW w:w="136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86"/>
              </w:rPr>
              <w:t>options</w:t>
            </w:r>
          </w:p>
        </w:tc>
        <w:tc>
          <w:tcPr>
            <w:tcW w:w="11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5"/>
              </w:rPr>
              <w:t>remaining</w:t>
            </w:r>
          </w:p>
        </w:tc>
        <w:tc>
          <w:tcPr>
            <w:tcW w:w="0" w:type="dxa"/>
            <w:vAlign w:val="bottom"/>
          </w:tcPr>
          <w:p>
            <w:pPr>
              <w:spacing w:after="0"/>
              <w:rPr>
                <w:sz w:val="1"/>
                <w:szCs w:val="1"/>
                <w:color w:val="auto"/>
              </w:rPr>
            </w:pPr>
          </w:p>
        </w:tc>
      </w:tr>
      <w:tr>
        <w:trPr>
          <w:trHeight w:val="162"/>
        </w:trPr>
        <w:tc>
          <w:tcPr>
            <w:tcW w:w="5960" w:type="dxa"/>
            <w:vAlign w:val="bottom"/>
            <w:gridSpan w:val="2"/>
            <w:vMerge w:val="continue"/>
          </w:tcPr>
          <w:p>
            <w:pPr>
              <w:spacing w:after="0"/>
              <w:rPr>
                <w:sz w:val="14"/>
                <w:szCs w:val="14"/>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outstanding</w:t>
            </w: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92"/>
              </w:rPr>
              <w:t>contractual life</w:t>
            </w:r>
          </w:p>
        </w:tc>
        <w:tc>
          <w:tcPr>
            <w:tcW w:w="0" w:type="dxa"/>
            <w:vAlign w:val="bottom"/>
          </w:tcPr>
          <w:p>
            <w:pPr>
              <w:spacing w:after="0"/>
              <w:rPr>
                <w:sz w:val="1"/>
                <w:szCs w:val="1"/>
                <w:color w:val="auto"/>
              </w:rPr>
            </w:pPr>
          </w:p>
        </w:tc>
      </w:tr>
      <w:tr>
        <w:trPr>
          <w:trHeight w:val="180"/>
        </w:trPr>
        <w:tc>
          <w:tcPr>
            <w:tcW w:w="574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114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(in millions)</w:t>
            </w:r>
          </w:p>
        </w:tc>
        <w:tc>
          <w:tcPr>
            <w:tcW w:w="220" w:type="dxa"/>
            <w:vAlign w:val="bottom"/>
          </w:tcPr>
          <w:p>
            <w:pPr>
              <w:spacing w:after="0"/>
              <w:rPr>
                <w:sz w:val="15"/>
                <w:szCs w:val="15"/>
                <w:color w:val="auto"/>
              </w:rPr>
            </w:pPr>
          </w:p>
        </w:tc>
        <w:tc>
          <w:tcPr>
            <w:tcW w:w="114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ectPr>
          <w:pgSz w:w="11900" w:h="16881" w:orient="portrait"/>
          <w:cols w:equalWidth="0" w:num="1">
            <w:col w:w="11400"/>
          </w:cols>
          <w:pgMar w:left="240" w:top="337" w:right="259" w:bottom="0" w:gutter="0" w:footer="0" w:header="0"/>
        </w:sectPr>
      </w:pPr>
    </w:p>
    <w:bookmarkStart w:id="13" w:name="page14"/>
    <w:bookmarkEnd w:id="13"/>
    <w:p>
      <w:pPr>
        <w:spacing w:after="0" w:line="1" w:lineRule="exact"/>
        <w:rPr>
          <w:sz w:val="20"/>
          <w:szCs w:val="20"/>
          <w:color w:val="auto"/>
        </w:rPr>
      </w:pPr>
    </w:p>
    <w:tbl>
      <w:tblPr>
        <w:tblLayout w:type="fixed"/>
        <w:tblInd w:w="1460" w:type="dxa"/>
        <w:tblCellMar>
          <w:top w:w="0" w:type="dxa"/>
          <w:left w:w="0" w:type="dxa"/>
          <w:bottom w:w="0" w:type="dxa"/>
          <w:right w:w="0" w:type="dxa"/>
        </w:tblCellMar>
      </w:tblPr>
      <w:tr>
        <w:trPr>
          <w:trHeight w:val="216"/>
        </w:trPr>
        <w:tc>
          <w:tcPr>
            <w:tcW w:w="5960" w:type="dxa"/>
            <w:vAlign w:val="bottom"/>
            <w:shd w:val="clear" w:color="auto" w:fill="CCEEFF"/>
          </w:tcPr>
          <w:p>
            <w:pPr>
              <w:jc w:val="right"/>
              <w:ind w:right="4730"/>
              <w:spacing w:after="0"/>
              <w:rPr>
                <w:sz w:val="20"/>
                <w:szCs w:val="20"/>
                <w:color w:val="auto"/>
              </w:rPr>
            </w:pPr>
            <w:r>
              <w:rPr>
                <w:rFonts w:ascii="Arial" w:cs="Arial" w:eastAsia="Arial" w:hAnsi="Arial"/>
                <w:sz w:val="18"/>
                <w:szCs w:val="18"/>
                <w:color w:val="auto"/>
                <w:w w:val="88"/>
              </w:rPr>
              <w:t>$22.23 - $22.33</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0.7</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w:t>
            </w:r>
          </w:p>
        </w:tc>
      </w:tr>
      <w:tr>
        <w:trPr>
          <w:trHeight w:val="216"/>
        </w:trPr>
        <w:tc>
          <w:tcPr>
            <w:tcW w:w="5960" w:type="dxa"/>
            <w:vAlign w:val="bottom"/>
          </w:tcPr>
          <w:p>
            <w:pPr>
              <w:jc w:val="right"/>
              <w:ind w:right="4730"/>
              <w:spacing w:after="0"/>
              <w:rPr>
                <w:sz w:val="20"/>
                <w:szCs w:val="20"/>
                <w:color w:val="auto"/>
              </w:rPr>
            </w:pPr>
            <w:r>
              <w:rPr>
                <w:rFonts w:ascii="Arial" w:cs="Arial" w:eastAsia="Arial" w:hAnsi="Arial"/>
                <w:sz w:val="18"/>
                <w:szCs w:val="18"/>
                <w:color w:val="auto"/>
                <w:w w:val="88"/>
              </w:rPr>
              <w:t>$24.79 - $29.78</w:t>
            </w: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1.9</w:t>
            </w:r>
          </w:p>
        </w:tc>
        <w:tc>
          <w:tcPr>
            <w:tcW w:w="1420" w:type="dxa"/>
            <w:vAlign w:val="bottom"/>
          </w:tcPr>
          <w:p>
            <w:pPr>
              <w:jc w:val="right"/>
              <w:spacing w:after="0"/>
              <w:rPr>
                <w:sz w:val="20"/>
                <w:szCs w:val="20"/>
                <w:color w:val="auto"/>
              </w:rPr>
            </w:pPr>
            <w:r>
              <w:rPr>
                <w:rFonts w:ascii="Arial" w:cs="Arial" w:eastAsia="Arial" w:hAnsi="Arial"/>
                <w:sz w:val="18"/>
                <w:szCs w:val="18"/>
                <w:b w:val="1"/>
                <w:bCs w:val="1"/>
                <w:color w:val="auto"/>
              </w:rPr>
              <w:t>6</w:t>
            </w:r>
          </w:p>
        </w:tc>
      </w:tr>
      <w:tr>
        <w:trPr>
          <w:trHeight w:val="216"/>
        </w:trPr>
        <w:tc>
          <w:tcPr>
            <w:tcW w:w="5960" w:type="dxa"/>
            <w:vAlign w:val="bottom"/>
            <w:shd w:val="clear" w:color="auto" w:fill="CCEEFF"/>
          </w:tcPr>
          <w:p>
            <w:pPr>
              <w:jc w:val="right"/>
              <w:ind w:right="4730"/>
              <w:spacing w:after="0"/>
              <w:rPr>
                <w:sz w:val="20"/>
                <w:szCs w:val="20"/>
                <w:color w:val="auto"/>
              </w:rPr>
            </w:pPr>
            <w:r>
              <w:rPr>
                <w:rFonts w:ascii="Arial" w:cs="Arial" w:eastAsia="Arial" w:hAnsi="Arial"/>
                <w:sz w:val="18"/>
                <w:szCs w:val="18"/>
                <w:color w:val="auto"/>
                <w:w w:val="88"/>
              </w:rPr>
              <w:t>$30.16 - $36.50</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w:t>
            </w:r>
          </w:p>
        </w:tc>
      </w:tr>
      <w:tr>
        <w:trPr>
          <w:trHeight w:val="216"/>
        </w:trPr>
        <w:tc>
          <w:tcPr>
            <w:tcW w:w="5960" w:type="dxa"/>
            <w:vAlign w:val="bottom"/>
          </w:tcPr>
          <w:p>
            <w:pPr>
              <w:jc w:val="right"/>
              <w:ind w:right="4730"/>
              <w:spacing w:after="0"/>
              <w:rPr>
                <w:sz w:val="20"/>
                <w:szCs w:val="20"/>
                <w:color w:val="auto"/>
              </w:rPr>
            </w:pPr>
            <w:r>
              <w:rPr>
                <w:rFonts w:ascii="Arial" w:cs="Arial" w:eastAsia="Arial" w:hAnsi="Arial"/>
                <w:sz w:val="18"/>
                <w:szCs w:val="18"/>
                <w:color w:val="auto"/>
                <w:w w:val="88"/>
              </w:rPr>
              <w:t>$38.20 - $44.13</w:t>
            </w: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2.5</w:t>
            </w:r>
          </w:p>
        </w:tc>
        <w:tc>
          <w:tcPr>
            <w:tcW w:w="1420" w:type="dxa"/>
            <w:vAlign w:val="bottom"/>
          </w:tcPr>
          <w:p>
            <w:pPr>
              <w:jc w:val="right"/>
              <w:spacing w:after="0"/>
              <w:rPr>
                <w:sz w:val="20"/>
                <w:szCs w:val="20"/>
                <w:color w:val="auto"/>
              </w:rPr>
            </w:pPr>
            <w:r>
              <w:rPr>
                <w:rFonts w:ascii="Arial" w:cs="Arial" w:eastAsia="Arial" w:hAnsi="Arial"/>
                <w:sz w:val="18"/>
                <w:szCs w:val="18"/>
                <w:b w:val="1"/>
                <w:bCs w:val="1"/>
                <w:color w:val="auto"/>
              </w:rPr>
              <w:t>9</w:t>
            </w:r>
          </w:p>
        </w:tc>
      </w:tr>
      <w:tr>
        <w:trPr>
          <w:trHeight w:val="216"/>
        </w:trPr>
        <w:tc>
          <w:tcPr>
            <w:tcW w:w="5960" w:type="dxa"/>
            <w:vAlign w:val="bottom"/>
            <w:shd w:val="clear" w:color="auto" w:fill="CCEEFF"/>
          </w:tcPr>
          <w:p>
            <w:pPr>
              <w:jc w:val="right"/>
              <w:ind w:right="4730"/>
              <w:spacing w:after="0"/>
              <w:rPr>
                <w:sz w:val="20"/>
                <w:szCs w:val="20"/>
                <w:color w:val="auto"/>
              </w:rPr>
            </w:pPr>
            <w:r>
              <w:rPr>
                <w:rFonts w:ascii="Arial" w:cs="Arial" w:eastAsia="Arial" w:hAnsi="Arial"/>
                <w:sz w:val="18"/>
                <w:szCs w:val="18"/>
                <w:color w:val="auto"/>
                <w:w w:val="88"/>
              </w:rPr>
              <w:t>$46.40 - $54.45</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w:t>
            </w:r>
          </w:p>
        </w:tc>
      </w:tr>
      <w:tr>
        <w:trPr>
          <w:trHeight w:val="210"/>
        </w:trPr>
        <w:tc>
          <w:tcPr>
            <w:tcW w:w="5960" w:type="dxa"/>
            <w:vAlign w:val="bottom"/>
          </w:tcPr>
          <w:p>
            <w:pPr>
              <w:jc w:val="right"/>
              <w:ind w:right="4730"/>
              <w:spacing w:after="0"/>
              <w:rPr>
                <w:sz w:val="20"/>
                <w:szCs w:val="20"/>
                <w:color w:val="auto"/>
              </w:rPr>
            </w:pPr>
            <w:r>
              <w:rPr>
                <w:rFonts w:ascii="Arial" w:cs="Arial" w:eastAsia="Arial" w:hAnsi="Arial"/>
                <w:sz w:val="18"/>
                <w:szCs w:val="18"/>
                <w:color w:val="auto"/>
                <w:w w:val="88"/>
              </w:rPr>
              <w:t>$22.23 - $54.45</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9.1</w:t>
            </w:r>
          </w:p>
        </w:tc>
        <w:tc>
          <w:tcPr>
            <w:tcW w:w="1420" w:type="dxa"/>
            <w:vAlign w:val="bottom"/>
          </w:tcPr>
          <w:p>
            <w:pPr>
              <w:jc w:val="right"/>
              <w:spacing w:after="0"/>
              <w:rPr>
                <w:sz w:val="20"/>
                <w:szCs w:val="20"/>
                <w:color w:val="auto"/>
              </w:rPr>
            </w:pPr>
            <w:r>
              <w:rPr>
                <w:rFonts w:ascii="Arial" w:cs="Arial" w:eastAsia="Arial" w:hAnsi="Arial"/>
                <w:sz w:val="18"/>
                <w:szCs w:val="18"/>
                <w:b w:val="1"/>
                <w:bCs w:val="1"/>
                <w:color w:val="auto"/>
              </w:rPr>
              <w:t>8</w:t>
            </w:r>
          </w:p>
        </w:tc>
      </w:tr>
      <w:tr>
        <w:trPr>
          <w:trHeight w:val="20"/>
        </w:trPr>
        <w:tc>
          <w:tcPr>
            <w:tcW w:w="596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weighted-average remaining contractual lives for stock options exercisable is approximately 8 years as of June 30, 2006.</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ind w:right="7740" w:firstLine="8"/>
        <w:spacing w:after="0" w:line="503" w:lineRule="auto"/>
        <w:tabs>
          <w:tab w:leader="none" w:pos="18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Stock-Based Compensation Plans (continued) Performance Share Awards</w:t>
      </w:r>
    </w:p>
    <w:p>
      <w:pPr>
        <w:spacing w:after="0" w:line="1" w:lineRule="exact"/>
        <w:rPr>
          <w:sz w:val="20"/>
          <w:szCs w:val="20"/>
          <w:color w:val="auto"/>
        </w:rPr>
      </w:pPr>
    </w:p>
    <w:p>
      <w:pPr>
        <w:ind w:firstLine="648"/>
        <w:spacing w:after="0" w:line="272" w:lineRule="auto"/>
        <w:rPr>
          <w:sz w:val="20"/>
          <w:szCs w:val="20"/>
          <w:color w:val="auto"/>
        </w:rPr>
      </w:pPr>
      <w:r>
        <w:rPr>
          <w:rFonts w:ascii="Arial" w:cs="Arial" w:eastAsia="Arial" w:hAnsi="Arial"/>
          <w:sz w:val="17"/>
          <w:szCs w:val="17"/>
          <w:color w:val="auto"/>
        </w:rPr>
        <w:t>Beginning in 2006, we granted performance share awards to certain employees. The performance share awards are treated as an equity award and are paid in shares. Whether the performance shares are earned depends upon the participant’s continued employment through the performance period and our performance against three-year goals set at the beginning of the performance period. A return on equity objective and an earnings per share objective must be achieved for any of the performance shares to be earned. If the performance requirements are not met, the performance shares will be forfeited and no compensation cost is recognized and any previously recognized compensation cost is reversed. There is no maximum contractual term on these awards. As of June 30, 2006, there were $30.6 million of total unrecognized compensation costs related to nonvested performance share awards granted. The cost is expected to be recognized over a weighted-average service period of approximately 3 years.</w:t>
      </w:r>
    </w:p>
    <w:p>
      <w:pPr>
        <w:spacing w:after="0" w:line="178" w:lineRule="exact"/>
        <w:rPr>
          <w:sz w:val="20"/>
          <w:szCs w:val="20"/>
          <w:color w:val="auto"/>
        </w:rPr>
      </w:pPr>
    </w:p>
    <w:p>
      <w:pPr>
        <w:jc w:val="both"/>
        <w:ind w:right="340" w:firstLine="648"/>
        <w:spacing w:after="0" w:line="264" w:lineRule="auto"/>
        <w:rPr>
          <w:sz w:val="20"/>
          <w:szCs w:val="20"/>
          <w:color w:val="auto"/>
        </w:rPr>
      </w:pPr>
      <w:r>
        <w:rPr>
          <w:rFonts w:ascii="Arial" w:cs="Arial" w:eastAsia="Arial" w:hAnsi="Arial"/>
          <w:sz w:val="18"/>
          <w:szCs w:val="18"/>
          <w:color w:val="auto"/>
        </w:rPr>
        <w:t>The fair value of performance share awards is determined based on the closing stock price of our shares on the grant date. The weighted-average grant-date fair value of performance share awards granted during the six months ended June 30, 2006 was $49.27. Because no performance share awards vested, the intrinsic value is $0.0 million for the six months ended June 30, 2006.</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is a summary of activity for the nonvested performance share awards for the six months ended June 30, 2006:</w:t>
      </w:r>
    </w:p>
    <w:p>
      <w:pPr>
        <w:spacing w:after="0" w:line="187" w:lineRule="exact"/>
        <w:rPr>
          <w:sz w:val="20"/>
          <w:szCs w:val="20"/>
          <w:color w:val="auto"/>
        </w:rPr>
      </w:pPr>
    </w:p>
    <w:tbl>
      <w:tblPr>
        <w:tblLayout w:type="fixed"/>
        <w:tblInd w:w="1480" w:type="dxa"/>
        <w:tblCellMar>
          <w:top w:w="0" w:type="dxa"/>
          <w:left w:w="0" w:type="dxa"/>
          <w:bottom w:w="0" w:type="dxa"/>
          <w:right w:w="0" w:type="dxa"/>
        </w:tblCellMar>
      </w:tblPr>
      <w:tr>
        <w:trPr>
          <w:trHeight w:val="161"/>
        </w:trPr>
        <w:tc>
          <w:tcPr>
            <w:tcW w:w="5600" w:type="dxa"/>
            <w:vAlign w:val="bottom"/>
          </w:tcPr>
          <w:p>
            <w:pPr>
              <w:spacing w:after="0"/>
              <w:rPr>
                <w:sz w:val="14"/>
                <w:szCs w:val="14"/>
                <w:color w:val="auto"/>
              </w:rPr>
            </w:pP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94"/>
              </w:rPr>
              <w:t>Number of</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Weighted-average</w:t>
            </w:r>
          </w:p>
        </w:tc>
        <w:tc>
          <w:tcPr>
            <w:tcW w:w="0" w:type="dxa"/>
            <w:vAlign w:val="bottom"/>
          </w:tcPr>
          <w:p>
            <w:pPr>
              <w:spacing w:after="0"/>
              <w:rPr>
                <w:sz w:val="1"/>
                <w:szCs w:val="1"/>
                <w:color w:val="auto"/>
              </w:rPr>
            </w:pPr>
          </w:p>
        </w:tc>
      </w:tr>
      <w:tr>
        <w:trPr>
          <w:trHeight w:val="135"/>
        </w:trPr>
        <w:tc>
          <w:tcPr>
            <w:tcW w:w="5600" w:type="dxa"/>
            <w:vAlign w:val="bottom"/>
          </w:tcPr>
          <w:p>
            <w:pPr>
              <w:spacing w:after="0"/>
              <w:rPr>
                <w:sz w:val="11"/>
                <w:szCs w:val="11"/>
                <w:color w:val="auto"/>
              </w:rPr>
            </w:pPr>
          </w:p>
        </w:tc>
        <w:tc>
          <w:tcPr>
            <w:tcW w:w="13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1"/>
              </w:rPr>
              <w:t>performance share</w:t>
            </w: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8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5600" w:type="dxa"/>
            <w:vAlign w:val="bottom"/>
          </w:tcPr>
          <w:p>
            <w:pPr>
              <w:spacing w:after="0"/>
              <w:rPr>
                <w:sz w:val="14"/>
                <w:szCs w:val="14"/>
                <w:color w:val="auto"/>
              </w:rPr>
            </w:pP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95"/>
              </w:rPr>
              <w:t>awards</w:t>
            </w:r>
          </w:p>
        </w:tc>
        <w:tc>
          <w:tcPr>
            <w:tcW w:w="220" w:type="dxa"/>
            <w:vAlign w:val="bottom"/>
          </w:tcPr>
          <w:p>
            <w:pPr>
              <w:spacing w:after="0"/>
              <w:rPr>
                <w:sz w:val="14"/>
                <w:szCs w:val="14"/>
                <w:color w:val="auto"/>
              </w:rPr>
            </w:pPr>
          </w:p>
        </w:tc>
        <w:tc>
          <w:tcPr>
            <w:tcW w:w="1360" w:type="dxa"/>
            <w:vAlign w:val="bottom"/>
            <w:gridSpan w:val="3"/>
          </w:tcPr>
          <w:p>
            <w:pPr>
              <w:spacing w:after="0"/>
              <w:rPr>
                <w:sz w:val="20"/>
                <w:szCs w:val="20"/>
                <w:color w:val="auto"/>
              </w:rPr>
            </w:pPr>
            <w:r>
              <w:rPr>
                <w:rFonts w:ascii="Arial" w:cs="Arial" w:eastAsia="Arial" w:hAnsi="Arial"/>
                <w:sz w:val="14"/>
                <w:szCs w:val="14"/>
                <w:b w:val="1"/>
                <w:bCs w:val="1"/>
                <w:color w:val="auto"/>
              </w:rPr>
              <w:t>grant-date fair value</w:t>
            </w:r>
          </w:p>
        </w:tc>
        <w:tc>
          <w:tcPr>
            <w:tcW w:w="0" w:type="dxa"/>
            <w:vAlign w:val="bottom"/>
          </w:tcPr>
          <w:p>
            <w:pPr>
              <w:spacing w:after="0"/>
              <w:rPr>
                <w:sz w:val="1"/>
                <w:szCs w:val="1"/>
                <w:color w:val="auto"/>
              </w:rPr>
            </w:pPr>
          </w:p>
        </w:tc>
      </w:tr>
      <w:tr>
        <w:trPr>
          <w:trHeight w:val="129"/>
        </w:trPr>
        <w:tc>
          <w:tcPr>
            <w:tcW w:w="5600" w:type="dxa"/>
            <w:vAlign w:val="bottom"/>
          </w:tcPr>
          <w:p>
            <w:pPr>
              <w:spacing w:after="0"/>
              <w:rPr>
                <w:sz w:val="11"/>
                <w:szCs w:val="11"/>
                <w:color w:val="auto"/>
              </w:rPr>
            </w:pPr>
          </w:p>
        </w:tc>
        <w:tc>
          <w:tcPr>
            <w:tcW w:w="130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4"/>
              </w:rPr>
              <w:t>(in millions)</w:t>
            </w:r>
          </w:p>
        </w:tc>
        <w:tc>
          <w:tcPr>
            <w:tcW w:w="22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22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600" w:type="dxa"/>
            <w:vAlign w:val="bottom"/>
            <w:shd w:val="clear" w:color="auto" w:fill="CCEEFF"/>
          </w:tcPr>
          <w:p>
            <w:pPr>
              <w:spacing w:after="0"/>
              <w:rPr>
                <w:sz w:val="20"/>
                <w:szCs w:val="20"/>
                <w:color w:val="auto"/>
              </w:rPr>
            </w:pPr>
            <w:r>
              <w:rPr>
                <w:rFonts w:ascii="Arial" w:cs="Arial" w:eastAsia="Arial" w:hAnsi="Arial"/>
                <w:sz w:val="18"/>
                <w:szCs w:val="18"/>
                <w:color w:val="auto"/>
              </w:rPr>
              <w:t>Nonvested performance share awards at January 1, 2006</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¾</w:t>
            </w:r>
          </w:p>
        </w:tc>
        <w:tc>
          <w:tcPr>
            <w:tcW w:w="300" w:type="dxa"/>
            <w:vAlign w:val="bottom"/>
            <w:gridSpan w:val="2"/>
            <w:shd w:val="clear" w:color="auto" w:fill="CCEEFF"/>
          </w:tcPr>
          <w:p>
            <w:pPr>
              <w:ind w:left="220"/>
              <w:spacing w:after="0"/>
              <w:rPr>
                <w:sz w:val="20"/>
                <w:szCs w:val="20"/>
                <w:color w:val="auto"/>
              </w:rPr>
            </w:pPr>
            <w:r>
              <w:rPr>
                <w:rFonts w:ascii="Arial" w:cs="Arial" w:eastAsia="Arial" w:hAnsi="Arial"/>
                <w:sz w:val="15"/>
                <w:szCs w:val="15"/>
                <w:b w:val="1"/>
                <w:bCs w:val="1"/>
                <w:color w:val="auto"/>
                <w:w w:val="71"/>
              </w:rPr>
              <w:t>$</w:t>
            </w:r>
          </w:p>
        </w:tc>
        <w:tc>
          <w:tcPr>
            <w:tcW w:w="12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5600" w:type="dxa"/>
            <w:vAlign w:val="bottom"/>
          </w:tcPr>
          <w:p>
            <w:pPr>
              <w:ind w:left="180"/>
              <w:spacing w:after="0"/>
              <w:rPr>
                <w:sz w:val="20"/>
                <w:szCs w:val="20"/>
                <w:color w:val="auto"/>
              </w:rPr>
            </w:pPr>
            <w:r>
              <w:rPr>
                <w:rFonts w:ascii="Arial" w:cs="Arial" w:eastAsia="Arial" w:hAnsi="Arial"/>
                <w:sz w:val="18"/>
                <w:szCs w:val="18"/>
                <w:color w:val="auto"/>
              </w:rPr>
              <w:t>Granted</w:t>
            </w:r>
          </w:p>
        </w:tc>
        <w:tc>
          <w:tcPr>
            <w:tcW w:w="1300" w:type="dxa"/>
            <w:vAlign w:val="bottom"/>
          </w:tcPr>
          <w:p>
            <w:pPr>
              <w:jc w:val="right"/>
              <w:spacing w:after="0"/>
              <w:rPr>
                <w:sz w:val="20"/>
                <w:szCs w:val="20"/>
                <w:color w:val="auto"/>
              </w:rPr>
            </w:pPr>
            <w:r>
              <w:rPr>
                <w:rFonts w:ascii="Arial" w:cs="Arial" w:eastAsia="Arial" w:hAnsi="Arial"/>
                <w:sz w:val="18"/>
                <w:szCs w:val="18"/>
                <w:b w:val="1"/>
                <w:bCs w:val="1"/>
                <w:color w:val="auto"/>
              </w:rPr>
              <w:t>0.8</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49.27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Vested</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¾</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¾</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Forfeited</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¾</w:t>
            </w:r>
          </w:p>
        </w:tc>
        <w:tc>
          <w:tcPr>
            <w:tcW w:w="2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220" w:type="dxa"/>
            <w:vAlign w:val="bottom"/>
            <w:tcBorders>
              <w:bottom w:val="single" w:sz="8" w:color="CCEEFF"/>
            </w:tcBorders>
          </w:tcPr>
          <w:p>
            <w:pPr>
              <w:jc w:val="right"/>
              <w:spacing w:after="0"/>
              <w:rPr>
                <w:sz w:val="20"/>
                <w:szCs w:val="20"/>
                <w:color w:val="auto"/>
              </w:rPr>
            </w:pPr>
            <w:r>
              <w:rPr>
                <w:rFonts w:ascii="Arial" w:cs="Arial" w:eastAsia="Arial" w:hAnsi="Arial"/>
                <w:sz w:val="18"/>
                <w:szCs w:val="18"/>
                <w:b w:val="1"/>
                <w:bCs w:val="1"/>
                <w:color w:val="auto"/>
              </w:rPr>
              <w:t>¾</w:t>
            </w:r>
          </w:p>
        </w:tc>
        <w:tc>
          <w:tcPr>
            <w:tcW w:w="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6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Nonvested performance share awards at June 30, 2006</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0.8</w:t>
            </w:r>
          </w:p>
        </w:tc>
        <w:tc>
          <w:tcPr>
            <w:tcW w:w="300" w:type="dxa"/>
            <w:vAlign w:val="bottom"/>
            <w:tcBorders>
              <w:bottom w:val="single" w:sz="8" w:color="CCEEFF"/>
            </w:tcBorders>
            <w:gridSpan w:val="2"/>
            <w:shd w:val="clear" w:color="auto" w:fill="CCEEFF"/>
          </w:tcPr>
          <w:p>
            <w:pPr>
              <w:ind w:left="220"/>
              <w:spacing w:after="0"/>
              <w:rPr>
                <w:sz w:val="20"/>
                <w:szCs w:val="20"/>
                <w:color w:val="auto"/>
              </w:rPr>
            </w:pPr>
            <w:r>
              <w:rPr>
                <w:rFonts w:ascii="Arial" w:cs="Arial" w:eastAsia="Arial" w:hAnsi="Arial"/>
                <w:sz w:val="15"/>
                <w:szCs w:val="15"/>
                <w:b w:val="1"/>
                <w:bCs w:val="1"/>
                <w:color w:val="auto"/>
                <w:w w:val="71"/>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49.27</w:t>
            </w:r>
          </w:p>
        </w:tc>
        <w:tc>
          <w:tcPr>
            <w:tcW w:w="6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60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Restricted Stock Units</w:t>
      </w:r>
    </w:p>
    <w:p>
      <w:pPr>
        <w:spacing w:after="0" w:line="229" w:lineRule="exact"/>
        <w:rPr>
          <w:sz w:val="20"/>
          <w:szCs w:val="20"/>
          <w:color w:val="auto"/>
        </w:rPr>
      </w:pPr>
    </w:p>
    <w:p>
      <w:pPr>
        <w:ind w:right="340" w:firstLine="648"/>
        <w:spacing w:after="0" w:line="264" w:lineRule="auto"/>
        <w:rPr>
          <w:sz w:val="20"/>
          <w:szCs w:val="20"/>
          <w:color w:val="auto"/>
        </w:rPr>
      </w:pPr>
      <w:r>
        <w:rPr>
          <w:rFonts w:ascii="Arial" w:cs="Arial" w:eastAsia="Arial" w:hAnsi="Arial"/>
          <w:sz w:val="18"/>
          <w:szCs w:val="18"/>
          <w:color w:val="auto"/>
        </w:rPr>
        <w:t>We issue restricted stock units under the 2005 Directors Stock Plan, Directors Stock Plan, 2005 Stock Incentive Plan, and Stock Incentive Plan. Restricted stock units are treated as an equity award. The fair value of restricted stock units is determined based on the closing stock price of our common shares on the grant date. There is no maximum contractual term on these awards.</w:t>
      </w:r>
    </w:p>
    <w:p>
      <w:pPr>
        <w:spacing w:after="0" w:line="181" w:lineRule="exact"/>
        <w:rPr>
          <w:sz w:val="20"/>
          <w:szCs w:val="20"/>
          <w:color w:val="auto"/>
        </w:rPr>
      </w:pPr>
    </w:p>
    <w:p>
      <w:pPr>
        <w:jc w:val="both"/>
        <w:ind w:right="140" w:firstLine="648"/>
        <w:spacing w:after="0" w:line="264" w:lineRule="auto"/>
        <w:rPr>
          <w:sz w:val="20"/>
          <w:szCs w:val="20"/>
          <w:color w:val="auto"/>
        </w:rPr>
      </w:pPr>
      <w:r>
        <w:rPr>
          <w:rFonts w:ascii="Arial" w:cs="Arial" w:eastAsia="Arial" w:hAnsi="Arial"/>
          <w:sz w:val="18"/>
          <w:szCs w:val="18"/>
          <w:color w:val="auto"/>
        </w:rPr>
        <w:t>Restricted stock units were issued to certain employees and agents pursuant to the Stock Incentive Plan and 2005 Stock Incentive Plan. Under these plans, awards have a graded or cliff vesting over a three-year service period. When service for the Company ceases, all vesting stops and unvested units are forfeited.</w:t>
      </w:r>
    </w:p>
    <w:p>
      <w:pPr>
        <w:spacing w:after="0" w:line="181" w:lineRule="exact"/>
        <w:rPr>
          <w:sz w:val="20"/>
          <w:szCs w:val="20"/>
          <w:color w:val="auto"/>
        </w:rPr>
      </w:pPr>
    </w:p>
    <w:p>
      <w:pPr>
        <w:ind w:right="180" w:firstLine="648"/>
        <w:spacing w:after="0" w:line="255" w:lineRule="auto"/>
        <w:rPr>
          <w:sz w:val="20"/>
          <w:szCs w:val="20"/>
          <w:color w:val="auto"/>
        </w:rPr>
      </w:pPr>
      <w:r>
        <w:rPr>
          <w:rFonts w:ascii="Arial" w:cs="Arial" w:eastAsia="Arial" w:hAnsi="Arial"/>
          <w:sz w:val="18"/>
          <w:szCs w:val="18"/>
          <w:color w:val="auto"/>
        </w:rPr>
        <w:t>Beginning in 2005, pursuant to the 2005 Directors Stock Plan, restricted stock units are now granted to each non-employee director in office immediately following each annual meeting of stockholders and to each person who becomes a member of the Board other than on the date of the annual meeting of stockholders. Prior to this time, awards of restricted stock units were granted pursuant to the Directors Stock Plan on the date of each Board member’s election or re-election date. Under the 2005 Directors Stock Plan, awards are granted on an annual basis and cliff vest over the one-year service period. Non-vested awards under the prior plan have graded vesting over a three-year service period. When service to the Company ceases, all vesting stops and unvested units are forfeited.</w:t>
      </w:r>
    </w:p>
    <w:p>
      <w:pPr>
        <w:spacing w:after="0" w:line="193" w:lineRule="exact"/>
        <w:rPr>
          <w:sz w:val="20"/>
          <w:szCs w:val="20"/>
          <w:color w:val="auto"/>
        </w:rPr>
      </w:pPr>
    </w:p>
    <w:p>
      <w:pPr>
        <w:ind w:firstLine="648"/>
        <w:spacing w:after="0" w:line="342" w:lineRule="auto"/>
        <w:rPr>
          <w:sz w:val="20"/>
          <w:szCs w:val="20"/>
          <w:color w:val="auto"/>
        </w:rPr>
      </w:pPr>
      <w:r>
        <w:rPr>
          <w:rFonts w:ascii="Arial" w:cs="Arial" w:eastAsia="Arial" w:hAnsi="Arial"/>
          <w:sz w:val="16"/>
          <w:szCs w:val="16"/>
          <w:color w:val="auto"/>
        </w:rPr>
        <w:t>For the six months ended June 30, 2006 and 2005, 0.2 million and 0.4 million restricted stock units were granted, respectively. The weighted-average grant-date fair value of restricted stock units granted during the six months ended June 30, 2006 and 2005 was $49.67 and $39.11, respectively.</w:t>
      </w:r>
    </w:p>
    <w:p>
      <w:pPr>
        <w:spacing w:after="0" w:line="200" w:lineRule="exact"/>
        <w:rPr>
          <w:sz w:val="20"/>
          <w:szCs w:val="20"/>
          <w:color w:val="auto"/>
        </w:rPr>
      </w:pPr>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40" w:right="239" w:bottom="707" w:gutter="0" w:footer="0" w:header="0"/>
        </w:sectPr>
      </w:pPr>
    </w:p>
    <w:bookmarkStart w:id="14" w:name="page15"/>
    <w:bookmarkEnd w:id="14"/>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Stock-Based Compensation Plans (continued)</w:t>
      </w:r>
    </w:p>
    <w:p>
      <w:pPr>
        <w:spacing w:after="0" w:line="229"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The actual tax benefits realized for the tax deductions for option exercise under these share-based payment arrangements for the six months ended June 30, 2006 was $1.3 million.</w:t>
      </w:r>
    </w:p>
    <w:p>
      <w:pPr>
        <w:spacing w:after="0" w:line="170" w:lineRule="exact"/>
        <w:rPr>
          <w:sz w:val="20"/>
          <w:szCs w:val="20"/>
          <w:color w:val="auto"/>
        </w:rPr>
      </w:pPr>
    </w:p>
    <w:p>
      <w:pPr>
        <w:ind w:right="140" w:firstLine="648"/>
        <w:spacing w:after="0" w:line="286" w:lineRule="auto"/>
        <w:rPr>
          <w:sz w:val="20"/>
          <w:szCs w:val="20"/>
          <w:color w:val="auto"/>
        </w:rPr>
      </w:pPr>
      <w:r>
        <w:rPr>
          <w:rFonts w:ascii="Arial" w:cs="Arial" w:eastAsia="Arial" w:hAnsi="Arial"/>
          <w:sz w:val="17"/>
          <w:szCs w:val="17"/>
          <w:color w:val="auto"/>
        </w:rPr>
        <w:t>As of June 30, 2006, there were $16.6 million of total unrecognized compensation costs related to nonvested restricted stock unit awards granted under these plans. The cost is expected to be recognized over a weighted-average period of approximately 1 year. The total intrinsic value of restricted stock units vested was $4.8 million and $1.1 million, during the six months ended June 30, 2006 and 2005, respectively.</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is a summary of activity for the nonvested restricted stock units for the six months ended June 30, 2006:</w:t>
      </w:r>
    </w:p>
    <w:p>
      <w:pPr>
        <w:spacing w:after="0" w:line="187" w:lineRule="exact"/>
        <w:rPr>
          <w:sz w:val="20"/>
          <w:szCs w:val="20"/>
          <w:color w:val="auto"/>
        </w:rPr>
      </w:pPr>
    </w:p>
    <w:tbl>
      <w:tblPr>
        <w:tblLayout w:type="fixed"/>
        <w:tblInd w:w="1480" w:type="dxa"/>
        <w:tblCellMar>
          <w:top w:w="0" w:type="dxa"/>
          <w:left w:w="0" w:type="dxa"/>
          <w:bottom w:w="0" w:type="dxa"/>
          <w:right w:w="0" w:type="dxa"/>
        </w:tblCellMar>
      </w:tblPr>
      <w:tr>
        <w:trPr>
          <w:trHeight w:val="161"/>
        </w:trPr>
        <w:tc>
          <w:tcPr>
            <w:tcW w:w="5600" w:type="dxa"/>
            <w:vAlign w:val="bottom"/>
          </w:tcPr>
          <w:p>
            <w:pPr>
              <w:spacing w:after="0"/>
              <w:rPr>
                <w:sz w:val="14"/>
                <w:szCs w:val="14"/>
                <w:color w:val="auto"/>
              </w:rPr>
            </w:pP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94"/>
              </w:rPr>
              <w:t>Number of</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Weighted-average</w:t>
            </w:r>
          </w:p>
        </w:tc>
        <w:tc>
          <w:tcPr>
            <w:tcW w:w="0" w:type="dxa"/>
            <w:vAlign w:val="bottom"/>
          </w:tcPr>
          <w:p>
            <w:pPr>
              <w:spacing w:after="0"/>
              <w:rPr>
                <w:sz w:val="1"/>
                <w:szCs w:val="1"/>
                <w:color w:val="auto"/>
              </w:rPr>
            </w:pPr>
          </w:p>
        </w:tc>
      </w:tr>
      <w:tr>
        <w:trPr>
          <w:trHeight w:val="135"/>
        </w:trPr>
        <w:tc>
          <w:tcPr>
            <w:tcW w:w="5600" w:type="dxa"/>
            <w:vAlign w:val="bottom"/>
          </w:tcPr>
          <w:p>
            <w:pPr>
              <w:spacing w:after="0"/>
              <w:rPr>
                <w:sz w:val="11"/>
                <w:szCs w:val="11"/>
                <w:color w:val="auto"/>
              </w:rPr>
            </w:pPr>
          </w:p>
        </w:tc>
        <w:tc>
          <w:tcPr>
            <w:tcW w:w="13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restricted stock</w:t>
            </w: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8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5600" w:type="dxa"/>
            <w:vAlign w:val="bottom"/>
          </w:tcPr>
          <w:p>
            <w:pPr>
              <w:spacing w:after="0"/>
              <w:rPr>
                <w:sz w:val="14"/>
                <w:szCs w:val="14"/>
                <w:color w:val="auto"/>
              </w:rPr>
            </w:pP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89"/>
              </w:rPr>
              <w:t>units</w:t>
            </w:r>
          </w:p>
        </w:tc>
        <w:tc>
          <w:tcPr>
            <w:tcW w:w="220" w:type="dxa"/>
            <w:vAlign w:val="bottom"/>
          </w:tcPr>
          <w:p>
            <w:pPr>
              <w:spacing w:after="0"/>
              <w:rPr>
                <w:sz w:val="14"/>
                <w:szCs w:val="14"/>
                <w:color w:val="auto"/>
              </w:rPr>
            </w:pPr>
          </w:p>
        </w:tc>
        <w:tc>
          <w:tcPr>
            <w:tcW w:w="1360" w:type="dxa"/>
            <w:vAlign w:val="bottom"/>
            <w:gridSpan w:val="3"/>
          </w:tcPr>
          <w:p>
            <w:pPr>
              <w:spacing w:after="0"/>
              <w:rPr>
                <w:sz w:val="20"/>
                <w:szCs w:val="20"/>
                <w:color w:val="auto"/>
              </w:rPr>
            </w:pPr>
            <w:r>
              <w:rPr>
                <w:rFonts w:ascii="Arial" w:cs="Arial" w:eastAsia="Arial" w:hAnsi="Arial"/>
                <w:sz w:val="14"/>
                <w:szCs w:val="14"/>
                <w:b w:val="1"/>
                <w:bCs w:val="1"/>
                <w:color w:val="auto"/>
              </w:rPr>
              <w:t>grant-date fair value</w:t>
            </w:r>
          </w:p>
        </w:tc>
        <w:tc>
          <w:tcPr>
            <w:tcW w:w="0" w:type="dxa"/>
            <w:vAlign w:val="bottom"/>
          </w:tcPr>
          <w:p>
            <w:pPr>
              <w:spacing w:after="0"/>
              <w:rPr>
                <w:sz w:val="1"/>
                <w:szCs w:val="1"/>
                <w:color w:val="auto"/>
              </w:rPr>
            </w:pPr>
          </w:p>
        </w:tc>
      </w:tr>
      <w:tr>
        <w:trPr>
          <w:trHeight w:val="129"/>
        </w:trPr>
        <w:tc>
          <w:tcPr>
            <w:tcW w:w="5600" w:type="dxa"/>
            <w:vAlign w:val="bottom"/>
          </w:tcPr>
          <w:p>
            <w:pPr>
              <w:spacing w:after="0"/>
              <w:rPr>
                <w:sz w:val="11"/>
                <w:szCs w:val="11"/>
                <w:color w:val="auto"/>
              </w:rPr>
            </w:pPr>
          </w:p>
        </w:tc>
        <w:tc>
          <w:tcPr>
            <w:tcW w:w="130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4"/>
              </w:rPr>
              <w:t>(in millions)</w:t>
            </w:r>
          </w:p>
        </w:tc>
        <w:tc>
          <w:tcPr>
            <w:tcW w:w="22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22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600" w:type="dxa"/>
            <w:vAlign w:val="bottom"/>
            <w:shd w:val="clear" w:color="auto" w:fill="CCEEFF"/>
          </w:tcPr>
          <w:p>
            <w:pPr>
              <w:spacing w:after="0"/>
              <w:rPr>
                <w:sz w:val="20"/>
                <w:szCs w:val="20"/>
                <w:color w:val="auto"/>
              </w:rPr>
            </w:pPr>
            <w:r>
              <w:rPr>
                <w:rFonts w:ascii="Arial" w:cs="Arial" w:eastAsia="Arial" w:hAnsi="Arial"/>
                <w:sz w:val="18"/>
                <w:szCs w:val="18"/>
                <w:color w:val="auto"/>
              </w:rPr>
              <w:t>Nonvested restricted stock units at January 1, 2006</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0.9</w:t>
            </w:r>
          </w:p>
        </w:tc>
        <w:tc>
          <w:tcPr>
            <w:tcW w:w="300" w:type="dxa"/>
            <w:vAlign w:val="bottom"/>
            <w:gridSpan w:val="2"/>
            <w:shd w:val="clear" w:color="auto" w:fill="CCEEFF"/>
          </w:tcPr>
          <w:p>
            <w:pPr>
              <w:ind w:left="220"/>
              <w:spacing w:after="0"/>
              <w:rPr>
                <w:sz w:val="20"/>
                <w:szCs w:val="20"/>
                <w:color w:val="auto"/>
              </w:rPr>
            </w:pPr>
            <w:r>
              <w:rPr>
                <w:rFonts w:ascii="Arial" w:cs="Arial" w:eastAsia="Arial" w:hAnsi="Arial"/>
                <w:sz w:val="15"/>
                <w:szCs w:val="15"/>
                <w:b w:val="1"/>
                <w:bCs w:val="1"/>
                <w:color w:val="auto"/>
                <w:w w:val="71"/>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36.71</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tcPr>
          <w:p>
            <w:pPr>
              <w:ind w:left="180"/>
              <w:spacing w:after="0"/>
              <w:rPr>
                <w:sz w:val="20"/>
                <w:szCs w:val="20"/>
                <w:color w:val="auto"/>
              </w:rPr>
            </w:pPr>
            <w:r>
              <w:rPr>
                <w:rFonts w:ascii="Arial" w:cs="Arial" w:eastAsia="Arial" w:hAnsi="Arial"/>
                <w:sz w:val="18"/>
                <w:szCs w:val="18"/>
                <w:color w:val="auto"/>
              </w:rPr>
              <w:t>Granted</w:t>
            </w:r>
          </w:p>
        </w:tc>
        <w:tc>
          <w:tcPr>
            <w:tcW w:w="1300" w:type="dxa"/>
            <w:vAlign w:val="bottom"/>
          </w:tcPr>
          <w:p>
            <w:pPr>
              <w:jc w:val="right"/>
              <w:spacing w:after="0"/>
              <w:rPr>
                <w:sz w:val="20"/>
                <w:szCs w:val="20"/>
                <w:color w:val="auto"/>
              </w:rPr>
            </w:pPr>
            <w:r>
              <w:rPr>
                <w:rFonts w:ascii="Arial" w:cs="Arial" w:eastAsia="Arial" w:hAnsi="Arial"/>
                <w:sz w:val="18"/>
                <w:szCs w:val="18"/>
                <w:b w:val="1"/>
                <w:bCs w:val="1"/>
                <w:color w:val="auto"/>
              </w:rPr>
              <w:t>0.2</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49.67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Vested</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0.1</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37.93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Forfeited</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280" w:type="dxa"/>
            <w:vAlign w:val="bottom"/>
            <w:tcBorders>
              <w:bottom w:val="single" w:sz="8" w:color="CCEEFF"/>
            </w:tcBorders>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0"/>
        </w:trPr>
        <w:tc>
          <w:tcPr>
            <w:tcW w:w="56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Nonvested restricted stock units at June 30, 2006</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w:t>
            </w:r>
          </w:p>
        </w:tc>
        <w:tc>
          <w:tcPr>
            <w:tcW w:w="300" w:type="dxa"/>
            <w:vAlign w:val="bottom"/>
            <w:tcBorders>
              <w:bottom w:val="single" w:sz="8" w:color="CCEEFF"/>
            </w:tcBorders>
            <w:gridSpan w:val="2"/>
            <w:shd w:val="clear" w:color="auto" w:fill="CCEEFF"/>
          </w:tcPr>
          <w:p>
            <w:pPr>
              <w:ind w:left="220"/>
              <w:spacing w:after="0"/>
              <w:rPr>
                <w:sz w:val="20"/>
                <w:szCs w:val="20"/>
                <w:color w:val="auto"/>
              </w:rPr>
            </w:pPr>
            <w:r>
              <w:rPr>
                <w:rFonts w:ascii="Arial" w:cs="Arial" w:eastAsia="Arial" w:hAnsi="Arial"/>
                <w:sz w:val="15"/>
                <w:szCs w:val="15"/>
                <w:b w:val="1"/>
                <w:bCs w:val="1"/>
                <w:color w:val="auto"/>
                <w:w w:val="71"/>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39.29</w:t>
            </w:r>
          </w:p>
        </w:tc>
        <w:tc>
          <w:tcPr>
            <w:tcW w:w="6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60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 Stock Purchase Plan</w:t>
      </w:r>
    </w:p>
    <w:p>
      <w:pPr>
        <w:spacing w:after="0" w:line="229" w:lineRule="exact"/>
        <w:rPr>
          <w:sz w:val="20"/>
          <w:szCs w:val="20"/>
          <w:color w:val="auto"/>
        </w:rPr>
      </w:pPr>
    </w:p>
    <w:p>
      <w:pPr>
        <w:ind w:right="220" w:firstLine="648"/>
        <w:spacing w:after="0" w:line="259" w:lineRule="auto"/>
        <w:rPr>
          <w:sz w:val="20"/>
          <w:szCs w:val="20"/>
          <w:color w:val="auto"/>
        </w:rPr>
      </w:pPr>
      <w:r>
        <w:rPr>
          <w:rFonts w:ascii="Arial" w:cs="Arial" w:eastAsia="Arial" w:hAnsi="Arial"/>
          <w:sz w:val="18"/>
          <w:szCs w:val="18"/>
          <w:color w:val="auto"/>
        </w:rPr>
        <w:t>Under our Employee Stock Purchase Plan, participating employees have the opportunity to purchase shares of our common stock on a quarterly basis. Employees may purchase up to $25,000 worth of company stock each year. Employees may purchase shares of our common stock at a price equal to 85% of the shares’ fair market value as of the beginning or end of the quarter, whichever is lower. Under the Employee Stock Purchase Plan, employees purchased 0.4 million shares during the six months ended June 30, 2006 and 2005.</w:t>
      </w:r>
    </w:p>
    <w:p>
      <w:pPr>
        <w:spacing w:after="0" w:line="187" w:lineRule="exact"/>
        <w:rPr>
          <w:sz w:val="20"/>
          <w:szCs w:val="20"/>
          <w:color w:val="auto"/>
        </w:rPr>
      </w:pPr>
    </w:p>
    <w:p>
      <w:pPr>
        <w:ind w:right="160" w:firstLine="648"/>
        <w:spacing w:after="0" w:line="302" w:lineRule="auto"/>
        <w:rPr>
          <w:sz w:val="20"/>
          <w:szCs w:val="20"/>
          <w:color w:val="auto"/>
        </w:rPr>
      </w:pPr>
      <w:r>
        <w:rPr>
          <w:rFonts w:ascii="Arial" w:cs="Arial" w:eastAsia="Arial" w:hAnsi="Arial"/>
          <w:sz w:val="16"/>
          <w:szCs w:val="16"/>
          <w:color w:val="auto"/>
        </w:rPr>
        <w:t>We recognize compensation expense for the fair value of the 15% discount granted to employees participating in the employee stock purchase plan in the quarter of grant. Shares of the Employee Stock Purchase Plan are treated as an equity award. The weighted-average fair value of the discount on the stock purchased was $10.29 and $7.13 during the six months ended June 30, 2006 and 2005, respectively. The total intrinsic value of the Employee Stock Purchase Plan settled was $4.4 million and $2.7 million during the six months ended June 30, 2006 and 2005, respectively.</w:t>
      </w:r>
    </w:p>
    <w:p>
      <w:pPr>
        <w:spacing w:after="0" w:line="154" w:lineRule="exact"/>
        <w:rPr>
          <w:sz w:val="20"/>
          <w:szCs w:val="20"/>
          <w:color w:val="auto"/>
        </w:rPr>
      </w:pPr>
    </w:p>
    <w:p>
      <w:pPr>
        <w:jc w:val="both"/>
        <w:ind w:right="240" w:firstLine="648"/>
        <w:spacing w:after="0" w:line="264" w:lineRule="auto"/>
        <w:rPr>
          <w:sz w:val="20"/>
          <w:szCs w:val="20"/>
          <w:color w:val="auto"/>
        </w:rPr>
      </w:pPr>
      <w:r>
        <w:rPr>
          <w:rFonts w:ascii="Arial" w:cs="Arial" w:eastAsia="Arial" w:hAnsi="Arial"/>
          <w:sz w:val="18"/>
          <w:szCs w:val="18"/>
          <w:color w:val="auto"/>
        </w:rPr>
        <w:t>Cash received from shares issued under these share-based payment arrangements for the six months ended June 30, 2006 was $16.7 million. The actual tax benefits realized for the tax deductions for option exercise of the share-based payment arrangements for the six months ended June 30, 2006 was $0.4 million.</w:t>
      </w:r>
    </w:p>
    <w:p>
      <w:pPr>
        <w:spacing w:after="0" w:line="181"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The maximum number of shares of common stock that we may issue under the Employee Stock Purchase Plan is 2% of the number of shares outstanding immediately following the completion of the Initial Public Offering. As of June 30, 2006, a total of 3.6 million of new shares are available to be made issuable by us for this plan.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Long-Term Performance Plan</w:t>
      </w:r>
    </w:p>
    <w:p>
      <w:pPr>
        <w:spacing w:after="0" w:line="229"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We also maintain the Long-Term Performance Plan, which provides the opportunity for eligible executives to receive additional awards if specified minimum corporate performance objectives are achieved over a three-year period. This plan utilizes stock as an option for payment and is treated as a liability award during vesting and a liability award or equity award subsequent to vesting, based on the participant payment election. Effective with stockholder approval of the 2005 Stock Incentive Plan, no further grants will be made under the Long-Term Performance Plan, and any future awards earned under the Long-Term Performance Plan will be issued under the 2005 Stock Incentive Plan. As of December 31, 2005, all awards under this plan were fully vested and no awards were granted under this plan in 2006 or 2005. There is no maximum contractual term on these awards.</w:t>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Stock-Based Compensation Plans (continued)</w:t>
      </w:r>
    </w:p>
    <w:p>
      <w:pPr>
        <w:spacing w:after="0" w:line="229" w:lineRule="exact"/>
        <w:rPr>
          <w:sz w:val="20"/>
          <w:szCs w:val="20"/>
          <w:color w:val="auto"/>
        </w:rPr>
      </w:pPr>
    </w:p>
    <w:p>
      <w:pPr>
        <w:jc w:val="both"/>
        <w:ind w:right="100" w:firstLine="648"/>
        <w:spacing w:after="0" w:line="264" w:lineRule="auto"/>
        <w:rPr>
          <w:sz w:val="20"/>
          <w:szCs w:val="20"/>
          <w:color w:val="auto"/>
        </w:rPr>
      </w:pPr>
      <w:r>
        <w:rPr>
          <w:rFonts w:ascii="Arial" w:cs="Arial" w:eastAsia="Arial" w:hAnsi="Arial"/>
          <w:sz w:val="18"/>
          <w:szCs w:val="18"/>
          <w:color w:val="auto"/>
        </w:rPr>
        <w:t>The amount of cash used to settle Long-Term Performance Plan units granted was $10.7 million and $6.1 million for the six months ended June 30, 2006 and 2005, respectively. The total intrinsic value of Long-Term Performance Plan units settled was $11.1 million and $6.3 million during the six months ended June 30, 2006 and 2005, respectively.</w:t>
      </w:r>
    </w:p>
    <w:p>
      <w:pPr>
        <w:spacing w:after="0" w:line="181"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The fair value of Long-Term Performance Plan liability units is determined as of each reporting period based on the Black-Scholes option pricing model that uses the assumptions noted in the following table:</w:t>
      </w:r>
    </w:p>
    <w:p>
      <w:pPr>
        <w:sectPr>
          <w:pgSz w:w="11900" w:h="16838" w:orient="portrait"/>
          <w:cols w:equalWidth="0" w:num="1">
            <w:col w:w="11400"/>
          </w:cols>
          <w:pgMar w:left="240" w:top="121" w:right="259" w:bottom="58" w:gutter="0" w:footer="0" w:header="0"/>
        </w:sectPr>
      </w:pPr>
    </w:p>
    <w:bookmarkStart w:id="15" w:name="page16"/>
    <w:bookmarkEnd w:id="15"/>
    <w:p>
      <w:pPr>
        <w:spacing w:after="0" w:line="200" w:lineRule="exact"/>
        <w:rPr>
          <w:sz w:val="20"/>
          <w:szCs w:val="20"/>
          <w:color w:val="auto"/>
        </w:rPr>
      </w:pPr>
    </w:p>
    <w:p>
      <w:pPr>
        <w:spacing w:after="0" w:line="215" w:lineRule="exact"/>
        <w:rPr>
          <w:sz w:val="20"/>
          <w:szCs w:val="20"/>
          <w:color w:val="auto"/>
        </w:rPr>
      </w:pPr>
    </w:p>
    <w:p>
      <w:pPr>
        <w:ind w:left="1480"/>
        <w:spacing w:after="0"/>
        <w:rPr>
          <w:sz w:val="20"/>
          <w:szCs w:val="20"/>
          <w:color w:val="auto"/>
        </w:rPr>
      </w:pPr>
      <w:r>
        <w:rPr>
          <w:rFonts w:ascii="Arial" w:cs="Arial" w:eastAsia="Arial" w:hAnsi="Arial"/>
          <w:sz w:val="14"/>
          <w:szCs w:val="14"/>
          <w:b w:val="1"/>
          <w:bCs w:val="1"/>
          <w:color w:val="auto"/>
        </w:rPr>
        <w:t>Long-Term Performance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948690</wp:posOffset>
            </wp:positionH>
            <wp:positionV relativeFrom="paragraph">
              <wp:posOffset>6350</wp:posOffset>
            </wp:positionV>
            <wp:extent cx="5368290" cy="1543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368290" cy="154305"/>
                    </a:xfrm>
                    <a:prstGeom prst="rect">
                      <a:avLst/>
                    </a:prstGeom>
                    <a:noFill/>
                  </pic:spPr>
                </pic:pic>
              </a:graphicData>
            </a:graphic>
          </wp:anchor>
        </w:drawing>
      </w:r>
    </w:p>
    <w:p>
      <w:pPr>
        <w:spacing w:after="0" w:line="5"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Dividend yield</w:t>
      </w:r>
    </w:p>
    <w:p>
      <w:pPr>
        <w:spacing w:after="0" w:line="8"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Expected volatility</w:t>
      </w:r>
    </w:p>
    <w:p>
      <w:pPr>
        <w:spacing w:after="0" w:line="49"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Risk-free interest rate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948690</wp:posOffset>
            </wp:positionH>
            <wp:positionV relativeFrom="paragraph">
              <wp:posOffset>-121920</wp:posOffset>
            </wp:positionV>
            <wp:extent cx="5368290" cy="16319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368290" cy="163195"/>
                    </a:xfrm>
                    <a:prstGeom prst="rect">
                      <a:avLst/>
                    </a:prstGeom>
                    <a:noFill/>
                  </pic:spPr>
                </pic:pic>
              </a:graphicData>
            </a:graphic>
          </wp:anchor>
        </w:drawing>
      </w:r>
    </w:p>
    <w:p>
      <w:pPr>
        <w:spacing w:after="0" w:line="30"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Expected life (in years)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Earnings Per Common Share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computations of the basic and diluted per share amounts for our continuing operations were as follows:</w:t>
      </w:r>
    </w:p>
    <w:p>
      <w:pPr>
        <w:spacing w:after="0" w:line="20" w:lineRule="exact"/>
        <w:rPr>
          <w:sz w:val="20"/>
          <w:szCs w:val="20"/>
          <w:color w:val="auto"/>
        </w:rPr>
      </w:pPr>
      <w:r>
        <w:rPr>
          <w:sz w:val="20"/>
          <w:szCs w:val="20"/>
          <w:color w:val="auto"/>
        </w:rPr>
        <w:br w:type="column"/>
      </w:r>
    </w:p>
    <w:p>
      <w:pPr>
        <w:jc w:val="center"/>
        <w:ind w:right="1760"/>
        <w:spacing w:after="0"/>
        <w:rPr>
          <w:sz w:val="20"/>
          <w:szCs w:val="20"/>
          <w:color w:val="auto"/>
        </w:rPr>
      </w:pPr>
      <w:r>
        <w:rPr>
          <w:rFonts w:ascii="Arial" w:cs="Arial" w:eastAsia="Arial" w:hAnsi="Arial"/>
          <w:sz w:val="14"/>
          <w:szCs w:val="14"/>
          <w:b w:val="1"/>
          <w:bCs w:val="1"/>
          <w:color w:val="auto"/>
        </w:rPr>
        <w:t>For the six</w:t>
      </w:r>
    </w:p>
    <w:p>
      <w:pPr>
        <w:jc w:val="center"/>
        <w:ind w:right="1760"/>
        <w:spacing w:after="0" w:line="234" w:lineRule="auto"/>
        <w:rPr>
          <w:sz w:val="20"/>
          <w:szCs w:val="20"/>
          <w:color w:val="auto"/>
        </w:rPr>
      </w:pPr>
      <w:r>
        <w:rPr>
          <w:rFonts w:ascii="Arial" w:cs="Arial" w:eastAsia="Arial" w:hAnsi="Arial"/>
          <w:sz w:val="12"/>
          <w:szCs w:val="12"/>
          <w:b w:val="1"/>
          <w:bCs w:val="1"/>
          <w:color w:val="auto"/>
        </w:rPr>
        <w:t>months ended</w:t>
      </w:r>
    </w:p>
    <w:p>
      <w:pPr>
        <w:jc w:val="center"/>
        <w:ind w:right="1760"/>
        <w:spacing w:after="0" w:line="202" w:lineRule="auto"/>
        <w:rPr>
          <w:sz w:val="20"/>
          <w:szCs w:val="20"/>
          <w:color w:val="auto"/>
        </w:rPr>
      </w:pPr>
      <w:r>
        <w:rPr>
          <w:rFonts w:ascii="Arial" w:cs="Arial" w:eastAsia="Arial" w:hAnsi="Arial"/>
          <w:sz w:val="14"/>
          <w:szCs w:val="14"/>
          <w:b w:val="1"/>
          <w:bCs w:val="1"/>
          <w:color w:val="auto"/>
        </w:rPr>
        <w:t>June 30,</w:t>
      </w:r>
    </w:p>
    <w:p>
      <w:pPr>
        <w:jc w:val="center"/>
        <w:ind w:right="1760"/>
        <w:spacing w:after="0"/>
        <w:rPr>
          <w:sz w:val="20"/>
          <w:szCs w:val="20"/>
          <w:color w:val="auto"/>
        </w:rPr>
      </w:pPr>
      <w:r>
        <w:rPr>
          <w:rFonts w:ascii="Arial" w:cs="Arial" w:eastAsia="Arial" w:hAnsi="Arial"/>
          <w:sz w:val="14"/>
          <w:szCs w:val="14"/>
          <w:b w:val="1"/>
          <w:bCs w:val="1"/>
          <w:color w:val="auto"/>
        </w:rPr>
        <w:t>2006</w:t>
      </w:r>
    </w:p>
    <w:p>
      <w:pPr>
        <w:spacing w:after="0" w:line="9" w:lineRule="exact"/>
        <w:rPr>
          <w:sz w:val="20"/>
          <w:szCs w:val="20"/>
          <w:color w:val="auto"/>
        </w:rPr>
      </w:pPr>
    </w:p>
    <w:p>
      <w:pPr>
        <w:jc w:val="right"/>
        <w:ind w:right="1560"/>
        <w:spacing w:after="0"/>
        <w:rPr>
          <w:sz w:val="20"/>
          <w:szCs w:val="20"/>
          <w:color w:val="auto"/>
        </w:rPr>
      </w:pPr>
      <w:r>
        <w:rPr>
          <w:rFonts w:ascii="Arial" w:cs="Arial" w:eastAsia="Arial" w:hAnsi="Arial"/>
          <w:sz w:val="18"/>
          <w:szCs w:val="18"/>
          <w:b w:val="1"/>
          <w:bCs w:val="1"/>
          <w:color w:val="auto"/>
        </w:rPr>
        <w:t>—%</w:t>
      </w:r>
    </w:p>
    <w:p>
      <w:pPr>
        <w:spacing w:after="0" w:line="30" w:lineRule="exact"/>
        <w:rPr>
          <w:sz w:val="20"/>
          <w:szCs w:val="20"/>
          <w:color w:val="auto"/>
        </w:rPr>
      </w:pPr>
    </w:p>
    <w:p>
      <w:pPr>
        <w:jc w:val="right"/>
        <w:ind w:right="1560"/>
        <w:spacing w:after="0"/>
        <w:rPr>
          <w:sz w:val="20"/>
          <w:szCs w:val="20"/>
          <w:color w:val="auto"/>
        </w:rPr>
      </w:pPr>
      <w:r>
        <w:rPr>
          <w:rFonts w:ascii="Arial" w:cs="Arial" w:eastAsia="Arial" w:hAnsi="Arial"/>
          <w:sz w:val="18"/>
          <w:szCs w:val="18"/>
          <w:b w:val="1"/>
          <w:bCs w:val="1"/>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55753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5753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-127635</wp:posOffset>
            </wp:positionV>
            <wp:extent cx="55753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57530" cy="8890"/>
                    </a:xfrm>
                    <a:prstGeom prst="rect">
                      <a:avLst/>
                    </a:prstGeom>
                    <a:noFill/>
                  </pic:spPr>
                </pic:pic>
              </a:graphicData>
            </a:graphic>
          </wp:anchor>
        </w:drawing>
      </w:r>
    </w:p>
    <w:p>
      <w:pPr>
        <w:spacing w:after="0" w:line="30" w:lineRule="exact"/>
        <w:rPr>
          <w:sz w:val="20"/>
          <w:szCs w:val="20"/>
          <w:color w:val="auto"/>
        </w:rPr>
      </w:pPr>
    </w:p>
    <w:p>
      <w:pPr>
        <w:jc w:val="right"/>
        <w:ind w:right="1560"/>
        <w:spacing w:after="0"/>
        <w:rPr>
          <w:sz w:val="20"/>
          <w:szCs w:val="20"/>
          <w:color w:val="auto"/>
        </w:rPr>
      </w:pPr>
      <w:r>
        <w:rPr>
          <w:rFonts w:ascii="Arial" w:cs="Arial" w:eastAsia="Arial" w:hAnsi="Arial"/>
          <w:sz w:val="18"/>
          <w:szCs w:val="18"/>
          <w:b w:val="1"/>
          <w:bCs w:val="1"/>
          <w:color w:val="auto"/>
        </w:rPr>
        <w:t>5.2%</w:t>
      </w:r>
    </w:p>
    <w:p>
      <w:pPr>
        <w:spacing w:after="0" w:line="50" w:lineRule="exact"/>
        <w:rPr>
          <w:sz w:val="20"/>
          <w:szCs w:val="20"/>
          <w:color w:val="auto"/>
        </w:rPr>
      </w:pPr>
    </w:p>
    <w:p>
      <w:pPr>
        <w:ind w:left="760"/>
        <w:spacing w:after="0"/>
        <w:rPr>
          <w:sz w:val="20"/>
          <w:szCs w:val="20"/>
          <w:color w:val="auto"/>
        </w:rPr>
      </w:pPr>
      <w:r>
        <w:rPr>
          <w:rFonts w:ascii="Arial" w:cs="Arial" w:eastAsia="Arial" w:hAnsi="Arial"/>
          <w:sz w:val="18"/>
          <w:szCs w:val="18"/>
          <w:b w:val="1"/>
          <w:bCs w:val="1"/>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55753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5753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34290</wp:posOffset>
            </wp:positionV>
            <wp:extent cx="55753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5753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-127635</wp:posOffset>
            </wp:positionV>
            <wp:extent cx="55753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57530" cy="8890"/>
                    </a:xfrm>
                    <a:prstGeom prst="rect">
                      <a:avLst/>
                    </a:prstGeom>
                    <a:noFill/>
                  </pic:spPr>
                </pic:pic>
              </a:graphicData>
            </a:graphic>
          </wp:anchor>
        </w:drawing>
      </w:r>
    </w:p>
    <w:p>
      <w:pPr>
        <w:spacing w:after="0" w:line="1085" w:lineRule="exact"/>
        <w:rPr>
          <w:sz w:val="20"/>
          <w:szCs w:val="20"/>
          <w:color w:val="auto"/>
        </w:rPr>
      </w:pPr>
    </w:p>
    <w:p>
      <w:pPr>
        <w:sectPr>
          <w:pgSz w:w="11900" w:h="16838" w:orient="portrait"/>
          <w:cols w:equalWidth="0" w:num="2">
            <w:col w:w="8400" w:space="440"/>
            <w:col w:w="2620"/>
          </w:cols>
          <w:pgMar w:left="240" w:top="93" w:right="199" w:bottom="0" w:gutter="0" w:footer="0" w:header="0"/>
        </w:sectPr>
      </w:pP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46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2580" w:type="dxa"/>
            <w:vAlign w:val="bottom"/>
            <w:gridSpan w:val="5"/>
          </w:tcPr>
          <w:p>
            <w:pPr>
              <w:jc w:val="right"/>
              <w:ind w:right="473"/>
              <w:spacing w:after="0"/>
              <w:rPr>
                <w:sz w:val="20"/>
                <w:szCs w:val="20"/>
                <w:color w:val="auto"/>
              </w:rPr>
            </w:pPr>
            <w:r>
              <w:rPr>
                <w:rFonts w:ascii="Arial" w:cs="Arial" w:eastAsia="Arial" w:hAnsi="Arial"/>
                <w:sz w:val="14"/>
                <w:szCs w:val="14"/>
                <w:b w:val="1"/>
                <w:bCs w:val="1"/>
                <w:color w:val="auto"/>
              </w:rPr>
              <w:t>For three months ended</w:t>
            </w: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00" w:type="dxa"/>
            <w:vAlign w:val="bottom"/>
            <w:gridSpan w:val="4"/>
          </w:tcPr>
          <w:p>
            <w:pPr>
              <w:jc w:val="right"/>
              <w:ind w:right="631"/>
              <w:spacing w:after="0"/>
              <w:rPr>
                <w:sz w:val="20"/>
                <w:szCs w:val="20"/>
                <w:color w:val="auto"/>
              </w:rPr>
            </w:pPr>
            <w:r>
              <w:rPr>
                <w:rFonts w:ascii="Arial" w:cs="Arial" w:eastAsia="Arial" w:hAnsi="Arial"/>
                <w:sz w:val="14"/>
                <w:szCs w:val="14"/>
                <w:b w:val="1"/>
                <w:bCs w:val="1"/>
                <w:color w:val="auto"/>
              </w:rPr>
              <w:t>For six months ended</w:t>
            </w:r>
          </w:p>
        </w:tc>
        <w:tc>
          <w:tcPr>
            <w:tcW w:w="1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46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98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gridSpan w:val="3"/>
          </w:tcPr>
          <w:p>
            <w:pPr>
              <w:jc w:val="right"/>
              <w:ind w:right="85"/>
              <w:spacing w:after="0"/>
              <w:rPr>
                <w:sz w:val="20"/>
                <w:szCs w:val="20"/>
                <w:color w:val="auto"/>
              </w:rPr>
            </w:pPr>
            <w:r>
              <w:rPr>
                <w:rFonts w:ascii="Arial" w:cs="Arial" w:eastAsia="Arial" w:hAnsi="Arial"/>
                <w:sz w:val="14"/>
                <w:szCs w:val="14"/>
                <w:b w:val="1"/>
                <w:bCs w:val="1"/>
                <w:color w:val="auto"/>
              </w:rPr>
              <w:t>June 30,</w:t>
            </w:r>
          </w:p>
        </w:tc>
        <w:tc>
          <w:tcPr>
            <w:tcW w:w="960" w:type="dxa"/>
            <w:vAlign w:val="bottom"/>
            <w:tcBorders>
              <w:bottom w:val="single" w:sz="8" w:color="auto"/>
            </w:tcBorders>
          </w:tcPr>
          <w:p>
            <w:pPr>
              <w:spacing w:after="0"/>
              <w:rPr>
                <w:sz w:val="14"/>
                <w:szCs w:val="14"/>
                <w:color w:val="auto"/>
              </w:rPr>
            </w:pPr>
          </w:p>
        </w:tc>
        <w:tc>
          <w:tcPr>
            <w:tcW w:w="1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460" w:type="dxa"/>
            <w:vAlign w:val="bottom"/>
          </w:tcPr>
          <w:p>
            <w:pPr>
              <w:spacing w:after="0"/>
              <w:rPr>
                <w:sz w:val="11"/>
                <w:szCs w:val="11"/>
                <w:color w:val="auto"/>
              </w:rPr>
            </w:pPr>
          </w:p>
        </w:tc>
        <w:tc>
          <w:tcPr>
            <w:tcW w:w="3040" w:type="dxa"/>
            <w:vAlign w:val="bottom"/>
          </w:tcPr>
          <w:p>
            <w:pPr>
              <w:spacing w:after="0"/>
              <w:rPr>
                <w:sz w:val="11"/>
                <w:szCs w:val="11"/>
                <w:color w:val="auto"/>
              </w:rPr>
            </w:pPr>
          </w:p>
        </w:tc>
        <w:tc>
          <w:tcPr>
            <w:tcW w:w="74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2006</w:t>
            </w:r>
          </w:p>
        </w:tc>
        <w:tc>
          <w:tcPr>
            <w:tcW w:w="440" w:type="dxa"/>
            <w:vAlign w:val="bottom"/>
            <w:tcBorders>
              <w:bottom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980" w:type="dxa"/>
            <w:vAlign w:val="bottom"/>
            <w:tcBorders>
              <w:bottom w:val="single" w:sz="8" w:color="auto"/>
            </w:tcBorders>
          </w:tcPr>
          <w:p>
            <w:pPr>
              <w:jc w:val="right"/>
              <w:ind w:right="373"/>
              <w:spacing w:after="0" w:line="129" w:lineRule="exact"/>
              <w:rPr>
                <w:sz w:val="20"/>
                <w:szCs w:val="20"/>
                <w:color w:val="auto"/>
              </w:rPr>
            </w:pPr>
            <w:r>
              <w:rPr>
                <w:rFonts w:ascii="Arial" w:cs="Arial" w:eastAsia="Arial" w:hAnsi="Arial"/>
                <w:sz w:val="14"/>
                <w:szCs w:val="14"/>
                <w:b w:val="1"/>
                <w:bCs w:val="1"/>
                <w:color w:val="auto"/>
              </w:rPr>
              <w:t>2005</w:t>
            </w:r>
          </w:p>
        </w:tc>
        <w:tc>
          <w:tcPr>
            <w:tcW w:w="22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920" w:type="dxa"/>
            <w:vAlign w:val="bottom"/>
            <w:tcBorders>
              <w:bottom w:val="single" w:sz="8" w:color="auto"/>
            </w:tcBorders>
          </w:tcPr>
          <w:p>
            <w:pPr>
              <w:jc w:val="right"/>
              <w:ind w:right="374"/>
              <w:spacing w:after="0" w:line="129" w:lineRule="exact"/>
              <w:rPr>
                <w:sz w:val="20"/>
                <w:szCs w:val="20"/>
                <w:color w:val="auto"/>
              </w:rPr>
            </w:pPr>
            <w:r>
              <w:rPr>
                <w:rFonts w:ascii="Arial" w:cs="Arial" w:eastAsia="Arial" w:hAnsi="Arial"/>
                <w:sz w:val="14"/>
                <w:szCs w:val="14"/>
                <w:b w:val="1"/>
                <w:bCs w:val="1"/>
                <w:color w:val="auto"/>
              </w:rPr>
              <w:t>2006</w:t>
            </w:r>
          </w:p>
        </w:tc>
        <w:tc>
          <w:tcPr>
            <w:tcW w:w="22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960" w:type="dxa"/>
            <w:vAlign w:val="bottom"/>
            <w:tcBorders>
              <w:bottom w:val="single" w:sz="8" w:color="auto"/>
            </w:tcBorders>
          </w:tcPr>
          <w:p>
            <w:pPr>
              <w:jc w:val="right"/>
              <w:ind w:right="431"/>
              <w:spacing w:after="0" w:line="129" w:lineRule="exact"/>
              <w:rPr>
                <w:sz w:val="20"/>
                <w:szCs w:val="20"/>
                <w:color w:val="auto"/>
              </w:rPr>
            </w:pPr>
            <w:r>
              <w:rPr>
                <w:rFonts w:ascii="Arial" w:cs="Arial" w:eastAsia="Arial" w:hAnsi="Arial"/>
                <w:sz w:val="14"/>
                <w:szCs w:val="14"/>
                <w:b w:val="1"/>
                <w:bCs w:val="1"/>
                <w:color w:val="auto"/>
              </w:rPr>
              <w:t>2005</w:t>
            </w:r>
          </w:p>
        </w:tc>
        <w:tc>
          <w:tcPr>
            <w:tcW w:w="14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1460" w:type="dxa"/>
            <w:vAlign w:val="bottom"/>
          </w:tcPr>
          <w:p>
            <w:pPr>
              <w:spacing w:after="0"/>
              <w:rPr>
                <w:sz w:val="11"/>
                <w:szCs w:val="11"/>
                <w:color w:val="auto"/>
              </w:rPr>
            </w:pPr>
          </w:p>
        </w:tc>
        <w:tc>
          <w:tcPr>
            <w:tcW w:w="30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620" w:type="dxa"/>
            <w:vAlign w:val="bottom"/>
            <w:gridSpan w:val="5"/>
          </w:tcPr>
          <w:p>
            <w:pPr>
              <w:ind w:left="60"/>
              <w:spacing w:after="0" w:line="129" w:lineRule="exact"/>
              <w:rPr>
                <w:sz w:val="20"/>
                <w:szCs w:val="20"/>
                <w:color w:val="auto"/>
              </w:rPr>
            </w:pPr>
            <w:r>
              <w:rPr>
                <w:rFonts w:ascii="Arial" w:cs="Arial" w:eastAsia="Arial" w:hAnsi="Arial"/>
                <w:sz w:val="14"/>
                <w:szCs w:val="14"/>
                <w:b w:val="1"/>
                <w:bCs w:val="1"/>
                <w:color w:val="auto"/>
              </w:rPr>
              <w:t>(in millions, except per share data)</w:t>
            </w:r>
          </w:p>
        </w:tc>
        <w:tc>
          <w:tcPr>
            <w:tcW w:w="3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2"/>
        </w:trPr>
        <w:tc>
          <w:tcPr>
            <w:tcW w:w="1460" w:type="dxa"/>
            <w:vAlign w:val="bottom"/>
          </w:tcPr>
          <w:p>
            <w:pPr>
              <w:spacing w:after="0"/>
              <w:rPr>
                <w:sz w:val="17"/>
                <w:szCs w:val="17"/>
                <w:color w:val="auto"/>
              </w:rPr>
            </w:pPr>
          </w:p>
        </w:tc>
        <w:tc>
          <w:tcPr>
            <w:tcW w:w="30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Income from continuing operations,</w:t>
            </w:r>
          </w:p>
        </w:tc>
        <w:tc>
          <w:tcPr>
            <w:tcW w:w="740" w:type="dxa"/>
            <w:vAlign w:val="bottom"/>
            <w:vMerge w:val="restart"/>
            <w:shd w:val="clear" w:color="auto" w:fill="CCEEFF"/>
          </w:tcPr>
          <w:p>
            <w:pPr>
              <w:jc w:val="right"/>
              <w:ind w:right="586"/>
              <w:spacing w:after="0"/>
              <w:rPr>
                <w:sz w:val="20"/>
                <w:szCs w:val="20"/>
                <w:color w:val="auto"/>
              </w:rPr>
            </w:pPr>
            <w:r>
              <w:rPr>
                <w:rFonts w:ascii="Arial" w:cs="Arial" w:eastAsia="Arial" w:hAnsi="Arial"/>
                <w:sz w:val="15"/>
                <w:szCs w:val="15"/>
                <w:b w:val="1"/>
                <w:bCs w:val="1"/>
                <w:color w:val="auto"/>
                <w:w w:val="71"/>
              </w:rPr>
              <w:t>$</w:t>
            </w:r>
          </w:p>
        </w:tc>
        <w:tc>
          <w:tcPr>
            <w:tcW w:w="44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88"/>
              </w:rPr>
              <w:t>218.8</w:t>
            </w: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500" w:type="dxa"/>
            <w:vAlign w:val="bottom"/>
            <w:gridSpan w:val="2"/>
            <w:vMerge w:val="restart"/>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512.7</w:t>
            </w: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tcBorders>
              <w:right w:val="single" w:sz="8" w:color="CCEEFF"/>
            </w:tcBorders>
            <w:shd w:val="clear" w:color="auto" w:fill="CCEEFF"/>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460" w:type="dxa"/>
            <w:vAlign w:val="bottom"/>
          </w:tcPr>
          <w:p>
            <w:pPr>
              <w:spacing w:after="0"/>
              <w:rPr>
                <w:sz w:val="20"/>
                <w:szCs w:val="20"/>
                <w:color w:val="auto"/>
              </w:rPr>
            </w:pPr>
          </w:p>
        </w:tc>
        <w:tc>
          <w:tcPr>
            <w:tcW w:w="30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net of related income taxes</w:t>
            </w:r>
          </w:p>
        </w:tc>
        <w:tc>
          <w:tcPr>
            <w:tcW w:w="740" w:type="dxa"/>
            <w:vAlign w:val="bottom"/>
            <w:vMerge w:val="continue"/>
            <w:shd w:val="clear" w:color="auto" w:fill="CCEEFF"/>
          </w:tcPr>
          <w:p>
            <w:pPr>
              <w:spacing w:after="0"/>
              <w:rPr>
                <w:sz w:val="20"/>
                <w:szCs w:val="20"/>
                <w:color w:val="auto"/>
              </w:rPr>
            </w:pPr>
          </w:p>
        </w:tc>
        <w:tc>
          <w:tcPr>
            <w:tcW w:w="440" w:type="dxa"/>
            <w:vAlign w:val="bottom"/>
            <w:vMerge w:val="continue"/>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223.6</w:t>
            </w:r>
          </w:p>
        </w:tc>
        <w:tc>
          <w:tcPr>
            <w:tcW w:w="500" w:type="dxa"/>
            <w:vAlign w:val="bottom"/>
            <w:gridSpan w:val="2"/>
            <w:vMerge w:val="continue"/>
            <w:shd w:val="clear" w:color="auto" w:fill="CCEEFF"/>
          </w:tcPr>
          <w:p>
            <w:pPr>
              <w:spacing w:after="0"/>
              <w:rPr>
                <w:sz w:val="20"/>
                <w:szCs w:val="20"/>
                <w:color w:val="auto"/>
              </w:rPr>
            </w:pPr>
          </w:p>
        </w:tc>
        <w:tc>
          <w:tcPr>
            <w:tcW w:w="920" w:type="dxa"/>
            <w:vAlign w:val="bottom"/>
            <w:vMerge w:val="continue"/>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30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428.5</w:t>
            </w:r>
          </w:p>
        </w:tc>
        <w:tc>
          <w:tcPr>
            <w:tcW w:w="14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3040" w:type="dxa"/>
            <w:vAlign w:val="bottom"/>
          </w:tcPr>
          <w:p>
            <w:pPr>
              <w:spacing w:after="0"/>
              <w:rPr>
                <w:sz w:val="20"/>
                <w:szCs w:val="20"/>
                <w:color w:val="auto"/>
              </w:rPr>
            </w:pPr>
            <w:r>
              <w:rPr>
                <w:rFonts w:ascii="Arial" w:cs="Arial" w:eastAsia="Arial" w:hAnsi="Arial"/>
                <w:sz w:val="18"/>
                <w:szCs w:val="18"/>
                <w:color w:val="auto"/>
              </w:rPr>
              <w:t>Subtract:</w:t>
            </w: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30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Preferred stock dividends</w:t>
            </w:r>
          </w:p>
        </w:tc>
        <w:tc>
          <w:tcPr>
            <w:tcW w:w="74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8.3</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16.5</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2"/>
        </w:trPr>
        <w:tc>
          <w:tcPr>
            <w:tcW w:w="1460" w:type="dxa"/>
            <w:vAlign w:val="bottom"/>
          </w:tcPr>
          <w:p>
            <w:pPr>
              <w:spacing w:after="0"/>
              <w:rPr>
                <w:sz w:val="15"/>
                <w:szCs w:val="15"/>
                <w:color w:val="auto"/>
              </w:rPr>
            </w:pPr>
          </w:p>
        </w:tc>
        <w:tc>
          <w:tcPr>
            <w:tcW w:w="3040" w:type="dxa"/>
            <w:vAlign w:val="bottom"/>
          </w:tcPr>
          <w:p>
            <w:pPr>
              <w:spacing w:after="0" w:line="182" w:lineRule="exact"/>
              <w:rPr>
                <w:sz w:val="20"/>
                <w:szCs w:val="20"/>
                <w:color w:val="auto"/>
              </w:rPr>
            </w:pPr>
            <w:r>
              <w:rPr>
                <w:rFonts w:ascii="Arial" w:cs="Arial" w:eastAsia="Arial" w:hAnsi="Arial"/>
                <w:sz w:val="18"/>
                <w:szCs w:val="18"/>
                <w:color w:val="auto"/>
              </w:rPr>
              <w:t>Income from continuing operations</w:t>
            </w:r>
          </w:p>
        </w:tc>
        <w:tc>
          <w:tcPr>
            <w:tcW w:w="740" w:type="dxa"/>
            <w:vAlign w:val="bottom"/>
            <w:tcBorders>
              <w:top w:val="single" w:sz="8" w:color="auto"/>
            </w:tcBorders>
          </w:tcPr>
          <w:p>
            <w:pPr>
              <w:spacing w:after="0"/>
              <w:rPr>
                <w:sz w:val="15"/>
                <w:szCs w:val="15"/>
                <w:color w:val="auto"/>
              </w:rPr>
            </w:pPr>
          </w:p>
        </w:tc>
        <w:tc>
          <w:tcPr>
            <w:tcW w:w="44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92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960" w:type="dxa"/>
            <w:vAlign w:val="bottom"/>
            <w:tcBorders>
              <w:top w:val="single" w:sz="8" w:color="auto"/>
            </w:tcBorders>
          </w:tcPr>
          <w:p>
            <w:pPr>
              <w:spacing w:after="0"/>
              <w:rPr>
                <w:sz w:val="15"/>
                <w:szCs w:val="15"/>
                <w:color w:val="auto"/>
              </w:rPr>
            </w:pP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3040" w:type="dxa"/>
            <w:vAlign w:val="bottom"/>
          </w:tcPr>
          <w:p>
            <w:pPr>
              <w:ind w:left="180"/>
              <w:spacing w:after="0"/>
              <w:rPr>
                <w:sz w:val="20"/>
                <w:szCs w:val="20"/>
                <w:color w:val="auto"/>
              </w:rPr>
            </w:pPr>
            <w:r>
              <w:rPr>
                <w:rFonts w:ascii="Arial" w:cs="Arial" w:eastAsia="Arial" w:hAnsi="Arial"/>
                <w:sz w:val="18"/>
                <w:szCs w:val="18"/>
                <w:color w:val="auto"/>
              </w:rPr>
              <w:t>available to common stockholders,</w:t>
            </w:r>
          </w:p>
        </w:tc>
        <w:tc>
          <w:tcPr>
            <w:tcW w:w="740" w:type="dxa"/>
            <w:vAlign w:val="bottom"/>
            <w:vMerge w:val="restart"/>
          </w:tcPr>
          <w:p>
            <w:pPr>
              <w:jc w:val="right"/>
              <w:ind w:right="586"/>
              <w:spacing w:after="0"/>
              <w:rPr>
                <w:sz w:val="20"/>
                <w:szCs w:val="20"/>
                <w:color w:val="auto"/>
              </w:rPr>
            </w:pPr>
            <w:r>
              <w:rPr>
                <w:rFonts w:ascii="Arial" w:cs="Arial" w:eastAsia="Arial" w:hAnsi="Arial"/>
                <w:sz w:val="15"/>
                <w:szCs w:val="15"/>
                <w:b w:val="1"/>
                <w:bCs w:val="1"/>
                <w:color w:val="auto"/>
                <w:w w:val="71"/>
              </w:rPr>
              <w:t>$</w:t>
            </w:r>
          </w:p>
        </w:tc>
        <w:tc>
          <w:tcPr>
            <w:tcW w:w="440" w:type="dxa"/>
            <w:vAlign w:val="bottom"/>
            <w:vMerge w:val="restart"/>
          </w:tcPr>
          <w:p>
            <w:pPr>
              <w:jc w:val="right"/>
              <w:spacing w:after="0"/>
              <w:rPr>
                <w:sz w:val="20"/>
                <w:szCs w:val="20"/>
                <w:color w:val="auto"/>
              </w:rPr>
            </w:pPr>
            <w:r>
              <w:rPr>
                <w:rFonts w:ascii="Arial" w:cs="Arial" w:eastAsia="Arial" w:hAnsi="Arial"/>
                <w:sz w:val="18"/>
                <w:szCs w:val="18"/>
                <w:b w:val="1"/>
                <w:bCs w:val="1"/>
                <w:color w:val="auto"/>
                <w:w w:val="88"/>
              </w:rPr>
              <w:t>210.5</w:t>
            </w:r>
          </w:p>
        </w:tc>
        <w:tc>
          <w:tcPr>
            <w:tcW w:w="220" w:type="dxa"/>
            <w:vAlign w:val="bottom"/>
          </w:tcPr>
          <w:p>
            <w:pPr>
              <w:spacing w:after="0"/>
              <w:rPr>
                <w:sz w:val="18"/>
                <w:szCs w:val="18"/>
                <w:color w:val="auto"/>
              </w:rPr>
            </w:pPr>
          </w:p>
        </w:tc>
        <w:tc>
          <w:tcPr>
            <w:tcW w:w="200" w:type="dxa"/>
            <w:vAlign w:val="bottom"/>
            <w:vMerge w:val="restart"/>
          </w:tcPr>
          <w:p>
            <w:pPr>
              <w:jc w:val="right"/>
              <w:ind w:right="45"/>
              <w:spacing w:after="0"/>
              <w:rPr>
                <w:sz w:val="20"/>
                <w:szCs w:val="20"/>
                <w:color w:val="auto"/>
              </w:rPr>
            </w:pPr>
            <w:r>
              <w:rPr>
                <w:rFonts w:ascii="Arial" w:cs="Arial" w:eastAsia="Arial" w:hAnsi="Arial"/>
                <w:sz w:val="15"/>
                <w:szCs w:val="15"/>
                <w:color w:val="auto"/>
                <w:w w:val="71"/>
              </w:rPr>
              <w:t>$</w:t>
            </w:r>
          </w:p>
        </w:tc>
        <w:tc>
          <w:tcPr>
            <w:tcW w:w="980" w:type="dxa"/>
            <w:vAlign w:val="bottom"/>
            <w:vMerge w:val="restart"/>
          </w:tcPr>
          <w:p>
            <w:pPr>
              <w:jc w:val="right"/>
              <w:spacing w:after="0"/>
              <w:rPr>
                <w:sz w:val="20"/>
                <w:szCs w:val="20"/>
                <w:color w:val="auto"/>
              </w:rPr>
            </w:pPr>
            <w:r>
              <w:rPr>
                <w:rFonts w:ascii="Arial" w:cs="Arial" w:eastAsia="Arial" w:hAnsi="Arial"/>
                <w:sz w:val="18"/>
                <w:szCs w:val="18"/>
                <w:color w:val="auto"/>
              </w:rPr>
              <w:t>223.6</w:t>
            </w:r>
          </w:p>
        </w:tc>
        <w:tc>
          <w:tcPr>
            <w:tcW w:w="500" w:type="dxa"/>
            <w:vAlign w:val="bottom"/>
            <w:gridSpan w:val="2"/>
            <w:vMerge w:val="restart"/>
          </w:tcPr>
          <w:p>
            <w:pPr>
              <w:jc w:val="right"/>
              <w:ind w:right="90"/>
              <w:spacing w:after="0"/>
              <w:rPr>
                <w:sz w:val="20"/>
                <w:szCs w:val="20"/>
                <w:color w:val="auto"/>
              </w:rPr>
            </w:pPr>
            <w:r>
              <w:rPr>
                <w:rFonts w:ascii="Arial" w:cs="Arial" w:eastAsia="Arial" w:hAnsi="Arial"/>
                <w:sz w:val="18"/>
                <w:szCs w:val="18"/>
                <w:b w:val="1"/>
                <w:bCs w:val="1"/>
                <w:color w:val="auto"/>
              </w:rPr>
              <w:t>$</w:t>
            </w:r>
          </w:p>
        </w:tc>
        <w:tc>
          <w:tcPr>
            <w:tcW w:w="9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496.2</w:t>
            </w:r>
          </w:p>
        </w:tc>
        <w:tc>
          <w:tcPr>
            <w:tcW w:w="220" w:type="dxa"/>
            <w:vAlign w:val="bottom"/>
          </w:tcPr>
          <w:p>
            <w:pPr>
              <w:spacing w:after="0"/>
              <w:rPr>
                <w:sz w:val="18"/>
                <w:szCs w:val="18"/>
                <w:color w:val="auto"/>
              </w:rPr>
            </w:pPr>
          </w:p>
        </w:tc>
        <w:tc>
          <w:tcPr>
            <w:tcW w:w="300" w:type="dxa"/>
            <w:vAlign w:val="bottom"/>
            <w:vMerge w:val="restart"/>
          </w:tcPr>
          <w:p>
            <w:pPr>
              <w:jc w:val="right"/>
              <w:ind w:right="145"/>
              <w:spacing w:after="0"/>
              <w:rPr>
                <w:sz w:val="20"/>
                <w:szCs w:val="20"/>
                <w:color w:val="auto"/>
              </w:rPr>
            </w:pPr>
            <w:r>
              <w:rPr>
                <w:rFonts w:ascii="Arial" w:cs="Arial" w:eastAsia="Arial" w:hAnsi="Arial"/>
                <w:sz w:val="15"/>
                <w:szCs w:val="15"/>
                <w:color w:val="auto"/>
                <w:w w:val="71"/>
              </w:rPr>
              <w:t>$</w:t>
            </w:r>
          </w:p>
        </w:tc>
        <w:tc>
          <w:tcPr>
            <w:tcW w:w="960" w:type="dxa"/>
            <w:vAlign w:val="bottom"/>
            <w:vMerge w:val="restart"/>
          </w:tcPr>
          <w:p>
            <w:pPr>
              <w:jc w:val="right"/>
              <w:spacing w:after="0"/>
              <w:rPr>
                <w:sz w:val="20"/>
                <w:szCs w:val="20"/>
                <w:color w:val="auto"/>
              </w:rPr>
            </w:pPr>
            <w:r>
              <w:rPr>
                <w:rFonts w:ascii="Arial" w:cs="Arial" w:eastAsia="Arial" w:hAnsi="Arial"/>
                <w:sz w:val="18"/>
                <w:szCs w:val="18"/>
                <w:color w:val="auto"/>
              </w:rPr>
              <w:t>428.5</w:t>
            </w: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460" w:type="dxa"/>
            <w:vAlign w:val="bottom"/>
          </w:tcPr>
          <w:p>
            <w:pPr>
              <w:spacing w:after="0"/>
              <w:rPr>
                <w:sz w:val="22"/>
                <w:szCs w:val="22"/>
                <w:color w:val="auto"/>
              </w:rPr>
            </w:pPr>
          </w:p>
        </w:tc>
        <w:tc>
          <w:tcPr>
            <w:tcW w:w="3040" w:type="dxa"/>
            <w:vAlign w:val="bottom"/>
          </w:tcPr>
          <w:p>
            <w:pPr>
              <w:ind w:left="180"/>
              <w:spacing w:after="0"/>
              <w:rPr>
                <w:sz w:val="20"/>
                <w:szCs w:val="20"/>
                <w:color w:val="auto"/>
              </w:rPr>
            </w:pPr>
            <w:r>
              <w:rPr>
                <w:rFonts w:ascii="Arial" w:cs="Arial" w:eastAsia="Arial" w:hAnsi="Arial"/>
                <w:sz w:val="18"/>
                <w:szCs w:val="18"/>
                <w:color w:val="auto"/>
              </w:rPr>
              <w:t>net of related income taxes</w:t>
            </w:r>
          </w:p>
        </w:tc>
        <w:tc>
          <w:tcPr>
            <w:tcW w:w="740" w:type="dxa"/>
            <w:vAlign w:val="bottom"/>
            <w:vMerge w:val="continue"/>
          </w:tcPr>
          <w:p>
            <w:pPr>
              <w:spacing w:after="0"/>
              <w:rPr>
                <w:sz w:val="22"/>
                <w:szCs w:val="22"/>
                <w:color w:val="auto"/>
              </w:rPr>
            </w:pPr>
          </w:p>
        </w:tc>
        <w:tc>
          <w:tcPr>
            <w:tcW w:w="440" w:type="dxa"/>
            <w:vAlign w:val="bottom"/>
            <w:vMerge w:val="continue"/>
          </w:tcPr>
          <w:p>
            <w:pPr>
              <w:spacing w:after="0"/>
              <w:rPr>
                <w:sz w:val="22"/>
                <w:szCs w:val="22"/>
                <w:color w:val="auto"/>
              </w:rPr>
            </w:pPr>
          </w:p>
        </w:tc>
        <w:tc>
          <w:tcPr>
            <w:tcW w:w="220" w:type="dxa"/>
            <w:vAlign w:val="bottom"/>
          </w:tcPr>
          <w:p>
            <w:pPr>
              <w:spacing w:after="0"/>
              <w:rPr>
                <w:sz w:val="22"/>
                <w:szCs w:val="22"/>
                <w:color w:val="auto"/>
              </w:rPr>
            </w:pPr>
          </w:p>
        </w:tc>
        <w:tc>
          <w:tcPr>
            <w:tcW w:w="200" w:type="dxa"/>
            <w:vAlign w:val="bottom"/>
            <w:vMerge w:val="continue"/>
          </w:tcPr>
          <w:p>
            <w:pPr>
              <w:spacing w:after="0"/>
              <w:rPr>
                <w:sz w:val="22"/>
                <w:szCs w:val="22"/>
                <w:color w:val="auto"/>
              </w:rPr>
            </w:pPr>
          </w:p>
        </w:tc>
        <w:tc>
          <w:tcPr>
            <w:tcW w:w="980" w:type="dxa"/>
            <w:vAlign w:val="bottom"/>
            <w:vMerge w:val="continue"/>
          </w:tcPr>
          <w:p>
            <w:pPr>
              <w:spacing w:after="0"/>
              <w:rPr>
                <w:sz w:val="22"/>
                <w:szCs w:val="22"/>
                <w:color w:val="auto"/>
              </w:rPr>
            </w:pPr>
          </w:p>
        </w:tc>
        <w:tc>
          <w:tcPr>
            <w:tcW w:w="500" w:type="dxa"/>
            <w:vAlign w:val="bottom"/>
            <w:gridSpan w:val="2"/>
            <w:vMerge w:val="continue"/>
          </w:tcPr>
          <w:p>
            <w:pPr>
              <w:spacing w:after="0"/>
              <w:rPr>
                <w:sz w:val="22"/>
                <w:szCs w:val="22"/>
                <w:color w:val="auto"/>
              </w:rPr>
            </w:pPr>
          </w:p>
        </w:tc>
        <w:tc>
          <w:tcPr>
            <w:tcW w:w="920" w:type="dxa"/>
            <w:vAlign w:val="bottom"/>
            <w:vMerge w:val="continue"/>
          </w:tcPr>
          <w:p>
            <w:pPr>
              <w:spacing w:after="0"/>
              <w:rPr>
                <w:sz w:val="22"/>
                <w:szCs w:val="22"/>
                <w:color w:val="auto"/>
              </w:rPr>
            </w:pPr>
          </w:p>
        </w:tc>
        <w:tc>
          <w:tcPr>
            <w:tcW w:w="220" w:type="dxa"/>
            <w:vAlign w:val="bottom"/>
          </w:tcPr>
          <w:p>
            <w:pPr>
              <w:spacing w:after="0"/>
              <w:rPr>
                <w:sz w:val="22"/>
                <w:szCs w:val="22"/>
                <w:color w:val="auto"/>
              </w:rPr>
            </w:pPr>
          </w:p>
        </w:tc>
        <w:tc>
          <w:tcPr>
            <w:tcW w:w="300" w:type="dxa"/>
            <w:vAlign w:val="bottom"/>
            <w:vMerge w:val="continue"/>
          </w:tcPr>
          <w:p>
            <w:pPr>
              <w:spacing w:after="0"/>
              <w:rPr>
                <w:sz w:val="22"/>
                <w:szCs w:val="22"/>
                <w:color w:val="auto"/>
              </w:rPr>
            </w:pPr>
          </w:p>
        </w:tc>
        <w:tc>
          <w:tcPr>
            <w:tcW w:w="960" w:type="dxa"/>
            <w:vAlign w:val="bottom"/>
            <w:vMerge w:val="continue"/>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70"/>
        </w:trPr>
        <w:tc>
          <w:tcPr>
            <w:tcW w:w="1460" w:type="dxa"/>
            <w:vAlign w:val="bottom"/>
          </w:tcPr>
          <w:p>
            <w:pPr>
              <w:spacing w:after="0"/>
              <w:rPr>
                <w:sz w:val="14"/>
                <w:szCs w:val="14"/>
                <w:color w:val="auto"/>
              </w:rPr>
            </w:pPr>
          </w:p>
        </w:tc>
        <w:tc>
          <w:tcPr>
            <w:tcW w:w="3040" w:type="dxa"/>
            <w:vAlign w:val="bottom"/>
            <w:tcBorders>
              <w:top w:val="single" w:sz="8" w:color="CCEEFF"/>
            </w:tcBorders>
            <w:shd w:val="clear" w:color="auto" w:fill="CCEEFF"/>
          </w:tcPr>
          <w:p>
            <w:pPr>
              <w:spacing w:after="0" w:line="170" w:lineRule="exact"/>
              <w:rPr>
                <w:sz w:val="20"/>
                <w:szCs w:val="20"/>
                <w:color w:val="auto"/>
              </w:rPr>
            </w:pPr>
            <w:r>
              <w:rPr>
                <w:rFonts w:ascii="Arial" w:cs="Arial" w:eastAsia="Arial" w:hAnsi="Arial"/>
                <w:sz w:val="18"/>
                <w:szCs w:val="18"/>
                <w:color w:val="auto"/>
                <w:w w:val="97"/>
              </w:rPr>
              <w:t>Weighted-average shares outstanding:</w:t>
            </w:r>
          </w:p>
        </w:tc>
        <w:tc>
          <w:tcPr>
            <w:tcW w:w="740" w:type="dxa"/>
            <w:vAlign w:val="bottom"/>
            <w:tcBorders>
              <w:top w:val="single" w:sz="8" w:color="auto"/>
            </w:tcBorders>
            <w:shd w:val="clear" w:color="auto" w:fill="CCEEFF"/>
          </w:tcPr>
          <w:p>
            <w:pPr>
              <w:spacing w:after="0"/>
              <w:rPr>
                <w:sz w:val="14"/>
                <w:szCs w:val="14"/>
                <w:color w:val="auto"/>
              </w:rPr>
            </w:pPr>
          </w:p>
        </w:tc>
        <w:tc>
          <w:tcPr>
            <w:tcW w:w="440" w:type="dxa"/>
            <w:vAlign w:val="bottom"/>
            <w:tcBorders>
              <w:top w:val="single" w:sz="8" w:color="auto"/>
            </w:tcBorders>
            <w:shd w:val="clear" w:color="auto" w:fill="CCEEFF"/>
          </w:tcPr>
          <w:p>
            <w:pPr>
              <w:spacing w:after="0"/>
              <w:rPr>
                <w:sz w:val="14"/>
                <w:szCs w:val="14"/>
                <w:color w:val="auto"/>
              </w:rPr>
            </w:pPr>
          </w:p>
        </w:tc>
        <w:tc>
          <w:tcPr>
            <w:tcW w:w="22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auto"/>
            </w:tcBorders>
            <w:shd w:val="clear" w:color="auto" w:fill="CCEEFF"/>
          </w:tcPr>
          <w:p>
            <w:pPr>
              <w:spacing w:after="0"/>
              <w:rPr>
                <w:sz w:val="14"/>
                <w:szCs w:val="14"/>
                <w:color w:val="auto"/>
              </w:rPr>
            </w:pPr>
          </w:p>
        </w:tc>
        <w:tc>
          <w:tcPr>
            <w:tcW w:w="980" w:type="dxa"/>
            <w:vAlign w:val="bottom"/>
            <w:tcBorders>
              <w:top w:val="single" w:sz="8" w:color="auto"/>
            </w:tcBorders>
            <w:shd w:val="clear" w:color="auto" w:fill="CCEEFF"/>
          </w:tcPr>
          <w:p>
            <w:pPr>
              <w:spacing w:after="0"/>
              <w:rPr>
                <w:sz w:val="14"/>
                <w:szCs w:val="14"/>
                <w:color w:val="auto"/>
              </w:rPr>
            </w:pPr>
          </w:p>
        </w:tc>
        <w:tc>
          <w:tcPr>
            <w:tcW w:w="220" w:type="dxa"/>
            <w:vAlign w:val="bottom"/>
            <w:tcBorders>
              <w:top w:val="single" w:sz="8" w:color="CCEEFF"/>
            </w:tcBorders>
            <w:shd w:val="clear" w:color="auto" w:fill="CCEEFF"/>
          </w:tcPr>
          <w:p>
            <w:pPr>
              <w:spacing w:after="0"/>
              <w:rPr>
                <w:sz w:val="14"/>
                <w:szCs w:val="14"/>
                <w:color w:val="auto"/>
              </w:rPr>
            </w:pPr>
          </w:p>
        </w:tc>
        <w:tc>
          <w:tcPr>
            <w:tcW w:w="280" w:type="dxa"/>
            <w:vAlign w:val="bottom"/>
            <w:tcBorders>
              <w:top w:val="single" w:sz="8" w:color="auto"/>
            </w:tcBorders>
            <w:shd w:val="clear" w:color="auto" w:fill="CCEEFF"/>
          </w:tcPr>
          <w:p>
            <w:pPr>
              <w:spacing w:after="0"/>
              <w:rPr>
                <w:sz w:val="14"/>
                <w:szCs w:val="14"/>
                <w:color w:val="auto"/>
              </w:rPr>
            </w:pPr>
          </w:p>
        </w:tc>
        <w:tc>
          <w:tcPr>
            <w:tcW w:w="920" w:type="dxa"/>
            <w:vAlign w:val="bottom"/>
            <w:tcBorders>
              <w:top w:val="single" w:sz="8" w:color="auto"/>
            </w:tcBorders>
            <w:shd w:val="clear" w:color="auto" w:fill="CCEEFF"/>
          </w:tcPr>
          <w:p>
            <w:pPr>
              <w:spacing w:after="0"/>
              <w:rPr>
                <w:sz w:val="14"/>
                <w:szCs w:val="14"/>
                <w:color w:val="auto"/>
              </w:rPr>
            </w:pPr>
          </w:p>
        </w:tc>
        <w:tc>
          <w:tcPr>
            <w:tcW w:w="220" w:type="dxa"/>
            <w:vAlign w:val="bottom"/>
            <w:tcBorders>
              <w:top w:val="single" w:sz="8" w:color="CCEEFF"/>
            </w:tcBorders>
            <w:shd w:val="clear" w:color="auto" w:fill="CCEEFF"/>
          </w:tcPr>
          <w:p>
            <w:pPr>
              <w:spacing w:after="0"/>
              <w:rPr>
                <w:sz w:val="14"/>
                <w:szCs w:val="14"/>
                <w:color w:val="auto"/>
              </w:rPr>
            </w:pPr>
          </w:p>
        </w:tc>
        <w:tc>
          <w:tcPr>
            <w:tcW w:w="300" w:type="dxa"/>
            <w:vAlign w:val="bottom"/>
            <w:tcBorders>
              <w:top w:val="single" w:sz="8" w:color="auto"/>
            </w:tcBorders>
            <w:shd w:val="clear" w:color="auto" w:fill="CCEEFF"/>
          </w:tcPr>
          <w:p>
            <w:pPr>
              <w:spacing w:after="0"/>
              <w:rPr>
                <w:sz w:val="14"/>
                <w:szCs w:val="14"/>
                <w:color w:val="auto"/>
              </w:rPr>
            </w:pPr>
          </w:p>
        </w:tc>
        <w:tc>
          <w:tcPr>
            <w:tcW w:w="960" w:type="dxa"/>
            <w:vAlign w:val="bottom"/>
            <w:tcBorders>
              <w:top w:val="single" w:sz="8" w:color="auto"/>
              <w:right w:val="single" w:sz="8" w:color="CCEEFF"/>
            </w:tcBorders>
            <w:shd w:val="clear" w:color="auto" w:fill="CCEEFF"/>
          </w:tcPr>
          <w:p>
            <w:pPr>
              <w:spacing w:after="0"/>
              <w:rPr>
                <w:sz w:val="14"/>
                <w:szCs w:val="14"/>
                <w:color w:val="auto"/>
              </w:rPr>
            </w:pPr>
          </w:p>
        </w:tc>
        <w:tc>
          <w:tcPr>
            <w:tcW w:w="1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3040" w:type="dxa"/>
            <w:vAlign w:val="bottom"/>
          </w:tcPr>
          <w:p>
            <w:pPr>
              <w:ind w:left="180"/>
              <w:spacing w:after="0"/>
              <w:rPr>
                <w:sz w:val="20"/>
                <w:szCs w:val="20"/>
                <w:color w:val="auto"/>
              </w:rPr>
            </w:pPr>
            <w:r>
              <w:rPr>
                <w:rFonts w:ascii="Arial" w:cs="Arial" w:eastAsia="Arial" w:hAnsi="Arial"/>
                <w:sz w:val="18"/>
                <w:szCs w:val="18"/>
                <w:color w:val="auto"/>
              </w:rPr>
              <w:t>Basic</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b w:val="1"/>
                <w:bCs w:val="1"/>
                <w:color w:val="auto"/>
                <w:w w:val="88"/>
              </w:rPr>
              <w:t>273.5</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288.9</w:t>
            </w: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276.5</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295.8</w:t>
            </w: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30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Dilutive effects:</w:t>
            </w:r>
          </w:p>
        </w:tc>
        <w:tc>
          <w:tcPr>
            <w:tcW w:w="7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spacing w:after="0"/>
              <w:rPr>
                <w:sz w:val="18"/>
                <w:szCs w:val="18"/>
                <w:color w:val="auto"/>
              </w:rPr>
            </w:pP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3040" w:type="dxa"/>
            <w:vAlign w:val="bottom"/>
          </w:tcPr>
          <w:p>
            <w:pPr>
              <w:ind w:left="360"/>
              <w:spacing w:after="0"/>
              <w:rPr>
                <w:sz w:val="20"/>
                <w:szCs w:val="20"/>
                <w:color w:val="auto"/>
              </w:rPr>
            </w:pPr>
            <w:r>
              <w:rPr>
                <w:rFonts w:ascii="Arial" w:cs="Arial" w:eastAsia="Arial" w:hAnsi="Arial"/>
                <w:sz w:val="18"/>
                <w:szCs w:val="18"/>
                <w:color w:val="auto"/>
              </w:rPr>
              <w:t>Stock options</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b w:val="1"/>
                <w:bCs w:val="1"/>
                <w:color w:val="auto"/>
              </w:rPr>
              <w:t>2.1</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1.5</w:t>
            </w: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1.9</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1.5</w:t>
            </w: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30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Restricted stock units</w:t>
            </w:r>
          </w:p>
        </w:tc>
        <w:tc>
          <w:tcPr>
            <w:tcW w:w="74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0.6</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0.6</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3040" w:type="dxa"/>
            <w:vAlign w:val="bottom"/>
          </w:tcPr>
          <w:p>
            <w:pPr>
              <w:ind w:left="360"/>
              <w:spacing w:after="0"/>
              <w:rPr>
                <w:sz w:val="20"/>
                <w:szCs w:val="20"/>
                <w:color w:val="auto"/>
              </w:rPr>
            </w:pPr>
            <w:r>
              <w:rPr>
                <w:rFonts w:ascii="Arial" w:cs="Arial" w:eastAsia="Arial" w:hAnsi="Arial"/>
                <w:sz w:val="18"/>
                <w:szCs w:val="18"/>
                <w:color w:val="auto"/>
              </w:rPr>
              <w:t>Long term performance plan</w:t>
            </w:r>
          </w:p>
        </w:tc>
        <w:tc>
          <w:tcPr>
            <w:tcW w:w="740" w:type="dxa"/>
            <w:vAlign w:val="bottom"/>
          </w:tcPr>
          <w:p>
            <w:pPr>
              <w:spacing w:after="0"/>
              <w:rPr>
                <w:sz w:val="18"/>
                <w:szCs w:val="18"/>
                <w:color w:val="auto"/>
              </w:rPr>
            </w:pPr>
          </w:p>
        </w:tc>
        <w:tc>
          <w:tcPr>
            <w:tcW w:w="6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0.1</w:t>
            </w: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0.1</w:t>
            </w: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460" w:type="dxa"/>
            <w:vAlign w:val="bottom"/>
          </w:tcPr>
          <w:p>
            <w:pPr>
              <w:spacing w:after="0"/>
              <w:rPr>
                <w:sz w:val="17"/>
                <w:szCs w:val="17"/>
                <w:color w:val="auto"/>
              </w:rPr>
            </w:pPr>
          </w:p>
        </w:tc>
        <w:tc>
          <w:tcPr>
            <w:tcW w:w="3040" w:type="dxa"/>
            <w:vAlign w:val="bottom"/>
            <w:shd w:val="clear" w:color="auto" w:fill="CCEEFF"/>
          </w:tcPr>
          <w:p>
            <w:pPr>
              <w:ind w:left="360"/>
              <w:spacing w:after="0" w:line="201" w:lineRule="exact"/>
              <w:rPr>
                <w:sz w:val="20"/>
                <w:szCs w:val="20"/>
                <w:color w:val="auto"/>
              </w:rPr>
            </w:pPr>
            <w:r>
              <w:rPr>
                <w:rFonts w:ascii="Arial" w:cs="Arial" w:eastAsia="Arial" w:hAnsi="Arial"/>
                <w:sz w:val="18"/>
                <w:szCs w:val="18"/>
                <w:color w:val="auto"/>
              </w:rPr>
              <w:t>Accelerated stock repurchase</w:t>
            </w:r>
          </w:p>
        </w:tc>
        <w:tc>
          <w:tcPr>
            <w:tcW w:w="740" w:type="dxa"/>
            <w:vAlign w:val="bottom"/>
            <w:shd w:val="clear" w:color="auto" w:fill="CCEEFF"/>
          </w:tcPr>
          <w:p>
            <w:pPr>
              <w:spacing w:after="0"/>
              <w:rPr>
                <w:sz w:val="17"/>
                <w:szCs w:val="17"/>
                <w:color w:val="auto"/>
              </w:rPr>
            </w:pPr>
          </w:p>
        </w:tc>
        <w:tc>
          <w:tcPr>
            <w:tcW w:w="66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14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300" w:type="dxa"/>
            <w:vAlign w:val="bottom"/>
            <w:shd w:val="clear" w:color="auto" w:fill="CCEEFF"/>
          </w:tcPr>
          <w:p>
            <w:pPr>
              <w:spacing w:after="0"/>
              <w:rPr>
                <w:sz w:val="17"/>
                <w:szCs w:val="17"/>
                <w:color w:val="auto"/>
              </w:rPr>
            </w:pPr>
          </w:p>
        </w:tc>
        <w:tc>
          <w:tcPr>
            <w:tcW w:w="960" w:type="dxa"/>
            <w:vAlign w:val="bottom"/>
            <w:tcBorders>
              <w:right w:val="single" w:sz="8" w:color="CCEEFF"/>
            </w:tcBorders>
            <w:shd w:val="clear" w:color="auto" w:fill="CCEEFF"/>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460" w:type="dxa"/>
            <w:vAlign w:val="bottom"/>
          </w:tcPr>
          <w:p>
            <w:pPr>
              <w:spacing w:after="0"/>
              <w:rPr>
                <w:sz w:val="20"/>
                <w:szCs w:val="20"/>
                <w:color w:val="auto"/>
              </w:rPr>
            </w:pPr>
          </w:p>
        </w:tc>
        <w:tc>
          <w:tcPr>
            <w:tcW w:w="3040" w:type="dxa"/>
            <w:vAlign w:val="bottom"/>
            <w:shd w:val="clear" w:color="auto" w:fill="CCEEFF"/>
          </w:tcPr>
          <w:p>
            <w:pPr>
              <w:ind w:left="540"/>
              <w:spacing w:after="0"/>
              <w:rPr>
                <w:sz w:val="20"/>
                <w:szCs w:val="20"/>
                <w:color w:val="auto"/>
              </w:rPr>
            </w:pPr>
            <w:r>
              <w:rPr>
                <w:rFonts w:ascii="Arial" w:cs="Arial" w:eastAsia="Arial" w:hAnsi="Arial"/>
                <w:sz w:val="18"/>
                <w:szCs w:val="18"/>
                <w:color w:val="auto"/>
              </w:rPr>
              <w:t>agreement</w:t>
            </w:r>
          </w:p>
        </w:tc>
        <w:tc>
          <w:tcPr>
            <w:tcW w:w="740" w:type="dxa"/>
            <w:vAlign w:val="bottom"/>
            <w:shd w:val="clear" w:color="auto" w:fill="CCEEFF"/>
          </w:tcPr>
          <w:p>
            <w:pPr>
              <w:spacing w:after="0"/>
              <w:rPr>
                <w:sz w:val="20"/>
                <w:szCs w:val="20"/>
                <w:color w:val="auto"/>
              </w:rPr>
            </w:pPr>
          </w:p>
        </w:tc>
        <w:tc>
          <w:tcPr>
            <w:tcW w:w="66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2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140" w:type="dxa"/>
            <w:vAlign w:val="bottom"/>
            <w:gridSpan w:val="2"/>
            <w:vMerge w:val="continue"/>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14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1460" w:type="dxa"/>
            <w:vAlign w:val="bottom"/>
          </w:tcPr>
          <w:p>
            <w:pPr>
              <w:spacing w:after="0"/>
              <w:rPr>
                <w:sz w:val="21"/>
                <w:szCs w:val="21"/>
                <w:color w:val="auto"/>
              </w:rPr>
            </w:pPr>
          </w:p>
        </w:tc>
        <w:tc>
          <w:tcPr>
            <w:tcW w:w="304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Diluted</w:t>
            </w:r>
          </w:p>
        </w:tc>
        <w:tc>
          <w:tcPr>
            <w:tcW w:w="740" w:type="dxa"/>
            <w:vAlign w:val="bottom"/>
            <w:tcBorders>
              <w:top w:val="single" w:sz="8" w:color="auto"/>
              <w:bottom w:val="single" w:sz="8" w:color="auto"/>
            </w:tcBorders>
          </w:tcPr>
          <w:p>
            <w:pPr>
              <w:spacing w:after="0"/>
              <w:rPr>
                <w:sz w:val="21"/>
                <w:szCs w:val="21"/>
                <w:color w:val="auto"/>
              </w:rPr>
            </w:pP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88"/>
              </w:rPr>
              <w:t>276.2</w:t>
            </w:r>
          </w:p>
        </w:tc>
        <w:tc>
          <w:tcPr>
            <w:tcW w:w="22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291.4</w:t>
            </w:r>
          </w:p>
        </w:tc>
        <w:tc>
          <w:tcPr>
            <w:tcW w:w="220" w:type="dxa"/>
            <w:vAlign w:val="bottom"/>
            <w:tcBorders>
              <w:bottom w:val="single" w:sz="8" w:color="CCEEFF"/>
            </w:tcBorders>
          </w:tcPr>
          <w:p>
            <w:pPr>
              <w:spacing w:after="0"/>
              <w:rPr>
                <w:sz w:val="21"/>
                <w:szCs w:val="21"/>
                <w:color w:val="auto"/>
              </w:rPr>
            </w:pPr>
          </w:p>
        </w:tc>
        <w:tc>
          <w:tcPr>
            <w:tcW w:w="280" w:type="dxa"/>
            <w:vAlign w:val="bottom"/>
            <w:tcBorders>
              <w:top w:val="single" w:sz="8" w:color="auto"/>
              <w:bottom w:val="single" w:sz="8" w:color="auto"/>
            </w:tcBorders>
          </w:tcPr>
          <w:p>
            <w:pPr>
              <w:spacing w:after="0"/>
              <w:rPr>
                <w:sz w:val="21"/>
                <w:szCs w:val="21"/>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279.0</w:t>
            </w:r>
          </w:p>
        </w:tc>
        <w:tc>
          <w:tcPr>
            <w:tcW w:w="220" w:type="dxa"/>
            <w:vAlign w:val="bottom"/>
            <w:tcBorders>
              <w:bottom w:val="single" w:sz="8" w:color="CCEEFF"/>
            </w:tcBorders>
          </w:tcPr>
          <w:p>
            <w:pPr>
              <w:spacing w:after="0"/>
              <w:rPr>
                <w:sz w:val="21"/>
                <w:szCs w:val="21"/>
                <w:color w:val="auto"/>
              </w:rPr>
            </w:pPr>
          </w:p>
        </w:tc>
        <w:tc>
          <w:tcPr>
            <w:tcW w:w="300" w:type="dxa"/>
            <w:vAlign w:val="bottom"/>
            <w:tcBorders>
              <w:top w:val="single" w:sz="8" w:color="auto"/>
              <w:bottom w:val="single" w:sz="8" w:color="auto"/>
            </w:tcBorders>
          </w:tcPr>
          <w:p>
            <w:pPr>
              <w:spacing w:after="0"/>
              <w:rPr>
                <w:sz w:val="21"/>
                <w:szCs w:val="21"/>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298.2</w:t>
            </w:r>
          </w:p>
        </w:tc>
        <w:tc>
          <w:tcPr>
            <w:tcW w:w="1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5"/>
        </w:trPr>
        <w:tc>
          <w:tcPr>
            <w:tcW w:w="1460" w:type="dxa"/>
            <w:vAlign w:val="bottom"/>
          </w:tcPr>
          <w:p>
            <w:pPr>
              <w:spacing w:after="0"/>
              <w:rPr>
                <w:sz w:val="13"/>
                <w:szCs w:val="13"/>
                <w:color w:val="auto"/>
              </w:rPr>
            </w:pPr>
          </w:p>
        </w:tc>
        <w:tc>
          <w:tcPr>
            <w:tcW w:w="3040" w:type="dxa"/>
            <w:vAlign w:val="bottom"/>
            <w:shd w:val="clear" w:color="auto" w:fill="CCEEFF"/>
          </w:tcPr>
          <w:p>
            <w:pPr>
              <w:spacing w:after="0" w:line="156" w:lineRule="exact"/>
              <w:rPr>
                <w:sz w:val="20"/>
                <w:szCs w:val="20"/>
                <w:color w:val="auto"/>
              </w:rPr>
            </w:pPr>
            <w:r>
              <w:rPr>
                <w:rFonts w:ascii="Arial" w:cs="Arial" w:eastAsia="Arial" w:hAnsi="Arial"/>
                <w:sz w:val="18"/>
                <w:szCs w:val="18"/>
                <w:color w:val="auto"/>
              </w:rPr>
              <w:t>Income from continuing operations</w:t>
            </w:r>
          </w:p>
        </w:tc>
        <w:tc>
          <w:tcPr>
            <w:tcW w:w="740" w:type="dxa"/>
            <w:vAlign w:val="bottom"/>
            <w:shd w:val="clear" w:color="auto" w:fill="CCEEFF"/>
          </w:tcPr>
          <w:p>
            <w:pPr>
              <w:spacing w:after="0"/>
              <w:rPr>
                <w:sz w:val="13"/>
                <w:szCs w:val="13"/>
                <w:color w:val="auto"/>
              </w:rPr>
            </w:pPr>
          </w:p>
        </w:tc>
        <w:tc>
          <w:tcPr>
            <w:tcW w:w="44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960" w:type="dxa"/>
            <w:vAlign w:val="bottom"/>
            <w:tcBorders>
              <w:right w:val="single" w:sz="8" w:color="CCEEFF"/>
            </w:tcBorders>
            <w:shd w:val="clear" w:color="auto" w:fill="CCEEFF"/>
          </w:tcPr>
          <w:p>
            <w:pPr>
              <w:spacing w:after="0"/>
              <w:rPr>
                <w:sz w:val="13"/>
                <w:szCs w:val="13"/>
                <w:color w:val="auto"/>
              </w:rPr>
            </w:pP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1460" w:type="dxa"/>
            <w:vAlign w:val="bottom"/>
          </w:tcPr>
          <w:p>
            <w:pPr>
              <w:spacing w:after="0"/>
              <w:rPr>
                <w:sz w:val="20"/>
                <w:szCs w:val="20"/>
                <w:color w:val="auto"/>
              </w:rPr>
            </w:pPr>
          </w:p>
        </w:tc>
        <w:tc>
          <w:tcPr>
            <w:tcW w:w="30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per common share:</w:t>
            </w:r>
          </w:p>
        </w:tc>
        <w:tc>
          <w:tcPr>
            <w:tcW w:w="74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9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960" w:type="dxa"/>
            <w:vAlign w:val="bottom"/>
            <w:tcBorders>
              <w:right w:val="single" w:sz="8" w:color="CCEEFF"/>
            </w:tcBorders>
            <w:shd w:val="clear" w:color="auto" w:fill="CCEEFF"/>
          </w:tcPr>
          <w:p>
            <w:pPr>
              <w:spacing w:after="0"/>
              <w:rPr>
                <w:sz w:val="20"/>
                <w:szCs w:val="20"/>
                <w:color w:val="auto"/>
              </w:rPr>
            </w:pPr>
          </w:p>
        </w:tc>
        <w:tc>
          <w:tcPr>
            <w:tcW w:w="14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1460" w:type="dxa"/>
            <w:vAlign w:val="bottom"/>
          </w:tcPr>
          <w:p>
            <w:pPr>
              <w:spacing w:after="0"/>
              <w:rPr>
                <w:sz w:val="22"/>
                <w:szCs w:val="22"/>
                <w:color w:val="auto"/>
              </w:rPr>
            </w:pPr>
          </w:p>
        </w:tc>
        <w:tc>
          <w:tcPr>
            <w:tcW w:w="3040" w:type="dxa"/>
            <w:vAlign w:val="bottom"/>
          </w:tcPr>
          <w:p>
            <w:pPr>
              <w:ind w:left="180"/>
              <w:spacing w:after="0"/>
              <w:rPr>
                <w:sz w:val="20"/>
                <w:szCs w:val="20"/>
                <w:color w:val="auto"/>
              </w:rPr>
            </w:pPr>
            <w:r>
              <w:rPr>
                <w:rFonts w:ascii="Arial" w:cs="Arial" w:eastAsia="Arial" w:hAnsi="Arial"/>
                <w:sz w:val="18"/>
                <w:szCs w:val="18"/>
                <w:color w:val="auto"/>
              </w:rPr>
              <w:t>Basic</w:t>
            </w:r>
          </w:p>
        </w:tc>
        <w:tc>
          <w:tcPr>
            <w:tcW w:w="740" w:type="dxa"/>
            <w:vAlign w:val="bottom"/>
          </w:tcPr>
          <w:p>
            <w:pPr>
              <w:jc w:val="right"/>
              <w:ind w:right="586"/>
              <w:spacing w:after="0"/>
              <w:rPr>
                <w:sz w:val="20"/>
                <w:szCs w:val="20"/>
                <w:color w:val="auto"/>
              </w:rPr>
            </w:pPr>
            <w:r>
              <w:rPr>
                <w:rFonts w:ascii="Arial" w:cs="Arial" w:eastAsia="Arial" w:hAnsi="Arial"/>
                <w:sz w:val="15"/>
                <w:szCs w:val="15"/>
                <w:b w:val="1"/>
                <w:bCs w:val="1"/>
                <w:color w:val="auto"/>
                <w:w w:val="71"/>
              </w:rPr>
              <w:t>$</w:t>
            </w:r>
          </w:p>
        </w:tc>
        <w:tc>
          <w:tcPr>
            <w:tcW w:w="440" w:type="dxa"/>
            <w:vAlign w:val="bottom"/>
          </w:tcPr>
          <w:p>
            <w:pPr>
              <w:jc w:val="right"/>
              <w:spacing w:after="0"/>
              <w:rPr>
                <w:sz w:val="20"/>
                <w:szCs w:val="20"/>
                <w:color w:val="auto"/>
              </w:rPr>
            </w:pPr>
            <w:r>
              <w:rPr>
                <w:rFonts w:ascii="Arial" w:cs="Arial" w:eastAsia="Arial" w:hAnsi="Arial"/>
                <w:sz w:val="18"/>
                <w:szCs w:val="18"/>
                <w:b w:val="1"/>
                <w:bCs w:val="1"/>
                <w:color w:val="auto"/>
              </w:rPr>
              <w:t>0.77</w:t>
            </w:r>
          </w:p>
        </w:tc>
        <w:tc>
          <w:tcPr>
            <w:tcW w:w="220" w:type="dxa"/>
            <w:vAlign w:val="bottom"/>
          </w:tcPr>
          <w:p>
            <w:pPr>
              <w:spacing w:after="0"/>
              <w:rPr>
                <w:sz w:val="22"/>
                <w:szCs w:val="22"/>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0.78</w:t>
            </w:r>
          </w:p>
        </w:tc>
        <w:tc>
          <w:tcPr>
            <w:tcW w:w="500" w:type="dxa"/>
            <w:vAlign w:val="bottom"/>
            <w:gridSpan w:val="2"/>
          </w:tcPr>
          <w:p>
            <w:pPr>
              <w:jc w:val="right"/>
              <w:ind w:right="90"/>
              <w:spacing w:after="0"/>
              <w:rPr>
                <w:sz w:val="20"/>
                <w:szCs w:val="20"/>
                <w:color w:val="auto"/>
              </w:rPr>
            </w:pPr>
            <w:r>
              <w:rPr>
                <w:rFonts w:ascii="Arial" w:cs="Arial" w:eastAsia="Arial" w:hAnsi="Arial"/>
                <w:sz w:val="18"/>
                <w:szCs w:val="18"/>
                <w:b w:val="1"/>
                <w:bCs w:val="1"/>
                <w:color w:val="auto"/>
              </w:rPr>
              <w:t>$</w:t>
            </w: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1.79</w:t>
            </w:r>
          </w:p>
        </w:tc>
        <w:tc>
          <w:tcPr>
            <w:tcW w:w="220" w:type="dxa"/>
            <w:vAlign w:val="bottom"/>
          </w:tcPr>
          <w:p>
            <w:pPr>
              <w:spacing w:after="0"/>
              <w:rPr>
                <w:sz w:val="22"/>
                <w:szCs w:val="22"/>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1.45</w:t>
            </w: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1460" w:type="dxa"/>
            <w:vAlign w:val="bottom"/>
          </w:tcPr>
          <w:p>
            <w:pPr>
              <w:spacing w:after="0"/>
              <w:rPr>
                <w:sz w:val="17"/>
                <w:szCs w:val="17"/>
                <w:color w:val="auto"/>
              </w:rPr>
            </w:pPr>
          </w:p>
        </w:tc>
        <w:tc>
          <w:tcPr>
            <w:tcW w:w="3040" w:type="dxa"/>
            <w:vAlign w:val="bottom"/>
            <w:tcBorders>
              <w:top w:val="single" w:sz="8" w:color="CCEEFF"/>
              <w:bottom w:val="single" w:sz="8" w:color="CCEEFF"/>
            </w:tcBorders>
            <w:shd w:val="clear" w:color="auto" w:fill="CCEEFF"/>
          </w:tcPr>
          <w:p>
            <w:pPr>
              <w:ind w:left="180"/>
              <w:spacing w:after="0" w:line="190" w:lineRule="exact"/>
              <w:rPr>
                <w:sz w:val="20"/>
                <w:szCs w:val="20"/>
                <w:color w:val="auto"/>
              </w:rPr>
            </w:pPr>
            <w:r>
              <w:rPr>
                <w:rFonts w:ascii="Arial" w:cs="Arial" w:eastAsia="Arial" w:hAnsi="Arial"/>
                <w:sz w:val="18"/>
                <w:szCs w:val="18"/>
                <w:color w:val="auto"/>
              </w:rPr>
              <w:t>Diluted</w:t>
            </w:r>
          </w:p>
        </w:tc>
        <w:tc>
          <w:tcPr>
            <w:tcW w:w="740" w:type="dxa"/>
            <w:vAlign w:val="bottom"/>
            <w:tcBorders>
              <w:top w:val="single" w:sz="8" w:color="auto"/>
              <w:bottom w:val="single" w:sz="8" w:color="auto"/>
            </w:tcBorders>
            <w:shd w:val="clear" w:color="auto" w:fill="CCEEFF"/>
          </w:tcPr>
          <w:p>
            <w:pPr>
              <w:jc w:val="right"/>
              <w:ind w:right="586"/>
              <w:spacing w:after="0"/>
              <w:rPr>
                <w:sz w:val="20"/>
                <w:szCs w:val="20"/>
                <w:color w:val="auto"/>
              </w:rPr>
            </w:pPr>
            <w:r>
              <w:rPr>
                <w:rFonts w:ascii="Arial" w:cs="Arial" w:eastAsia="Arial" w:hAnsi="Arial"/>
                <w:sz w:val="15"/>
                <w:szCs w:val="15"/>
                <w:b w:val="1"/>
                <w:bCs w:val="1"/>
                <w:color w:val="auto"/>
                <w:w w:val="71"/>
              </w:rPr>
              <w:t>$</w:t>
            </w:r>
          </w:p>
        </w:tc>
        <w:tc>
          <w:tcPr>
            <w:tcW w:w="4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0.76</w:t>
            </w:r>
          </w:p>
        </w:tc>
        <w:tc>
          <w:tcPr>
            <w:tcW w:w="22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0.77</w:t>
            </w:r>
          </w:p>
        </w:tc>
        <w:tc>
          <w:tcPr>
            <w:tcW w:w="220" w:type="dxa"/>
            <w:vAlign w:val="bottom"/>
            <w:tcBorders>
              <w:top w:val="single" w:sz="8" w:color="CCEEFF"/>
              <w:bottom w:val="single" w:sz="8" w:color="CCEEFF"/>
            </w:tcBorders>
            <w:shd w:val="clear" w:color="auto" w:fill="CCEEFF"/>
          </w:tcPr>
          <w:p>
            <w:pPr>
              <w:spacing w:after="0"/>
              <w:rPr>
                <w:sz w:val="17"/>
                <w:szCs w:val="17"/>
                <w:color w:val="auto"/>
              </w:rPr>
            </w:pPr>
          </w:p>
        </w:tc>
        <w:tc>
          <w:tcPr>
            <w:tcW w:w="280" w:type="dxa"/>
            <w:vAlign w:val="bottom"/>
            <w:tcBorders>
              <w:top w:val="single" w:sz="8" w:color="auto"/>
              <w:bottom w:val="single" w:sz="8" w:color="auto"/>
            </w:tcBorders>
            <w:shd w:val="clear" w:color="auto" w:fill="CCEEFF"/>
          </w:tcPr>
          <w:p>
            <w:pPr>
              <w:jc w:val="right"/>
              <w:ind w:right="90"/>
              <w:spacing w:after="0" w:line="196" w:lineRule="exact"/>
              <w:rPr>
                <w:sz w:val="20"/>
                <w:szCs w:val="20"/>
                <w:color w:val="auto"/>
              </w:rPr>
            </w:pPr>
            <w:r>
              <w:rPr>
                <w:rFonts w:ascii="Arial" w:cs="Arial" w:eastAsia="Arial" w:hAnsi="Arial"/>
                <w:sz w:val="18"/>
                <w:szCs w:val="18"/>
                <w:b w:val="1"/>
                <w:bCs w:val="1"/>
                <w:color w:val="auto"/>
                <w:w w:val="79"/>
              </w:rPr>
              <w:t>$</w:t>
            </w:r>
          </w:p>
        </w:tc>
        <w:tc>
          <w:tcPr>
            <w:tcW w:w="9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1.78</w:t>
            </w:r>
          </w:p>
        </w:tc>
        <w:tc>
          <w:tcPr>
            <w:tcW w:w="220" w:type="dxa"/>
            <w:vAlign w:val="bottom"/>
            <w:tcBorders>
              <w:top w:val="single" w:sz="8" w:color="CCEEFF"/>
              <w:bottom w:val="single" w:sz="8" w:color="CCEEFF"/>
            </w:tcBorders>
            <w:shd w:val="clear" w:color="auto" w:fill="CCEEFF"/>
          </w:tcPr>
          <w:p>
            <w:pPr>
              <w:spacing w:after="0"/>
              <w:rPr>
                <w:sz w:val="17"/>
                <w:szCs w:val="17"/>
                <w:color w:val="auto"/>
              </w:rPr>
            </w:pPr>
          </w:p>
        </w:tc>
        <w:tc>
          <w:tcPr>
            <w:tcW w:w="300" w:type="dxa"/>
            <w:vAlign w:val="bottom"/>
            <w:tcBorders>
              <w:top w:val="single" w:sz="8" w:color="auto"/>
              <w:bottom w:val="single" w:sz="8" w:color="auto"/>
            </w:tcBorders>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right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1.44</w:t>
            </w: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460" w:type="dxa"/>
            <w:vAlign w:val="bottom"/>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1460" w:type="dxa"/>
            <w:vAlign w:val="bottom"/>
          </w:tcPr>
          <w:p>
            <w:pPr>
              <w:spacing w:after="0"/>
              <w:rPr>
                <w:sz w:val="24"/>
                <w:szCs w:val="24"/>
                <w:color w:val="auto"/>
              </w:rPr>
            </w:pPr>
          </w:p>
        </w:tc>
        <w:tc>
          <w:tcPr>
            <w:tcW w:w="30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22</w:t>
            </w:r>
          </w:p>
        </w:tc>
        <w:tc>
          <w:tcPr>
            <w:tcW w:w="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1460" w:type="dxa"/>
            <w:vAlign w:val="bottom"/>
            <w:tcBorders>
              <w:bottom w:val="single" w:sz="8" w:color="010101"/>
            </w:tcBorders>
          </w:tcPr>
          <w:p>
            <w:pPr>
              <w:spacing w:after="0"/>
              <w:rPr>
                <w:sz w:val="24"/>
                <w:szCs w:val="24"/>
                <w:color w:val="auto"/>
              </w:rPr>
            </w:pPr>
          </w:p>
        </w:tc>
        <w:tc>
          <w:tcPr>
            <w:tcW w:w="3040" w:type="dxa"/>
            <w:vAlign w:val="bottom"/>
            <w:tcBorders>
              <w:bottom w:val="single" w:sz="8" w:color="010101"/>
            </w:tcBorders>
          </w:tcPr>
          <w:p>
            <w:pPr>
              <w:spacing w:after="0"/>
              <w:rPr>
                <w:sz w:val="24"/>
                <w:szCs w:val="24"/>
                <w:color w:val="auto"/>
              </w:rPr>
            </w:pPr>
          </w:p>
        </w:tc>
        <w:tc>
          <w:tcPr>
            <w:tcW w:w="740" w:type="dxa"/>
            <w:vAlign w:val="bottom"/>
            <w:tcBorders>
              <w:bottom w:val="single" w:sz="8" w:color="010101"/>
            </w:tcBorders>
          </w:tcPr>
          <w:p>
            <w:pPr>
              <w:spacing w:after="0"/>
              <w:rPr>
                <w:sz w:val="24"/>
                <w:szCs w:val="24"/>
                <w:color w:val="auto"/>
              </w:rPr>
            </w:pPr>
          </w:p>
        </w:tc>
        <w:tc>
          <w:tcPr>
            <w:tcW w:w="44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98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92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300" w:type="dxa"/>
            <w:vAlign w:val="bottom"/>
            <w:tcBorders>
              <w:bottom w:val="single" w:sz="8" w:color="010101"/>
            </w:tcBorders>
          </w:tcPr>
          <w:p>
            <w:pPr>
              <w:spacing w:after="0"/>
              <w:rPr>
                <w:sz w:val="24"/>
                <w:szCs w:val="24"/>
                <w:color w:val="auto"/>
              </w:rPr>
            </w:pPr>
          </w:p>
        </w:tc>
        <w:tc>
          <w:tcPr>
            <w:tcW w:w="960" w:type="dxa"/>
            <w:vAlign w:val="bottom"/>
            <w:tcBorders>
              <w:bottom w:val="single" w:sz="8" w:color="010101"/>
            </w:tcBorders>
          </w:tcPr>
          <w:p>
            <w:pPr>
              <w:spacing w:after="0"/>
              <w:rPr>
                <w:sz w:val="24"/>
                <w:szCs w:val="24"/>
                <w:color w:val="auto"/>
              </w:rPr>
            </w:pPr>
          </w:p>
        </w:tc>
        <w:tc>
          <w:tcPr>
            <w:tcW w:w="148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ind w:left="520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w:t>
      </w:r>
    </w:p>
    <w:p>
      <w:pPr>
        <w:spacing w:after="0" w:line="229"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Principal Life has established special purpose entities to issue secured medium-term notes. Under the program, the payment obligations of principal and interest on the notes are secured by funding agreements issued by Principal Life. Principal Life’s payment obligations on the funding agreements are fully and unconditionally guaranteed by Principal Financial Group, Inc. All of the outstanding stock of Principal Life is indirectly owned by PFG and PFG is the only guarantor of the payment obligations of the funding agreements.</w:t>
      </w:r>
    </w:p>
    <w:p>
      <w:pPr>
        <w:spacing w:after="0" w:line="187" w:lineRule="exact"/>
        <w:rPr>
          <w:sz w:val="20"/>
          <w:szCs w:val="20"/>
          <w:color w:val="auto"/>
        </w:rPr>
      </w:pPr>
    </w:p>
    <w:p>
      <w:pPr>
        <w:ind w:right="140" w:firstLine="648"/>
        <w:spacing w:after="0" w:line="276" w:lineRule="auto"/>
        <w:rPr>
          <w:sz w:val="20"/>
          <w:szCs w:val="20"/>
          <w:color w:val="auto"/>
        </w:rPr>
      </w:pPr>
      <w:r>
        <w:rPr>
          <w:rFonts w:ascii="Arial" w:cs="Arial" w:eastAsia="Arial" w:hAnsi="Arial"/>
          <w:sz w:val="17"/>
          <w:szCs w:val="17"/>
          <w:color w:val="auto"/>
        </w:rPr>
        <w:t>We received a subpoena on March 31, 2005 from the Attorney General of West Virginia for documents and other information relating to funding agreement-backed securities, special purpose vehicles related to funding agreement-backed securities, and related subjects. A response has been sent. We understand that other U.S.-based life insurers that have funding agreement-backed note programs such as our on-going programs have received similar subpoenas from the Attorney General of West Virginia. Other than the subpoena, we have received no notification of any pending or threatened investigation or other proceeding by West Virginia governmental authorities involving funding agreement-backed securities.</w:t>
      </w:r>
    </w:p>
    <w:p>
      <w:pPr>
        <w:spacing w:after="0" w:line="173"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The following tables set forth condensed consolidating financial information of Principal Life and PFG as of June 30, 2006 and December 31, 2005, and for the six months ended June 30, 2006 and 2005.</w:t>
      </w:r>
    </w:p>
    <w:p>
      <w:pPr>
        <w:spacing w:after="0" w:line="38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ectPr>
          <w:pgSz w:w="11900" w:h="16838" w:orient="portrait"/>
          <w:cols w:equalWidth="0" w:num="1">
            <w:col w:w="11460"/>
          </w:cols>
          <w:pgMar w:left="240" w:top="93" w:right="199" w:bottom="0" w:gutter="0" w:footer="0" w:header="0"/>
          <w:type w:val="continuous"/>
        </w:sectPr>
      </w:pPr>
    </w:p>
    <w:bookmarkStart w:id="16" w:name="page17"/>
    <w:bookmarkEnd w:id="16"/>
    <w:p>
      <w:pPr>
        <w:spacing w:after="0" w:line="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Consolidating Statements of Financial Position</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June 30, 2006</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7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8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7"/>
              </w:rPr>
              <w:t>Principal</w:t>
            </w:r>
          </w:p>
        </w:tc>
        <w:tc>
          <w:tcPr>
            <w:tcW w:w="180" w:type="dxa"/>
            <w:vAlign w:val="bottom"/>
          </w:tcPr>
          <w:p>
            <w:pPr>
              <w:spacing w:after="0"/>
              <w:rPr>
                <w:sz w:val="14"/>
                <w:szCs w:val="14"/>
                <w:color w:val="auto"/>
              </w:rPr>
            </w:pPr>
          </w:p>
        </w:tc>
        <w:tc>
          <w:tcPr>
            <w:tcW w:w="13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7"/>
              </w:rPr>
              <w:t>Principal Life</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5"/>
              </w:rPr>
              <w:t>Principal Financial</w:t>
            </w: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Principal</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3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38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5"/>
              </w:rPr>
              <w:t>Financial</w:t>
            </w:r>
          </w:p>
        </w:tc>
        <w:tc>
          <w:tcPr>
            <w:tcW w:w="180" w:type="dxa"/>
            <w:vAlign w:val="bottom"/>
          </w:tcPr>
          <w:p>
            <w:pPr>
              <w:spacing w:after="0"/>
              <w:rPr>
                <w:sz w:val="11"/>
                <w:szCs w:val="11"/>
                <w:color w:val="auto"/>
              </w:rPr>
            </w:pPr>
          </w:p>
        </w:tc>
        <w:tc>
          <w:tcPr>
            <w:tcW w:w="132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3"/>
              </w:rPr>
              <w:t>Insurance</w:t>
            </w: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2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1"/>
              </w:rPr>
              <w:t>Services, Inc. and</w:t>
            </w: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5"/>
              </w:rPr>
              <w:t>Financial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38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4"/>
              </w:rPr>
              <w:t>Group, Inc.</w:t>
            </w:r>
          </w:p>
        </w:tc>
        <w:tc>
          <w:tcPr>
            <w:tcW w:w="180" w:type="dxa"/>
            <w:vAlign w:val="bottom"/>
          </w:tcPr>
          <w:p>
            <w:pPr>
              <w:spacing w:after="0"/>
              <w:rPr>
                <w:sz w:val="11"/>
                <w:szCs w:val="11"/>
                <w:color w:val="auto"/>
              </w:rPr>
            </w:pPr>
          </w:p>
        </w:tc>
        <w:tc>
          <w:tcPr>
            <w:tcW w:w="1320" w:type="dxa"/>
            <w:vAlign w:val="bottom"/>
            <w:gridSpan w:val="2"/>
          </w:tcPr>
          <w:p>
            <w:pPr>
              <w:jc w:val="center"/>
              <w:ind w:right="320"/>
              <w:spacing w:after="0" w:line="135" w:lineRule="exact"/>
              <w:rPr>
                <w:sz w:val="20"/>
                <w:szCs w:val="20"/>
                <w:color w:val="auto"/>
              </w:rPr>
            </w:pPr>
            <w:r>
              <w:rPr>
                <w:rFonts w:ascii="Arial" w:cs="Arial" w:eastAsia="Arial" w:hAnsi="Arial"/>
                <w:sz w:val="14"/>
                <w:szCs w:val="14"/>
                <w:b w:val="1"/>
                <w:bCs w:val="1"/>
                <w:color w:val="auto"/>
                <w:w w:val="93"/>
              </w:rPr>
              <w:t>Company</w:t>
            </w: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2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3"/>
              </w:rPr>
              <w:t>Other Subsidiaries</w:t>
            </w:r>
          </w:p>
        </w:tc>
        <w:tc>
          <w:tcPr>
            <w:tcW w:w="140" w:type="dxa"/>
            <w:vAlign w:val="bottom"/>
          </w:tcPr>
          <w:p>
            <w:pPr>
              <w:spacing w:after="0"/>
              <w:rPr>
                <w:sz w:val="11"/>
                <w:szCs w:val="11"/>
                <w:color w:val="auto"/>
              </w:rPr>
            </w:pPr>
          </w:p>
        </w:tc>
        <w:tc>
          <w:tcPr>
            <w:tcW w:w="1220" w:type="dxa"/>
            <w:vAlign w:val="bottom"/>
            <w:gridSpan w:val="2"/>
            <w:vMerge w:val="restart"/>
          </w:tcPr>
          <w:p>
            <w:pPr>
              <w:jc w:val="right"/>
              <w:ind w:right="320"/>
              <w:spacing w:after="0"/>
              <w:rPr>
                <w:sz w:val="20"/>
                <w:szCs w:val="20"/>
                <w:color w:val="auto"/>
              </w:rPr>
            </w:pPr>
            <w:r>
              <w:rPr>
                <w:rFonts w:ascii="Arial" w:cs="Arial" w:eastAsia="Arial" w:hAnsi="Arial"/>
                <w:sz w:val="14"/>
                <w:szCs w:val="14"/>
                <w:b w:val="1"/>
                <w:bCs w:val="1"/>
                <w:color w:val="auto"/>
                <w:w w:val="96"/>
              </w:rPr>
              <w:t>Eliminations</w:t>
            </w:r>
          </w:p>
        </w:tc>
        <w:tc>
          <w:tcPr>
            <w:tcW w:w="180" w:type="dxa"/>
            <w:vAlign w:val="bottom"/>
          </w:tcPr>
          <w:p>
            <w:pPr>
              <w:spacing w:after="0"/>
              <w:rPr>
                <w:sz w:val="11"/>
                <w:szCs w:val="11"/>
                <w:color w:val="auto"/>
              </w:rPr>
            </w:pPr>
          </w:p>
        </w:tc>
        <w:tc>
          <w:tcPr>
            <w:tcW w:w="122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7"/>
              </w:rPr>
              <w:t>Group, Inc.</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37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8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4"/>
              </w:rPr>
              <w:t>Parent Only</w:t>
            </w:r>
          </w:p>
        </w:tc>
        <w:tc>
          <w:tcPr>
            <w:tcW w:w="180" w:type="dxa"/>
            <w:vAlign w:val="bottom"/>
          </w:tcPr>
          <w:p>
            <w:pPr>
              <w:spacing w:after="0"/>
              <w:rPr>
                <w:sz w:val="14"/>
                <w:szCs w:val="14"/>
                <w:color w:val="auto"/>
              </w:rPr>
            </w:pPr>
          </w:p>
        </w:tc>
        <w:tc>
          <w:tcPr>
            <w:tcW w:w="13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6"/>
              </w:rPr>
              <w:t>Only</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3"/>
              </w:rPr>
              <w:t>Combined</w:t>
            </w: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80" w:type="dxa"/>
            <w:vAlign w:val="bottom"/>
          </w:tcPr>
          <w:p>
            <w:pPr>
              <w:spacing w:after="0"/>
              <w:rPr>
                <w:sz w:val="14"/>
                <w:szCs w:val="14"/>
                <w:color w:val="auto"/>
              </w:rPr>
            </w:pPr>
          </w:p>
        </w:tc>
        <w:tc>
          <w:tcPr>
            <w:tcW w:w="12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374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14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1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620" w:type="dxa"/>
            <w:vAlign w:val="bottom"/>
            <w:tcBorders>
              <w:top w:val="single" w:sz="8" w:color="auto"/>
            </w:tcBorders>
            <w:gridSpan w:val="2"/>
          </w:tcPr>
          <w:p>
            <w:pPr>
              <w:jc w:val="right"/>
              <w:ind w:right="760"/>
              <w:spacing w:after="0" w:line="129" w:lineRule="exact"/>
              <w:rPr>
                <w:sz w:val="20"/>
                <w:szCs w:val="20"/>
                <w:color w:val="auto"/>
              </w:rPr>
            </w:pPr>
            <w:r>
              <w:rPr>
                <w:rFonts w:ascii="Arial" w:cs="Arial" w:eastAsia="Arial" w:hAnsi="Arial"/>
                <w:sz w:val="14"/>
                <w:szCs w:val="14"/>
                <w:b w:val="1"/>
                <w:bCs w:val="1"/>
                <w:color w:val="auto"/>
              </w:rPr>
              <w:t>(in millions)</w:t>
            </w:r>
          </w:p>
        </w:tc>
        <w:tc>
          <w:tcPr>
            <w:tcW w:w="14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14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2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200" w:type="dxa"/>
            <w:vAlign w:val="bottom"/>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38,847.6</w:t>
            </w:r>
          </w:p>
        </w:tc>
        <w:tc>
          <w:tcPr>
            <w:tcW w:w="16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4,213.1</w:t>
            </w:r>
          </w:p>
        </w:tc>
        <w:tc>
          <w:tcPr>
            <w:tcW w:w="1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(767.3)</w:t>
            </w:r>
          </w:p>
        </w:tc>
        <w:tc>
          <w:tcPr>
            <w:tcW w:w="18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42,293.4</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trading</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48.8</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203.2</w:t>
            </w:r>
          </w:p>
        </w:tc>
        <w:tc>
          <w:tcPr>
            <w:tcW w:w="1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¾</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252.0</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Equity securities, available-for-sale</w:t>
            </w:r>
          </w:p>
        </w:tc>
        <w:tc>
          <w:tcPr>
            <w:tcW w:w="20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650.9</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26.3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¾</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677.2</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 trading</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9.4</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138.9</w:t>
            </w:r>
          </w:p>
        </w:tc>
        <w:tc>
          <w:tcPr>
            <w:tcW w:w="1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¾</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148.3</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Mortgage loans</w:t>
            </w:r>
          </w:p>
        </w:tc>
        <w:tc>
          <w:tcPr>
            <w:tcW w:w="20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9,734.6</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2,146.7</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(337.4)</w:t>
            </w:r>
          </w:p>
        </w:tc>
        <w:tc>
          <w:tcPr>
            <w:tcW w:w="1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11,543.9</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Real estate</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421.0</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576.2</w:t>
            </w:r>
          </w:p>
        </w:tc>
        <w:tc>
          <w:tcPr>
            <w:tcW w:w="1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997.2</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Policy loans</w:t>
            </w:r>
          </w:p>
        </w:tc>
        <w:tc>
          <w:tcPr>
            <w:tcW w:w="20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843.2</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843.2</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Investment in unconsolidated entities</w:t>
            </w:r>
          </w:p>
        </w:tc>
        <w:tc>
          <w:tcPr>
            <w:tcW w:w="2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6,664.0</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288.8</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4,023.3</w:t>
            </w:r>
          </w:p>
        </w:tc>
        <w:tc>
          <w:tcPr>
            <w:tcW w:w="1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(10,718.4)</w:t>
            </w:r>
          </w:p>
        </w:tc>
        <w:tc>
          <w:tcPr>
            <w:tcW w:w="18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257.7</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Other investments</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19.2</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2,579.2</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134.3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(1,621.6)</w:t>
            </w:r>
          </w:p>
        </w:tc>
        <w:tc>
          <w:tcPr>
            <w:tcW w:w="1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1,111.1</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2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166.7</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554.3</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739.1</w:t>
            </w:r>
          </w:p>
        </w:tc>
        <w:tc>
          <w:tcPr>
            <w:tcW w:w="1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(243.2)</w:t>
            </w:r>
          </w:p>
        </w:tc>
        <w:tc>
          <w:tcPr>
            <w:tcW w:w="18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1,216.9</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Accrued investment income</w:t>
            </w:r>
          </w:p>
        </w:tc>
        <w:tc>
          <w:tcPr>
            <w:tcW w:w="20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622.9</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49.0</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(5.9)</w:t>
            </w:r>
          </w:p>
        </w:tc>
        <w:tc>
          <w:tcPr>
            <w:tcW w:w="1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666.0</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Premiums due and other receivables</w:t>
            </w:r>
          </w:p>
        </w:tc>
        <w:tc>
          <w:tcPr>
            <w:tcW w:w="2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¾</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634.4</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104.3</w:t>
            </w:r>
          </w:p>
        </w:tc>
        <w:tc>
          <w:tcPr>
            <w:tcW w:w="1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(111.9)</w:t>
            </w:r>
          </w:p>
        </w:tc>
        <w:tc>
          <w:tcPr>
            <w:tcW w:w="18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626.8</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3740" w:type="dxa"/>
            <w:vAlign w:val="bottom"/>
          </w:tcPr>
          <w:p>
            <w:pPr>
              <w:spacing w:after="0" w:line="202" w:lineRule="exact"/>
              <w:rPr>
                <w:sz w:val="20"/>
                <w:szCs w:val="20"/>
                <w:color w:val="auto"/>
              </w:rPr>
            </w:pPr>
            <w:r>
              <w:rPr>
                <w:rFonts w:ascii="Arial" w:cs="Arial" w:eastAsia="Arial" w:hAnsi="Arial"/>
                <w:sz w:val="18"/>
                <w:szCs w:val="18"/>
                <w:color w:val="auto"/>
              </w:rPr>
              <w:t>Deferred policy acquisition costs</w:t>
            </w:r>
          </w:p>
        </w:tc>
        <w:tc>
          <w:tcPr>
            <w:tcW w:w="200" w:type="dxa"/>
            <w:vAlign w:val="bottom"/>
          </w:tcPr>
          <w:p>
            <w:pPr>
              <w:spacing w:after="0"/>
              <w:rPr>
                <w:sz w:val="17"/>
                <w:szCs w:val="17"/>
                <w:color w:val="auto"/>
              </w:rPr>
            </w:pPr>
          </w:p>
        </w:tc>
        <w:tc>
          <w:tcPr>
            <w:tcW w:w="1380" w:type="dxa"/>
            <w:vAlign w:val="bottom"/>
            <w:gridSpan w:val="2"/>
          </w:tcPr>
          <w:p>
            <w:pPr>
              <w:jc w:val="right"/>
              <w:ind w:right="240"/>
              <w:spacing w:after="0" w:line="202" w:lineRule="exact"/>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7"/>
                <w:szCs w:val="17"/>
                <w:color w:val="auto"/>
              </w:rPr>
            </w:pPr>
          </w:p>
        </w:tc>
        <w:tc>
          <w:tcPr>
            <w:tcW w:w="1160" w:type="dxa"/>
            <w:vAlign w:val="bottom"/>
          </w:tcPr>
          <w:p>
            <w:pPr>
              <w:jc w:val="right"/>
              <w:spacing w:after="0" w:line="202" w:lineRule="exact"/>
              <w:rPr>
                <w:sz w:val="20"/>
                <w:szCs w:val="20"/>
                <w:color w:val="auto"/>
              </w:rPr>
            </w:pPr>
            <w:r>
              <w:rPr>
                <w:rFonts w:ascii="Arial" w:cs="Arial" w:eastAsia="Arial" w:hAnsi="Arial"/>
                <w:sz w:val="18"/>
                <w:szCs w:val="18"/>
                <w:b w:val="1"/>
                <w:bCs w:val="1"/>
                <w:color w:val="auto"/>
              </w:rPr>
              <w:t>2,329.5</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40" w:type="dxa"/>
            <w:vAlign w:val="bottom"/>
          </w:tcPr>
          <w:p>
            <w:pPr>
              <w:jc w:val="right"/>
              <w:spacing w:after="0" w:line="202" w:lineRule="exact"/>
              <w:rPr>
                <w:sz w:val="20"/>
                <w:szCs w:val="20"/>
                <w:color w:val="auto"/>
              </w:rPr>
            </w:pPr>
            <w:r>
              <w:rPr>
                <w:rFonts w:ascii="Arial" w:cs="Arial" w:eastAsia="Arial" w:hAnsi="Arial"/>
                <w:sz w:val="18"/>
                <w:szCs w:val="18"/>
                <w:b w:val="1"/>
                <w:bCs w:val="1"/>
                <w:color w:val="auto"/>
              </w:rPr>
              <w:t>126.1</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right"/>
              <w:ind w:right="160"/>
              <w:spacing w:after="0" w:line="202" w:lineRule="exact"/>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7"/>
                <w:szCs w:val="17"/>
                <w:color w:val="auto"/>
              </w:rPr>
            </w:pPr>
          </w:p>
        </w:tc>
        <w:tc>
          <w:tcPr>
            <w:tcW w:w="1140" w:type="dxa"/>
            <w:vAlign w:val="bottom"/>
          </w:tcPr>
          <w:p>
            <w:pPr>
              <w:jc w:val="right"/>
              <w:spacing w:after="0" w:line="202" w:lineRule="exact"/>
              <w:rPr>
                <w:sz w:val="20"/>
                <w:szCs w:val="20"/>
                <w:color w:val="auto"/>
              </w:rPr>
            </w:pPr>
            <w:r>
              <w:rPr>
                <w:rFonts w:ascii="Arial" w:cs="Arial" w:eastAsia="Arial" w:hAnsi="Arial"/>
                <w:sz w:val="18"/>
                <w:szCs w:val="18"/>
                <w:b w:val="1"/>
                <w:bCs w:val="1"/>
                <w:color w:val="auto"/>
              </w:rPr>
              <w:t>2,455.6</w:t>
            </w: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Property and equipment</w:t>
            </w:r>
          </w:p>
        </w:tc>
        <w:tc>
          <w:tcPr>
            <w:tcW w:w="200" w:type="dxa"/>
            <w:vAlign w:val="bottom"/>
            <w:shd w:val="clear" w:color="auto" w:fill="CCEEFF"/>
          </w:tcPr>
          <w:p>
            <w:pPr>
              <w:spacing w:after="0"/>
              <w:rPr>
                <w:sz w:val="19"/>
                <w:szCs w:val="19"/>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398.8</w:t>
            </w: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21.4</w:t>
            </w:r>
          </w:p>
        </w:tc>
        <w:tc>
          <w:tcPr>
            <w:tcW w:w="180" w:type="dxa"/>
            <w:vAlign w:val="bottom"/>
            <w:tcBorders>
              <w:right w:val="single" w:sz="8" w:color="CCEEFF"/>
            </w:tcBorders>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420.2</w:t>
            </w:r>
          </w:p>
        </w:tc>
        <w:tc>
          <w:tcPr>
            <w:tcW w:w="80" w:type="dxa"/>
            <w:vAlign w:val="bottom"/>
            <w:shd w:val="clear" w:color="auto" w:fill="CCEEFF"/>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Goodwill</w:t>
            </w:r>
          </w:p>
        </w:tc>
        <w:tc>
          <w:tcPr>
            <w:tcW w:w="20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77.2</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220.6</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297.8</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Other intangibles</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39.7</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159.6</w:t>
            </w:r>
          </w:p>
        </w:tc>
        <w:tc>
          <w:tcPr>
            <w:tcW w:w="1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199.3</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Separate account assets</w:t>
            </w:r>
          </w:p>
        </w:tc>
        <w:tc>
          <w:tcPr>
            <w:tcW w:w="20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62,159.4</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3,460.8</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65,620.2</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1,300.0</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237.0</w:t>
            </w:r>
          </w:p>
        </w:tc>
        <w:tc>
          <w:tcPr>
            <w:tcW w:w="1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265.6</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1,802.6</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374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Total assets</w:t>
            </w: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6,849.9</w:t>
            </w:r>
          </w:p>
        </w:tc>
        <w:tc>
          <w:tcPr>
            <w:tcW w:w="24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121,539.7</w:t>
            </w:r>
          </w:p>
        </w:tc>
        <w:tc>
          <w:tcPr>
            <w:tcW w:w="16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16,579.9</w:t>
            </w:r>
          </w:p>
        </w:tc>
        <w:tc>
          <w:tcPr>
            <w:tcW w:w="18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(13,540.1</w:t>
            </w:r>
          </w:p>
        </w:tc>
        <w:tc>
          <w:tcPr>
            <w:tcW w:w="220" w:type="dxa"/>
            <w:vAlign w:val="bottom"/>
            <w:tcBorders>
              <w:bottom w:val="single" w:sz="8" w:color="CCEEFF"/>
            </w:tcBorders>
          </w:tcPr>
          <w:p>
            <w:pPr>
              <w:jc w:val="right"/>
              <w:ind w:right="80"/>
              <w:spacing w:after="0"/>
              <w:rPr>
                <w:sz w:val="20"/>
                <w:szCs w:val="20"/>
                <w:color w:val="auto"/>
              </w:rPr>
            </w:pPr>
            <w:r>
              <w:rPr>
                <w:rFonts w:ascii="Arial" w:cs="Arial" w:eastAsia="Arial" w:hAnsi="Arial"/>
                <w:sz w:val="16"/>
                <w:szCs w:val="16"/>
                <w:b w:val="1"/>
                <w:bCs w:val="1"/>
                <w:color w:val="auto"/>
                <w:w w:val="74"/>
              </w:rPr>
              <w:t>)</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131,429.4</w:t>
            </w:r>
          </w:p>
        </w:tc>
        <w:tc>
          <w:tcPr>
            <w:tcW w:w="8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3740" w:type="dxa"/>
            <w:vAlign w:val="bottom"/>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Liabilities</w:t>
            </w:r>
          </w:p>
        </w:tc>
        <w:tc>
          <w:tcPr>
            <w:tcW w:w="200" w:type="dxa"/>
            <w:vAlign w:val="bottom"/>
            <w:shd w:val="clear" w:color="auto" w:fill="CCEEFF"/>
          </w:tcPr>
          <w:p>
            <w:pPr>
              <w:spacing w:after="0"/>
              <w:rPr>
                <w:sz w:val="14"/>
                <w:szCs w:val="14"/>
                <w:color w:val="auto"/>
              </w:rPr>
            </w:pPr>
          </w:p>
        </w:tc>
        <w:tc>
          <w:tcPr>
            <w:tcW w:w="114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440" w:type="dxa"/>
            <w:vAlign w:val="bottom"/>
            <w:shd w:val="clear" w:color="auto" w:fill="CCEEFF"/>
          </w:tcPr>
          <w:p>
            <w:pPr>
              <w:spacing w:after="0"/>
              <w:rPr>
                <w:sz w:val="14"/>
                <w:szCs w:val="14"/>
                <w:color w:val="auto"/>
              </w:rPr>
            </w:pPr>
          </w:p>
        </w:tc>
        <w:tc>
          <w:tcPr>
            <w:tcW w:w="180" w:type="dxa"/>
            <w:vAlign w:val="bottom"/>
            <w:tcBorders>
              <w:right w:val="single" w:sz="8" w:color="CCEEFF"/>
            </w:tcBorders>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Contractholder funds</w:t>
            </w:r>
          </w:p>
        </w:tc>
        <w:tc>
          <w:tcPr>
            <w:tcW w:w="200" w:type="dxa"/>
            <w:vAlign w:val="bottom"/>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35,702.2</w:t>
            </w:r>
          </w:p>
        </w:tc>
        <w:tc>
          <w:tcPr>
            <w:tcW w:w="16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14.1</w:t>
            </w:r>
          </w:p>
        </w:tc>
        <w:tc>
          <w:tcPr>
            <w:tcW w:w="1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(203.7)</w:t>
            </w:r>
          </w:p>
        </w:tc>
        <w:tc>
          <w:tcPr>
            <w:tcW w:w="18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35,512.6</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Future policy benefits and claims</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14,818.5</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2,188.1</w:t>
            </w:r>
          </w:p>
        </w:tc>
        <w:tc>
          <w:tcPr>
            <w:tcW w:w="1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17,006.6</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Other policyholder funds</w:t>
            </w:r>
          </w:p>
        </w:tc>
        <w:tc>
          <w:tcPr>
            <w:tcW w:w="20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631.9</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4.4</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636.3</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Short-term debt</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302.1</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209.7</w:t>
            </w:r>
          </w:p>
        </w:tc>
        <w:tc>
          <w:tcPr>
            <w:tcW w:w="1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(87.4)</w:t>
            </w:r>
          </w:p>
        </w:tc>
        <w:tc>
          <w:tcPr>
            <w:tcW w:w="18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424.4</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Long-term debt</w:t>
            </w:r>
          </w:p>
        </w:tc>
        <w:tc>
          <w:tcPr>
            <w:tcW w:w="20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247.5</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1,303.3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(656.6)</w:t>
            </w:r>
          </w:p>
        </w:tc>
        <w:tc>
          <w:tcPr>
            <w:tcW w:w="1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894.2</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Income taxes currently payable</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(2.0)</w:t>
            </w:r>
          </w:p>
        </w:tc>
        <w:tc>
          <w:tcPr>
            <w:tcW w:w="1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(328.4)</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14.4</w:t>
            </w:r>
          </w:p>
        </w:tc>
        <w:tc>
          <w:tcPr>
            <w:tcW w:w="1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316.5</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0.5</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Deferred income taxes</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5.4</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395.1</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209.8</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0.6</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610.9</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liabilities</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62,159.4</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3,460.8</w:t>
            </w:r>
          </w:p>
        </w:tc>
        <w:tc>
          <w:tcPr>
            <w:tcW w:w="1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¾</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65,620.2</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Other liabilities</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1.8</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1,709.4</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2,511.3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(343.5)</w:t>
            </w:r>
          </w:p>
        </w:tc>
        <w:tc>
          <w:tcPr>
            <w:tcW w:w="1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3,879.0</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740" w:type="dxa"/>
            <w:vAlign w:val="bottom"/>
            <w:vMerge w:val="restart"/>
            <w:shd w:val="clear" w:color="auto" w:fill="CCEEFF"/>
          </w:tcPr>
          <w:p>
            <w:pPr>
              <w:ind w:left="180"/>
              <w:spacing w:after="0"/>
              <w:rPr>
                <w:sz w:val="20"/>
                <w:szCs w:val="20"/>
                <w:color w:val="auto"/>
              </w:rPr>
            </w:pPr>
            <w:r>
              <w:rPr>
                <w:rFonts w:ascii="Arial" w:cs="Arial" w:eastAsia="Arial" w:hAnsi="Arial"/>
                <w:sz w:val="18"/>
                <w:szCs w:val="18"/>
                <w:color w:val="auto"/>
              </w:rPr>
              <w:t>Total liabilities</w:t>
            </w:r>
          </w:p>
        </w:tc>
        <w:tc>
          <w:tcPr>
            <w:tcW w:w="2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740" w:type="dxa"/>
            <w:vAlign w:val="bottom"/>
            <w:vMerge w:val="continue"/>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5.2</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115,637.7</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9,915.9</w:t>
            </w:r>
          </w:p>
        </w:tc>
        <w:tc>
          <w:tcPr>
            <w:tcW w:w="1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(974.1)</w:t>
            </w:r>
          </w:p>
        </w:tc>
        <w:tc>
          <w:tcPr>
            <w:tcW w:w="18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124,584.7</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b w:val="1"/>
                <w:bCs w:val="1"/>
                <w:color w:val="auto"/>
              </w:rPr>
              <w:t>Stockholders’ equity</w:t>
            </w:r>
          </w:p>
        </w:tc>
        <w:tc>
          <w:tcPr>
            <w:tcW w:w="2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Series A preferred stock</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20" w:type="dxa"/>
            <w:vAlign w:val="bottom"/>
            <w:tcBorders>
              <w:right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Series B preferred stock</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Common stock</w:t>
            </w:r>
          </w:p>
        </w:tc>
        <w:tc>
          <w:tcPr>
            <w:tcW w:w="2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20" w:type="dxa"/>
            <w:vAlign w:val="bottom"/>
            <w:tcBorders>
              <w:right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(2.5)</w:t>
            </w:r>
          </w:p>
        </w:tc>
        <w:tc>
          <w:tcPr>
            <w:tcW w:w="18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Additional paid-in capital</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8,068.8</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5,380.1</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7,099.1</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(12,479.2)</w:t>
            </w:r>
          </w:p>
        </w:tc>
        <w:tc>
          <w:tcPr>
            <w:tcW w:w="1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8,068.8</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Retained earnings (deficit)</w:t>
            </w:r>
          </w:p>
        </w:tc>
        <w:tc>
          <w:tcPr>
            <w:tcW w:w="2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2,504.8</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379.4</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(641.1)</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261.7</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2,504.8</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Accumulated other comprehensive income</w:t>
            </w:r>
          </w:p>
        </w:tc>
        <w:tc>
          <w:tcPr>
            <w:tcW w:w="2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218.5</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140.0</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206.0</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(346.0)</w:t>
            </w:r>
          </w:p>
        </w:tc>
        <w:tc>
          <w:tcPr>
            <w:tcW w:w="1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218.5</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Treasury stock, at cost</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(3,951.3)</w:t>
            </w:r>
          </w:p>
        </w:tc>
        <w:tc>
          <w:tcPr>
            <w:tcW w:w="1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20" w:type="dxa"/>
            <w:vAlign w:val="bottom"/>
            <w:tcBorders>
              <w:right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(3,951.3)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74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Total stockholders’ equity</w:t>
            </w:r>
          </w:p>
        </w:tc>
        <w:tc>
          <w:tcPr>
            <w:tcW w:w="20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6,844.7</w:t>
            </w:r>
          </w:p>
        </w:tc>
        <w:tc>
          <w:tcPr>
            <w:tcW w:w="240" w:type="dxa"/>
            <w:vAlign w:val="bottom"/>
            <w:tcBorders>
              <w:bottom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5,902.0</w:t>
            </w:r>
          </w:p>
        </w:tc>
        <w:tc>
          <w:tcPr>
            <w:tcW w:w="16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6,664.0</w:t>
            </w:r>
          </w:p>
        </w:tc>
        <w:tc>
          <w:tcPr>
            <w:tcW w:w="180" w:type="dxa"/>
            <w:vAlign w:val="bottom"/>
            <w:tcBorders>
              <w:bottom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(12,566.0)</w:t>
            </w:r>
          </w:p>
        </w:tc>
        <w:tc>
          <w:tcPr>
            <w:tcW w:w="220" w:type="dxa"/>
            <w:vAlign w:val="bottom"/>
            <w:tcBorders>
              <w:bottom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6,844.7</w:t>
            </w:r>
          </w:p>
        </w:tc>
        <w:tc>
          <w:tcPr>
            <w:tcW w:w="8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liabilities and stockholders’ equity</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6,849.9</w:t>
            </w:r>
          </w:p>
        </w:tc>
        <w:tc>
          <w:tcPr>
            <w:tcW w:w="24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121,539.7</w:t>
            </w:r>
          </w:p>
        </w:tc>
        <w:tc>
          <w:tcPr>
            <w:tcW w:w="16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16,579.9</w:t>
            </w:r>
          </w:p>
        </w:tc>
        <w:tc>
          <w:tcPr>
            <w:tcW w:w="180" w:type="dxa"/>
            <w:vAlign w:val="bottom"/>
            <w:tcBorders>
              <w:bottom w:val="single" w:sz="8" w:color="CCEEFF"/>
              <w:right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(13,540.1</w:t>
            </w:r>
          </w:p>
        </w:tc>
        <w:tc>
          <w:tcPr>
            <w:tcW w:w="22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b w:val="1"/>
                <w:bCs w:val="1"/>
                <w:color w:val="auto"/>
                <w:w w:val="74"/>
              </w:rPr>
              <w:t>)</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131,429.4</w:t>
            </w:r>
          </w:p>
        </w:tc>
        <w:tc>
          <w:tcPr>
            <w:tcW w:w="80" w:type="dxa"/>
            <w:vAlign w:val="bottom"/>
            <w:tcBorders>
              <w:bottom w:val="single" w:sz="8" w:color="CCEEFF"/>
            </w:tcBorders>
            <w:shd w:val="clear" w:color="auto" w:fill="CCEEFF"/>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7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3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Pr>
          <w:p>
            <w:pPr>
              <w:jc w:val="right"/>
              <w:ind w:right="772"/>
              <w:spacing w:after="0"/>
              <w:rPr>
                <w:sz w:val="20"/>
                <w:szCs w:val="20"/>
                <w:color w:val="auto"/>
              </w:rPr>
            </w:pPr>
            <w:r>
              <w:rPr>
                <w:rFonts w:ascii="Arial" w:cs="Arial" w:eastAsia="Arial" w:hAnsi="Arial"/>
                <w:sz w:val="18"/>
                <w:szCs w:val="18"/>
                <w:color w:val="auto"/>
              </w:rPr>
              <w:t>24</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374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114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116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144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100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114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Financial Position</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December 31, 2005</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20" w:type="dxa"/>
            <w:vAlign w:val="bottom"/>
          </w:tcPr>
          <w:p>
            <w:pPr>
              <w:spacing w:after="0"/>
              <w:rPr>
                <w:sz w:val="14"/>
                <w:szCs w:val="14"/>
                <w:color w:val="auto"/>
              </w:rPr>
            </w:pPr>
          </w:p>
        </w:tc>
        <w:tc>
          <w:tcPr>
            <w:tcW w:w="1120" w:type="dxa"/>
            <w:vAlign w:val="bottom"/>
          </w:tcPr>
          <w:p>
            <w:pPr>
              <w:jc w:val="center"/>
              <w:ind w:left="167"/>
              <w:spacing w:after="0"/>
              <w:rPr>
                <w:sz w:val="20"/>
                <w:szCs w:val="20"/>
                <w:color w:val="auto"/>
              </w:rPr>
            </w:pPr>
            <w:r>
              <w:rPr>
                <w:rFonts w:ascii="Arial" w:cs="Arial" w:eastAsia="Arial" w:hAnsi="Arial"/>
                <w:sz w:val="14"/>
                <w:szCs w:val="14"/>
                <w:b w:val="1"/>
                <w:bCs w:val="1"/>
                <w:color w:val="auto"/>
                <w:w w:val="94"/>
              </w:rPr>
              <w:t>Principal</w:t>
            </w: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60" w:type="dxa"/>
            <w:vAlign w:val="bottom"/>
          </w:tcPr>
          <w:p>
            <w:pPr>
              <w:jc w:val="center"/>
              <w:ind w:right="199"/>
              <w:spacing w:after="0"/>
              <w:rPr>
                <w:sz w:val="20"/>
                <w:szCs w:val="20"/>
                <w:color w:val="auto"/>
              </w:rPr>
            </w:pPr>
            <w:r>
              <w:rPr>
                <w:rFonts w:ascii="Arial" w:cs="Arial" w:eastAsia="Arial" w:hAnsi="Arial"/>
                <w:sz w:val="14"/>
                <w:szCs w:val="14"/>
                <w:b w:val="1"/>
                <w:bCs w:val="1"/>
                <w:color w:val="auto"/>
                <w:w w:val="97"/>
              </w:rPr>
              <w:t>Principal Life</w:t>
            </w:r>
          </w:p>
        </w:tc>
        <w:tc>
          <w:tcPr>
            <w:tcW w:w="260" w:type="dxa"/>
            <w:vAlign w:val="bottom"/>
          </w:tcPr>
          <w:p>
            <w:pPr>
              <w:spacing w:after="0"/>
              <w:rPr>
                <w:sz w:val="14"/>
                <w:szCs w:val="14"/>
                <w:color w:val="auto"/>
              </w:rPr>
            </w:pPr>
          </w:p>
        </w:tc>
        <w:tc>
          <w:tcPr>
            <w:tcW w:w="1540" w:type="dxa"/>
            <w:vAlign w:val="bottom"/>
          </w:tcPr>
          <w:p>
            <w:pPr>
              <w:jc w:val="center"/>
              <w:ind w:right="160"/>
              <w:spacing w:after="0"/>
              <w:rPr>
                <w:sz w:val="20"/>
                <w:szCs w:val="20"/>
                <w:color w:val="auto"/>
              </w:rPr>
            </w:pPr>
            <w:r>
              <w:rPr>
                <w:rFonts w:ascii="Arial" w:cs="Arial" w:eastAsia="Arial" w:hAnsi="Arial"/>
                <w:sz w:val="14"/>
                <w:szCs w:val="14"/>
                <w:b w:val="1"/>
                <w:bCs w:val="1"/>
                <w:color w:val="auto"/>
                <w:w w:val="95"/>
              </w:rPr>
              <w:t>Principal Financial</w:t>
            </w:r>
          </w:p>
        </w:tc>
        <w:tc>
          <w:tcPr>
            <w:tcW w:w="2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7"/>
              </w:rPr>
              <w:t>Principal</w:t>
            </w:r>
          </w:p>
        </w:tc>
        <w:tc>
          <w:tcPr>
            <w:tcW w:w="0" w:type="dxa"/>
            <w:vAlign w:val="bottom"/>
          </w:tcPr>
          <w:p>
            <w:pPr>
              <w:spacing w:after="0"/>
              <w:rPr>
                <w:sz w:val="1"/>
                <w:szCs w:val="1"/>
                <w:color w:val="auto"/>
              </w:rPr>
            </w:pPr>
          </w:p>
        </w:tc>
      </w:tr>
      <w:tr>
        <w:trPr>
          <w:trHeight w:val="135"/>
        </w:trPr>
        <w:tc>
          <w:tcPr>
            <w:tcW w:w="3820" w:type="dxa"/>
            <w:vAlign w:val="bottom"/>
          </w:tcPr>
          <w:p>
            <w:pPr>
              <w:spacing w:after="0"/>
              <w:rPr>
                <w:sz w:val="11"/>
                <w:szCs w:val="11"/>
                <w:color w:val="auto"/>
              </w:rPr>
            </w:pPr>
          </w:p>
        </w:tc>
        <w:tc>
          <w:tcPr>
            <w:tcW w:w="1120" w:type="dxa"/>
            <w:vAlign w:val="bottom"/>
          </w:tcPr>
          <w:p>
            <w:pPr>
              <w:jc w:val="center"/>
              <w:ind w:left="167"/>
              <w:spacing w:after="0" w:line="135" w:lineRule="exact"/>
              <w:rPr>
                <w:sz w:val="20"/>
                <w:szCs w:val="20"/>
                <w:color w:val="auto"/>
              </w:rPr>
            </w:pPr>
            <w:r>
              <w:rPr>
                <w:rFonts w:ascii="Arial" w:cs="Arial" w:eastAsia="Arial" w:hAnsi="Arial"/>
                <w:sz w:val="14"/>
                <w:szCs w:val="14"/>
                <w:b w:val="1"/>
                <w:bCs w:val="1"/>
                <w:color w:val="auto"/>
                <w:w w:val="92"/>
              </w:rPr>
              <w:t>Financial</w:t>
            </w:r>
          </w:p>
        </w:tc>
        <w:tc>
          <w:tcPr>
            <w:tcW w:w="3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tcPr>
          <w:p>
            <w:pPr>
              <w:jc w:val="center"/>
              <w:ind w:right="199"/>
              <w:spacing w:after="0" w:line="135" w:lineRule="exact"/>
              <w:rPr>
                <w:sz w:val="20"/>
                <w:szCs w:val="20"/>
                <w:color w:val="auto"/>
              </w:rPr>
            </w:pPr>
            <w:r>
              <w:rPr>
                <w:rFonts w:ascii="Arial" w:cs="Arial" w:eastAsia="Arial" w:hAnsi="Arial"/>
                <w:sz w:val="14"/>
                <w:szCs w:val="14"/>
                <w:b w:val="1"/>
                <w:bCs w:val="1"/>
                <w:color w:val="auto"/>
                <w:w w:val="93"/>
              </w:rPr>
              <w:t>Insurance</w:t>
            </w:r>
          </w:p>
        </w:tc>
        <w:tc>
          <w:tcPr>
            <w:tcW w:w="260" w:type="dxa"/>
            <w:vAlign w:val="bottom"/>
          </w:tcPr>
          <w:p>
            <w:pPr>
              <w:spacing w:after="0"/>
              <w:rPr>
                <w:sz w:val="11"/>
                <w:szCs w:val="11"/>
                <w:color w:val="auto"/>
              </w:rPr>
            </w:pPr>
          </w:p>
        </w:tc>
        <w:tc>
          <w:tcPr>
            <w:tcW w:w="1540" w:type="dxa"/>
            <w:vAlign w:val="bottom"/>
          </w:tcPr>
          <w:p>
            <w:pPr>
              <w:jc w:val="center"/>
              <w:ind w:right="180"/>
              <w:spacing w:after="0" w:line="135" w:lineRule="exact"/>
              <w:rPr>
                <w:sz w:val="20"/>
                <w:szCs w:val="20"/>
                <w:color w:val="auto"/>
              </w:rPr>
            </w:pPr>
            <w:r>
              <w:rPr>
                <w:rFonts w:ascii="Arial" w:cs="Arial" w:eastAsia="Arial" w:hAnsi="Arial"/>
                <w:sz w:val="14"/>
                <w:szCs w:val="14"/>
                <w:b w:val="1"/>
                <w:bCs w:val="1"/>
                <w:color w:val="auto"/>
                <w:w w:val="91"/>
              </w:rPr>
              <w:t>Services, Inc. and</w:t>
            </w:r>
          </w:p>
        </w:tc>
        <w:tc>
          <w:tcPr>
            <w:tcW w:w="2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5"/>
              </w:rPr>
              <w:t>Financial</w:t>
            </w:r>
          </w:p>
        </w:tc>
        <w:tc>
          <w:tcPr>
            <w:tcW w:w="0" w:type="dxa"/>
            <w:vAlign w:val="bottom"/>
          </w:tcPr>
          <w:p>
            <w:pPr>
              <w:spacing w:after="0"/>
              <w:rPr>
                <w:sz w:val="1"/>
                <w:szCs w:val="1"/>
                <w:color w:val="auto"/>
              </w:rPr>
            </w:pPr>
          </w:p>
        </w:tc>
      </w:tr>
      <w:tr>
        <w:trPr>
          <w:trHeight w:val="135"/>
        </w:trPr>
        <w:tc>
          <w:tcPr>
            <w:tcW w:w="3820" w:type="dxa"/>
            <w:vAlign w:val="bottom"/>
          </w:tcPr>
          <w:p>
            <w:pPr>
              <w:spacing w:after="0"/>
              <w:rPr>
                <w:sz w:val="11"/>
                <w:szCs w:val="11"/>
                <w:color w:val="auto"/>
              </w:rPr>
            </w:pPr>
          </w:p>
        </w:tc>
        <w:tc>
          <w:tcPr>
            <w:tcW w:w="1120" w:type="dxa"/>
            <w:vAlign w:val="bottom"/>
          </w:tcPr>
          <w:p>
            <w:pPr>
              <w:jc w:val="center"/>
              <w:ind w:left="167"/>
              <w:spacing w:after="0" w:line="135" w:lineRule="exact"/>
              <w:rPr>
                <w:sz w:val="20"/>
                <w:szCs w:val="20"/>
                <w:color w:val="auto"/>
              </w:rPr>
            </w:pPr>
            <w:r>
              <w:rPr>
                <w:rFonts w:ascii="Arial" w:cs="Arial" w:eastAsia="Arial" w:hAnsi="Arial"/>
                <w:sz w:val="14"/>
                <w:szCs w:val="14"/>
                <w:b w:val="1"/>
                <w:bCs w:val="1"/>
                <w:color w:val="auto"/>
                <w:w w:val="97"/>
              </w:rPr>
              <w:t>Group, Inc.</w:t>
            </w:r>
          </w:p>
        </w:tc>
        <w:tc>
          <w:tcPr>
            <w:tcW w:w="3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tcPr>
          <w:p>
            <w:pPr>
              <w:jc w:val="center"/>
              <w:ind w:right="179"/>
              <w:spacing w:after="0" w:line="135" w:lineRule="exact"/>
              <w:rPr>
                <w:sz w:val="20"/>
                <w:szCs w:val="20"/>
                <w:color w:val="auto"/>
              </w:rPr>
            </w:pPr>
            <w:r>
              <w:rPr>
                <w:rFonts w:ascii="Arial" w:cs="Arial" w:eastAsia="Arial" w:hAnsi="Arial"/>
                <w:sz w:val="14"/>
                <w:szCs w:val="14"/>
                <w:b w:val="1"/>
                <w:bCs w:val="1"/>
                <w:color w:val="auto"/>
                <w:w w:val="93"/>
              </w:rPr>
              <w:t>Company</w:t>
            </w:r>
          </w:p>
        </w:tc>
        <w:tc>
          <w:tcPr>
            <w:tcW w:w="260" w:type="dxa"/>
            <w:vAlign w:val="bottom"/>
          </w:tcPr>
          <w:p>
            <w:pPr>
              <w:spacing w:after="0"/>
              <w:rPr>
                <w:sz w:val="11"/>
                <w:szCs w:val="11"/>
                <w:color w:val="auto"/>
              </w:rPr>
            </w:pPr>
          </w:p>
        </w:tc>
        <w:tc>
          <w:tcPr>
            <w:tcW w:w="1540" w:type="dxa"/>
            <w:vAlign w:val="bottom"/>
          </w:tcPr>
          <w:p>
            <w:pPr>
              <w:jc w:val="center"/>
              <w:ind w:right="180"/>
              <w:spacing w:after="0" w:line="135" w:lineRule="exact"/>
              <w:rPr>
                <w:sz w:val="20"/>
                <w:szCs w:val="20"/>
                <w:color w:val="auto"/>
              </w:rPr>
            </w:pPr>
            <w:r>
              <w:rPr>
                <w:rFonts w:ascii="Arial" w:cs="Arial" w:eastAsia="Arial" w:hAnsi="Arial"/>
                <w:sz w:val="14"/>
                <w:szCs w:val="14"/>
                <w:b w:val="1"/>
                <w:bCs w:val="1"/>
                <w:color w:val="auto"/>
                <w:w w:val="93"/>
              </w:rPr>
              <w:t>Other Subsidiaries</w:t>
            </w:r>
          </w:p>
        </w:tc>
        <w:tc>
          <w:tcPr>
            <w:tcW w:w="280" w:type="dxa"/>
            <w:vAlign w:val="bottom"/>
          </w:tcPr>
          <w:p>
            <w:pPr>
              <w:spacing w:after="0"/>
              <w:rPr>
                <w:sz w:val="11"/>
                <w:szCs w:val="11"/>
                <w:color w:val="auto"/>
              </w:rPr>
            </w:pPr>
          </w:p>
        </w:tc>
        <w:tc>
          <w:tcPr>
            <w:tcW w:w="1180" w:type="dxa"/>
            <w:vAlign w:val="bottom"/>
            <w:vMerge w:val="restart"/>
          </w:tcPr>
          <w:p>
            <w:pPr>
              <w:jc w:val="right"/>
              <w:ind w:right="254"/>
              <w:spacing w:after="0"/>
              <w:rPr>
                <w:sz w:val="20"/>
                <w:szCs w:val="20"/>
                <w:color w:val="auto"/>
              </w:rPr>
            </w:pPr>
            <w:r>
              <w:rPr>
                <w:rFonts w:ascii="Arial" w:cs="Arial" w:eastAsia="Arial" w:hAnsi="Arial"/>
                <w:sz w:val="14"/>
                <w:szCs w:val="14"/>
                <w:b w:val="1"/>
                <w:bCs w:val="1"/>
                <w:color w:val="auto"/>
                <w:w w:val="98"/>
              </w:rPr>
              <w:t>Eliminations</w:t>
            </w:r>
          </w:p>
        </w:tc>
        <w:tc>
          <w:tcPr>
            <w:tcW w:w="200" w:type="dxa"/>
            <w:vAlign w:val="bottom"/>
          </w:tcPr>
          <w:p>
            <w:pPr>
              <w:spacing w:after="0"/>
              <w:rPr>
                <w:sz w:val="11"/>
                <w:szCs w:val="11"/>
                <w:color w:val="auto"/>
              </w:rPr>
            </w:pPr>
          </w:p>
        </w:tc>
        <w:tc>
          <w:tcPr>
            <w:tcW w:w="112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162"/>
        </w:trPr>
        <w:tc>
          <w:tcPr>
            <w:tcW w:w="3820" w:type="dxa"/>
            <w:vAlign w:val="bottom"/>
          </w:tcPr>
          <w:p>
            <w:pPr>
              <w:spacing w:after="0"/>
              <w:rPr>
                <w:sz w:val="14"/>
                <w:szCs w:val="14"/>
                <w:color w:val="auto"/>
              </w:rPr>
            </w:pPr>
          </w:p>
        </w:tc>
        <w:tc>
          <w:tcPr>
            <w:tcW w:w="1120" w:type="dxa"/>
            <w:vAlign w:val="bottom"/>
          </w:tcPr>
          <w:p>
            <w:pPr>
              <w:jc w:val="center"/>
              <w:ind w:left="167"/>
              <w:spacing w:after="0"/>
              <w:rPr>
                <w:sz w:val="20"/>
                <w:szCs w:val="20"/>
                <w:color w:val="auto"/>
              </w:rPr>
            </w:pPr>
            <w:r>
              <w:rPr>
                <w:rFonts w:ascii="Arial" w:cs="Arial" w:eastAsia="Arial" w:hAnsi="Arial"/>
                <w:sz w:val="14"/>
                <w:szCs w:val="14"/>
                <w:b w:val="1"/>
                <w:bCs w:val="1"/>
                <w:color w:val="auto"/>
                <w:w w:val="96"/>
              </w:rPr>
              <w:t>Parent Only</w:t>
            </w: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60" w:type="dxa"/>
            <w:vAlign w:val="bottom"/>
          </w:tcPr>
          <w:p>
            <w:pPr>
              <w:jc w:val="center"/>
              <w:ind w:right="199"/>
              <w:spacing w:after="0"/>
              <w:rPr>
                <w:sz w:val="20"/>
                <w:szCs w:val="20"/>
                <w:color w:val="auto"/>
              </w:rPr>
            </w:pPr>
            <w:r>
              <w:rPr>
                <w:rFonts w:ascii="Arial" w:cs="Arial" w:eastAsia="Arial" w:hAnsi="Arial"/>
                <w:sz w:val="14"/>
                <w:szCs w:val="14"/>
                <w:b w:val="1"/>
                <w:bCs w:val="1"/>
                <w:color w:val="auto"/>
                <w:w w:val="96"/>
              </w:rPr>
              <w:t>Only</w:t>
            </w:r>
          </w:p>
        </w:tc>
        <w:tc>
          <w:tcPr>
            <w:tcW w:w="260" w:type="dxa"/>
            <w:vAlign w:val="bottom"/>
          </w:tcPr>
          <w:p>
            <w:pPr>
              <w:spacing w:after="0"/>
              <w:rPr>
                <w:sz w:val="14"/>
                <w:szCs w:val="14"/>
                <w:color w:val="auto"/>
              </w:rPr>
            </w:pPr>
          </w:p>
        </w:tc>
        <w:tc>
          <w:tcPr>
            <w:tcW w:w="1540" w:type="dxa"/>
            <w:vAlign w:val="bottom"/>
          </w:tcPr>
          <w:p>
            <w:pPr>
              <w:jc w:val="center"/>
              <w:ind w:right="180"/>
              <w:spacing w:after="0"/>
              <w:rPr>
                <w:sz w:val="20"/>
                <w:szCs w:val="20"/>
                <w:color w:val="auto"/>
              </w:rPr>
            </w:pPr>
            <w:r>
              <w:rPr>
                <w:rFonts w:ascii="Arial" w:cs="Arial" w:eastAsia="Arial" w:hAnsi="Arial"/>
                <w:sz w:val="14"/>
                <w:szCs w:val="14"/>
                <w:b w:val="1"/>
                <w:bCs w:val="1"/>
                <w:color w:val="auto"/>
                <w:w w:val="93"/>
              </w:rPr>
              <w:t>Combined</w:t>
            </w:r>
          </w:p>
        </w:tc>
        <w:tc>
          <w:tcPr>
            <w:tcW w:w="280" w:type="dxa"/>
            <w:vAlign w:val="bottom"/>
          </w:tcPr>
          <w:p>
            <w:pPr>
              <w:spacing w:after="0"/>
              <w:rPr>
                <w:sz w:val="14"/>
                <w:szCs w:val="14"/>
                <w:color w:val="auto"/>
              </w:rPr>
            </w:pPr>
          </w:p>
        </w:tc>
        <w:tc>
          <w:tcPr>
            <w:tcW w:w="118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11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29"/>
        </w:trPr>
        <w:tc>
          <w:tcPr>
            <w:tcW w:w="3820" w:type="dxa"/>
            <w:vAlign w:val="bottom"/>
          </w:tcPr>
          <w:p>
            <w:pPr>
              <w:spacing w:after="0"/>
              <w:rPr>
                <w:sz w:val="11"/>
                <w:szCs w:val="11"/>
                <w:color w:val="auto"/>
              </w:rPr>
            </w:pPr>
          </w:p>
        </w:tc>
        <w:tc>
          <w:tcPr>
            <w:tcW w:w="112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26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540" w:type="dxa"/>
            <w:vAlign w:val="bottom"/>
            <w:tcBorders>
              <w:top w:val="single" w:sz="8" w:color="auto"/>
            </w:tcBorders>
          </w:tcPr>
          <w:p>
            <w:pPr>
              <w:jc w:val="right"/>
              <w:ind w:right="620"/>
              <w:spacing w:after="0" w:line="129" w:lineRule="exact"/>
              <w:rPr>
                <w:sz w:val="20"/>
                <w:szCs w:val="20"/>
                <w:color w:val="auto"/>
              </w:rPr>
            </w:pPr>
            <w:r>
              <w:rPr>
                <w:rFonts w:ascii="Arial" w:cs="Arial" w:eastAsia="Arial" w:hAnsi="Arial"/>
                <w:sz w:val="14"/>
                <w:szCs w:val="14"/>
                <w:b w:val="1"/>
                <w:bCs w:val="1"/>
                <w:color w:val="auto"/>
              </w:rPr>
              <w:t>(in millions)</w:t>
            </w:r>
          </w:p>
        </w:tc>
        <w:tc>
          <w:tcPr>
            <w:tcW w:w="28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4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1120" w:type="dxa"/>
            <w:vAlign w:val="bottom"/>
          </w:tcPr>
          <w:p>
            <w:pPr>
              <w:jc w:val="right"/>
              <w:ind w:right="967"/>
              <w:spacing w:after="0"/>
              <w:rPr>
                <w:sz w:val="20"/>
                <w:szCs w:val="20"/>
                <w:color w:val="auto"/>
              </w:rPr>
            </w:pPr>
            <w:r>
              <w:rPr>
                <w:rFonts w:ascii="Arial" w:cs="Arial" w:eastAsia="Arial" w:hAnsi="Arial"/>
                <w:sz w:val="15"/>
                <w:szCs w:val="15"/>
                <w:color w:val="auto"/>
                <w:w w:val="71"/>
              </w:rPr>
              <w:t>$</w:t>
            </w:r>
          </w:p>
        </w:tc>
        <w:tc>
          <w:tcPr>
            <w:tcW w:w="360" w:type="dxa"/>
            <w:vAlign w:val="bottom"/>
          </w:tcPr>
          <w:p>
            <w:pPr>
              <w:ind w:left="60"/>
              <w:spacing w:after="0"/>
              <w:rPr>
                <w:sz w:val="20"/>
                <w:szCs w:val="20"/>
                <w:color w:val="auto"/>
              </w:rPr>
            </w:pPr>
            <w:r>
              <w:rPr>
                <w:rFonts w:ascii="Arial" w:cs="Arial" w:eastAsia="Arial" w:hAnsi="Arial"/>
                <w:sz w:val="18"/>
                <w:szCs w:val="18"/>
                <w:color w:val="auto"/>
              </w:rPr>
              <w:t>—</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59"/>
              <w:spacing w:after="0"/>
              <w:rPr>
                <w:sz w:val="20"/>
                <w:szCs w:val="20"/>
                <w:color w:val="auto"/>
              </w:rPr>
            </w:pPr>
            <w:r>
              <w:rPr>
                <w:rFonts w:ascii="Arial" w:cs="Arial" w:eastAsia="Arial" w:hAnsi="Arial"/>
                <w:sz w:val="18"/>
                <w:szCs w:val="18"/>
                <w:color w:val="auto"/>
              </w:rPr>
              <w:t>38,886.6</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540" w:type="dxa"/>
            <w:vAlign w:val="bottom"/>
          </w:tcPr>
          <w:p>
            <w:pPr>
              <w:jc w:val="right"/>
              <w:ind w:right="40"/>
              <w:spacing w:after="0"/>
              <w:rPr>
                <w:sz w:val="20"/>
                <w:szCs w:val="20"/>
                <w:color w:val="auto"/>
              </w:rPr>
            </w:pPr>
            <w:r>
              <w:rPr>
                <w:rFonts w:ascii="Arial" w:cs="Arial" w:eastAsia="Arial" w:hAnsi="Arial"/>
                <w:sz w:val="18"/>
                <w:szCs w:val="18"/>
                <w:color w:val="auto"/>
              </w:rPr>
              <w:t>3,896.5</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(665.9)</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42,117.2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trading</w:t>
            </w:r>
          </w:p>
        </w:tc>
        <w:tc>
          <w:tcPr>
            <w:tcW w:w="1120" w:type="dxa"/>
            <w:vAlign w:val="bottom"/>
            <w:shd w:val="clear" w:color="auto" w:fill="CCEEFF"/>
          </w:tcPr>
          <w:p>
            <w:pPr>
              <w:spacing w:after="0"/>
              <w:rPr>
                <w:sz w:val="18"/>
                <w:szCs w:val="18"/>
                <w:color w:val="auto"/>
              </w:rPr>
            </w:pPr>
          </w:p>
        </w:tc>
        <w:tc>
          <w:tcPr>
            <w:tcW w:w="36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59"/>
              <w:spacing w:after="0"/>
              <w:rPr>
                <w:sz w:val="20"/>
                <w:szCs w:val="20"/>
                <w:color w:val="auto"/>
              </w:rPr>
            </w:pPr>
            <w:r>
              <w:rPr>
                <w:rFonts w:ascii="Arial" w:cs="Arial" w:eastAsia="Arial" w:hAnsi="Arial"/>
                <w:sz w:val="18"/>
                <w:szCs w:val="18"/>
                <w:color w:val="auto"/>
              </w:rPr>
              <w:t>18.9</w:t>
            </w:r>
          </w:p>
        </w:tc>
        <w:tc>
          <w:tcPr>
            <w:tcW w:w="26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40"/>
              <w:spacing w:after="0"/>
              <w:rPr>
                <w:sz w:val="20"/>
                <w:szCs w:val="20"/>
                <w:color w:val="auto"/>
              </w:rPr>
            </w:pPr>
            <w:r>
              <w:rPr>
                <w:rFonts w:ascii="Arial" w:cs="Arial" w:eastAsia="Arial" w:hAnsi="Arial"/>
                <w:sz w:val="18"/>
                <w:szCs w:val="18"/>
                <w:color w:val="auto"/>
              </w:rPr>
              <w:t>94.3</w:t>
            </w: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54"/>
              <w:spacing w:after="0"/>
              <w:rPr>
                <w:sz w:val="20"/>
                <w:szCs w:val="20"/>
                <w:color w:val="auto"/>
              </w:rPr>
            </w:pPr>
            <w:r>
              <w:rPr>
                <w:rFonts w:ascii="Arial" w:cs="Arial" w:eastAsia="Arial" w:hAnsi="Arial"/>
                <w:sz w:val="18"/>
                <w:szCs w:val="18"/>
                <w:color w:val="auto"/>
              </w:rPr>
              <w:t>¾</w:t>
            </w: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Equity securities, available-for-sale</w:t>
            </w:r>
          </w:p>
        </w:tc>
        <w:tc>
          <w:tcPr>
            <w:tcW w:w="1120" w:type="dxa"/>
            <w:vAlign w:val="bottom"/>
          </w:tcPr>
          <w:p>
            <w:pPr>
              <w:spacing w:after="0"/>
              <w:rPr>
                <w:sz w:val="18"/>
                <w:szCs w:val="18"/>
                <w:color w:val="auto"/>
              </w:rPr>
            </w:pPr>
          </w:p>
        </w:tc>
        <w:tc>
          <w:tcPr>
            <w:tcW w:w="360" w:type="dxa"/>
            <w:vAlign w:val="bottom"/>
          </w:tcPr>
          <w:p>
            <w:pPr>
              <w:ind w:left="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260" w:type="dxa"/>
            <w:vAlign w:val="bottom"/>
          </w:tcPr>
          <w:p>
            <w:pPr>
              <w:jc w:val="right"/>
              <w:ind w:right="59"/>
              <w:spacing w:after="0"/>
              <w:rPr>
                <w:sz w:val="20"/>
                <w:szCs w:val="20"/>
                <w:color w:val="auto"/>
              </w:rPr>
            </w:pPr>
            <w:r>
              <w:rPr>
                <w:rFonts w:ascii="Arial" w:cs="Arial" w:eastAsia="Arial" w:hAnsi="Arial"/>
                <w:sz w:val="18"/>
                <w:szCs w:val="18"/>
                <w:color w:val="auto"/>
              </w:rPr>
              <w:t>658.8</w:t>
            </w:r>
          </w:p>
        </w:tc>
        <w:tc>
          <w:tcPr>
            <w:tcW w:w="260" w:type="dxa"/>
            <w:vAlign w:val="bottom"/>
          </w:tcPr>
          <w:p>
            <w:pPr>
              <w:spacing w:after="0"/>
              <w:rPr>
                <w:sz w:val="18"/>
                <w:szCs w:val="18"/>
                <w:color w:val="auto"/>
              </w:rPr>
            </w:pPr>
          </w:p>
        </w:tc>
        <w:tc>
          <w:tcPr>
            <w:tcW w:w="1540" w:type="dxa"/>
            <w:vAlign w:val="bottom"/>
          </w:tcPr>
          <w:p>
            <w:pPr>
              <w:jc w:val="right"/>
              <w:ind w:right="40"/>
              <w:spacing w:after="0"/>
              <w:rPr>
                <w:sz w:val="20"/>
                <w:szCs w:val="20"/>
                <w:color w:val="auto"/>
              </w:rPr>
            </w:pPr>
            <w:r>
              <w:rPr>
                <w:rFonts w:ascii="Arial" w:cs="Arial" w:eastAsia="Arial" w:hAnsi="Arial"/>
                <w:sz w:val="18"/>
                <w:szCs w:val="18"/>
                <w:color w:val="auto"/>
              </w:rPr>
              <w:t>65.6</w:t>
            </w:r>
          </w:p>
        </w:tc>
        <w:tc>
          <w:tcPr>
            <w:tcW w:w="280" w:type="dxa"/>
            <w:vAlign w:val="bottom"/>
          </w:tcPr>
          <w:p>
            <w:pPr>
              <w:spacing w:after="0"/>
              <w:rPr>
                <w:sz w:val="18"/>
                <w:szCs w:val="18"/>
                <w:color w:val="auto"/>
              </w:rPr>
            </w:pPr>
          </w:p>
        </w:tc>
        <w:tc>
          <w:tcPr>
            <w:tcW w:w="1180" w:type="dxa"/>
            <w:vAlign w:val="bottom"/>
          </w:tcPr>
          <w:p>
            <w:pPr>
              <w:jc w:val="right"/>
              <w:ind w:right="54"/>
              <w:spacing w:after="0"/>
              <w:rPr>
                <w:sz w:val="20"/>
                <w:szCs w:val="20"/>
                <w:color w:val="auto"/>
              </w:rPr>
            </w:pPr>
            <w:r>
              <w:rPr>
                <w:rFonts w:ascii="Arial" w:cs="Arial" w:eastAsia="Arial" w:hAnsi="Arial"/>
                <w:sz w:val="18"/>
                <w:szCs w:val="18"/>
                <w:color w:val="auto"/>
              </w:rPr>
              <w:t>¾</w:t>
            </w: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724.4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 trading</w:t>
            </w:r>
          </w:p>
        </w:tc>
        <w:tc>
          <w:tcPr>
            <w:tcW w:w="1120" w:type="dxa"/>
            <w:vAlign w:val="bottom"/>
            <w:shd w:val="clear" w:color="auto" w:fill="CCEEFF"/>
          </w:tcPr>
          <w:p>
            <w:pPr>
              <w:spacing w:after="0"/>
              <w:rPr>
                <w:sz w:val="18"/>
                <w:szCs w:val="18"/>
                <w:color w:val="auto"/>
              </w:rPr>
            </w:pPr>
          </w:p>
        </w:tc>
        <w:tc>
          <w:tcPr>
            <w:tcW w:w="36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59"/>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40"/>
              <w:spacing w:after="0"/>
              <w:rPr>
                <w:sz w:val="20"/>
                <w:szCs w:val="20"/>
                <w:color w:val="auto"/>
              </w:rPr>
            </w:pPr>
            <w:r>
              <w:rPr>
                <w:rFonts w:ascii="Arial" w:cs="Arial" w:eastAsia="Arial" w:hAnsi="Arial"/>
                <w:sz w:val="18"/>
                <w:szCs w:val="18"/>
                <w:color w:val="auto"/>
              </w:rPr>
              <w:t>90.3</w:t>
            </w: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54"/>
              <w:spacing w:after="0"/>
              <w:rPr>
                <w:sz w:val="20"/>
                <w:szCs w:val="20"/>
                <w:color w:val="auto"/>
              </w:rPr>
            </w:pPr>
            <w:r>
              <w:rPr>
                <w:rFonts w:ascii="Arial" w:cs="Arial" w:eastAsia="Arial" w:hAnsi="Arial"/>
                <w:sz w:val="18"/>
                <w:szCs w:val="18"/>
                <w:color w:val="auto"/>
              </w:rPr>
              <w:t>¾</w:t>
            </w: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ectPr>
          <w:pgSz w:w="11900" w:h="16843" w:orient="portrait"/>
          <w:cols w:equalWidth="0" w:num="1">
            <w:col w:w="11460"/>
          </w:cols>
          <w:pgMar w:left="240" w:top="121" w:right="199" w:bottom="0" w:gutter="0" w:footer="0" w:header="0"/>
        </w:sectPr>
      </w:pPr>
    </w:p>
    <w:bookmarkStart w:id="17" w:name="page18"/>
    <w:bookmarkEnd w:id="17"/>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820" w:type="dxa"/>
            <w:vAlign w:val="bottom"/>
          </w:tcPr>
          <w:p>
            <w:pPr>
              <w:spacing w:after="0"/>
              <w:rPr>
                <w:sz w:val="20"/>
                <w:szCs w:val="20"/>
                <w:color w:val="auto"/>
              </w:rPr>
            </w:pPr>
            <w:r>
              <w:rPr>
                <w:rFonts w:ascii="Arial" w:cs="Arial" w:eastAsia="Arial" w:hAnsi="Arial"/>
                <w:sz w:val="18"/>
                <w:szCs w:val="18"/>
                <w:color w:val="auto"/>
              </w:rPr>
              <w:t>Mortgage loans</w:t>
            </w:r>
          </w:p>
        </w:tc>
        <w:tc>
          <w:tcPr>
            <w:tcW w:w="420" w:type="dxa"/>
            <w:vAlign w:val="bottom"/>
          </w:tcPr>
          <w:p>
            <w:pPr>
              <w:spacing w:after="0"/>
              <w:rPr>
                <w:sz w:val="20"/>
                <w:szCs w:val="20"/>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9,448.9</w:t>
            </w:r>
          </w:p>
        </w:tc>
        <w:tc>
          <w:tcPr>
            <w:tcW w:w="2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2,365.5</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(330.1)</w:t>
            </w: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11,484.3</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Real estate</w:t>
            </w:r>
          </w:p>
        </w:tc>
        <w:tc>
          <w:tcPr>
            <w:tcW w:w="4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412.8</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586.6</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999.4</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Policy loans</w:t>
            </w:r>
          </w:p>
        </w:tc>
        <w:tc>
          <w:tcPr>
            <w:tcW w:w="420" w:type="dxa"/>
            <w:vAlign w:val="bottom"/>
          </w:tcPr>
          <w:p>
            <w:pPr>
              <w:spacing w:after="0"/>
              <w:rPr>
                <w:sz w:val="18"/>
                <w:szCs w:val="18"/>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827.7</w:t>
            </w:r>
          </w:p>
        </w:tc>
        <w:tc>
          <w:tcPr>
            <w:tcW w:w="2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3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0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827.7</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Investment in unconsolidated entities</w:t>
            </w:r>
          </w:p>
        </w:tc>
        <w:tc>
          <w:tcPr>
            <w:tcW w:w="4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7,784.2</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275.6</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5,515.1</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(13,311.0)</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263.9</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Other investments</w:t>
            </w:r>
          </w:p>
        </w:tc>
        <w:tc>
          <w:tcPr>
            <w:tcW w:w="420" w:type="dxa"/>
            <w:vAlign w:val="bottom"/>
          </w:tcPr>
          <w:p>
            <w:pPr>
              <w:spacing w:after="0"/>
              <w:rPr>
                <w:sz w:val="18"/>
                <w:szCs w:val="18"/>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2,041.8</w:t>
            </w:r>
          </w:p>
        </w:tc>
        <w:tc>
          <w:tcPr>
            <w:tcW w:w="2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129.6</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(1,321.8)</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849.6</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4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21.6</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1,261.9</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542.3</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(184.5)</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1,641.3</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Accrued investment income</w:t>
            </w:r>
          </w:p>
        </w:tc>
        <w:tc>
          <w:tcPr>
            <w:tcW w:w="420" w:type="dxa"/>
            <w:vAlign w:val="bottom"/>
          </w:tcPr>
          <w:p>
            <w:pPr>
              <w:spacing w:after="0"/>
              <w:rPr>
                <w:sz w:val="18"/>
                <w:szCs w:val="18"/>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638.8</w:t>
            </w:r>
          </w:p>
        </w:tc>
        <w:tc>
          <w:tcPr>
            <w:tcW w:w="2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48.5</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(4.6)</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682.7</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Premiums due and other receivables</w:t>
            </w:r>
          </w:p>
        </w:tc>
        <w:tc>
          <w:tcPr>
            <w:tcW w:w="4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589.2</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112.7</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(109.2)</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592.7</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Deferred policy acquisition costs</w:t>
            </w:r>
          </w:p>
        </w:tc>
        <w:tc>
          <w:tcPr>
            <w:tcW w:w="420" w:type="dxa"/>
            <w:vAlign w:val="bottom"/>
          </w:tcPr>
          <w:p>
            <w:pPr>
              <w:spacing w:after="0"/>
              <w:rPr>
                <w:sz w:val="18"/>
                <w:szCs w:val="18"/>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2,069.9</w:t>
            </w:r>
          </w:p>
        </w:tc>
        <w:tc>
          <w:tcPr>
            <w:tcW w:w="2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104.2</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2,174.1</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Property and equipment</w:t>
            </w:r>
          </w:p>
        </w:tc>
        <w:tc>
          <w:tcPr>
            <w:tcW w:w="4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397.2</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22.6</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419.8</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Goodwill</w:t>
            </w:r>
          </w:p>
        </w:tc>
        <w:tc>
          <w:tcPr>
            <w:tcW w:w="420" w:type="dxa"/>
            <w:vAlign w:val="bottom"/>
          </w:tcPr>
          <w:p>
            <w:pPr>
              <w:spacing w:after="0"/>
              <w:rPr>
                <w:sz w:val="18"/>
                <w:szCs w:val="18"/>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50.4</w:t>
            </w:r>
          </w:p>
        </w:tc>
        <w:tc>
          <w:tcPr>
            <w:tcW w:w="2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231.9</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282.3</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Other intangibles</w:t>
            </w:r>
          </w:p>
        </w:tc>
        <w:tc>
          <w:tcPr>
            <w:tcW w:w="4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39.2</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163.4</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202.6</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Separate account assets</w:t>
            </w:r>
          </w:p>
        </w:tc>
        <w:tc>
          <w:tcPr>
            <w:tcW w:w="420" w:type="dxa"/>
            <w:vAlign w:val="bottom"/>
          </w:tcPr>
          <w:p>
            <w:pPr>
              <w:spacing w:after="0"/>
              <w:rPr>
                <w:sz w:val="18"/>
                <w:szCs w:val="18"/>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58,670.7</w:t>
            </w:r>
          </w:p>
        </w:tc>
        <w:tc>
          <w:tcPr>
            <w:tcW w:w="2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3,415.5</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(16.2)</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62,070.0</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4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1,361.4</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258.1</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(123.1)</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1,499.9</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820" w:type="dxa"/>
            <w:vAlign w:val="bottom"/>
            <w:vMerge w:val="restart"/>
          </w:tcPr>
          <w:p>
            <w:pPr>
              <w:ind w:left="180"/>
              <w:spacing w:after="0"/>
              <w:rPr>
                <w:sz w:val="20"/>
                <w:szCs w:val="20"/>
                <w:color w:val="auto"/>
              </w:rPr>
            </w:pPr>
            <w:r>
              <w:rPr>
                <w:rFonts w:ascii="Arial" w:cs="Arial" w:eastAsia="Arial" w:hAnsi="Arial"/>
                <w:sz w:val="18"/>
                <w:szCs w:val="18"/>
                <w:color w:val="auto"/>
              </w:rPr>
              <w:t>Total assets</w:t>
            </w:r>
          </w:p>
        </w:tc>
        <w:tc>
          <w:tcPr>
            <w:tcW w:w="4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3820" w:type="dxa"/>
            <w:vAlign w:val="bottom"/>
            <w:vMerge w:val="continue"/>
          </w:tcPr>
          <w:p>
            <w:pPr>
              <w:spacing w:after="0"/>
              <w:rPr>
                <w:sz w:val="21"/>
                <w:szCs w:val="21"/>
                <w:color w:val="auto"/>
              </w:rPr>
            </w:pPr>
          </w:p>
        </w:tc>
        <w:tc>
          <w:tcPr>
            <w:tcW w:w="420" w:type="dxa"/>
            <w:vAlign w:val="bottom"/>
          </w:tcPr>
          <w:p>
            <w:pPr>
              <w:jc w:val="right"/>
              <w:ind w:right="265"/>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7,809.3</w:t>
            </w:r>
          </w:p>
        </w:tc>
        <w:tc>
          <w:tcPr>
            <w:tcW w:w="24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117,649.8</w:t>
            </w:r>
          </w:p>
        </w:tc>
        <w:tc>
          <w:tcPr>
            <w:tcW w:w="240" w:type="dxa"/>
            <w:vAlign w:val="bottom"/>
            <w:vMerge w:val="continue"/>
          </w:tcPr>
          <w:p>
            <w:pPr>
              <w:spacing w:after="0"/>
              <w:rPr>
                <w:sz w:val="21"/>
                <w:szCs w:val="21"/>
                <w:color w:val="auto"/>
              </w:rPr>
            </w:pPr>
          </w:p>
        </w:tc>
        <w:tc>
          <w:tcPr>
            <w:tcW w:w="520" w:type="dxa"/>
            <w:vAlign w:val="bottom"/>
          </w:tcPr>
          <w:p>
            <w:pPr>
              <w:jc w:val="right"/>
              <w:ind w:right="33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17,642.7</w:t>
            </w:r>
          </w:p>
        </w:tc>
        <w:tc>
          <w:tcPr>
            <w:tcW w:w="260" w:type="dxa"/>
            <w:vAlign w:val="bottom"/>
          </w:tcPr>
          <w:p>
            <w:pPr>
              <w:spacing w:after="0"/>
              <w:rPr>
                <w:sz w:val="21"/>
                <w:szCs w:val="21"/>
                <w:color w:val="auto"/>
              </w:rPr>
            </w:pPr>
          </w:p>
        </w:tc>
        <w:tc>
          <w:tcPr>
            <w:tcW w:w="280" w:type="dxa"/>
            <w:vAlign w:val="bottom"/>
          </w:tcPr>
          <w:p>
            <w:pPr>
              <w:jc w:val="right"/>
              <w:ind w:right="125"/>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(16,066.4)</w:t>
            </w:r>
          </w:p>
        </w:tc>
        <w:tc>
          <w:tcPr>
            <w:tcW w:w="80" w:type="dxa"/>
            <w:vAlign w:val="bottom"/>
            <w:vMerge w:val="continue"/>
          </w:tcPr>
          <w:p>
            <w:pPr>
              <w:spacing w:after="0"/>
              <w:rPr>
                <w:sz w:val="21"/>
                <w:szCs w:val="21"/>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127,035.4</w:t>
            </w: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3820" w:type="dxa"/>
            <w:vAlign w:val="bottom"/>
            <w:tcBorders>
              <w:top w:val="single" w:sz="8" w:color="CCEEFF"/>
            </w:tcBorders>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Liabilities</w:t>
            </w:r>
          </w:p>
        </w:tc>
        <w:tc>
          <w:tcPr>
            <w:tcW w:w="420" w:type="dxa"/>
            <w:vAlign w:val="bottom"/>
            <w:tcBorders>
              <w:top w:val="single" w:sz="8" w:color="auto"/>
            </w:tcBorders>
            <w:shd w:val="clear" w:color="auto" w:fill="CCEEFF"/>
          </w:tcPr>
          <w:p>
            <w:pPr>
              <w:spacing w:after="0"/>
              <w:rPr>
                <w:sz w:val="14"/>
                <w:szCs w:val="14"/>
                <w:color w:val="auto"/>
              </w:rPr>
            </w:pPr>
          </w:p>
        </w:tc>
        <w:tc>
          <w:tcPr>
            <w:tcW w:w="960" w:type="dxa"/>
            <w:vAlign w:val="bottom"/>
            <w:tcBorders>
              <w:top w:val="single" w:sz="8" w:color="auto"/>
            </w:tcBorders>
            <w:shd w:val="clear" w:color="auto" w:fill="CCEEFF"/>
          </w:tcPr>
          <w:p>
            <w:pPr>
              <w:spacing w:after="0"/>
              <w:rPr>
                <w:sz w:val="14"/>
                <w:szCs w:val="14"/>
                <w:color w:val="auto"/>
              </w:rPr>
            </w:pPr>
          </w:p>
        </w:tc>
        <w:tc>
          <w:tcPr>
            <w:tcW w:w="24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tcBorders>
            <w:shd w:val="clear" w:color="auto" w:fill="CCEEFF"/>
          </w:tcPr>
          <w:p>
            <w:pPr>
              <w:spacing w:after="0"/>
              <w:rPr>
                <w:sz w:val="14"/>
                <w:szCs w:val="14"/>
                <w:color w:val="auto"/>
              </w:rPr>
            </w:pPr>
          </w:p>
        </w:tc>
        <w:tc>
          <w:tcPr>
            <w:tcW w:w="1140" w:type="dxa"/>
            <w:vAlign w:val="bottom"/>
            <w:tcBorders>
              <w:top w:val="single" w:sz="8" w:color="auto"/>
            </w:tcBorders>
            <w:shd w:val="clear" w:color="auto" w:fill="CCEEFF"/>
          </w:tcPr>
          <w:p>
            <w:pPr>
              <w:spacing w:after="0"/>
              <w:rPr>
                <w:sz w:val="14"/>
                <w:szCs w:val="14"/>
                <w:color w:val="auto"/>
              </w:rPr>
            </w:pPr>
          </w:p>
        </w:tc>
        <w:tc>
          <w:tcPr>
            <w:tcW w:w="240" w:type="dxa"/>
            <w:vAlign w:val="bottom"/>
            <w:tcBorders>
              <w:top w:val="single" w:sz="8" w:color="CCEEFF"/>
            </w:tcBorders>
            <w:shd w:val="clear" w:color="auto" w:fill="CCEEFF"/>
          </w:tcPr>
          <w:p>
            <w:pPr>
              <w:spacing w:after="0"/>
              <w:rPr>
                <w:sz w:val="14"/>
                <w:szCs w:val="14"/>
                <w:color w:val="auto"/>
              </w:rPr>
            </w:pPr>
          </w:p>
        </w:tc>
        <w:tc>
          <w:tcPr>
            <w:tcW w:w="520" w:type="dxa"/>
            <w:vAlign w:val="bottom"/>
            <w:tcBorders>
              <w:top w:val="single" w:sz="8" w:color="auto"/>
            </w:tcBorders>
            <w:shd w:val="clear" w:color="auto" w:fill="CCEEFF"/>
          </w:tcPr>
          <w:p>
            <w:pPr>
              <w:spacing w:after="0"/>
              <w:rPr>
                <w:sz w:val="14"/>
                <w:szCs w:val="14"/>
                <w:color w:val="auto"/>
              </w:rPr>
            </w:pPr>
          </w:p>
        </w:tc>
        <w:tc>
          <w:tcPr>
            <w:tcW w:w="1040" w:type="dxa"/>
            <w:vAlign w:val="bottom"/>
            <w:tcBorders>
              <w:top w:val="single" w:sz="8" w:color="auto"/>
            </w:tcBorders>
            <w:shd w:val="clear" w:color="auto" w:fill="CCEEFF"/>
          </w:tcPr>
          <w:p>
            <w:pPr>
              <w:spacing w:after="0"/>
              <w:rPr>
                <w:sz w:val="14"/>
                <w:szCs w:val="14"/>
                <w:color w:val="auto"/>
              </w:rPr>
            </w:pPr>
          </w:p>
        </w:tc>
        <w:tc>
          <w:tcPr>
            <w:tcW w:w="260" w:type="dxa"/>
            <w:vAlign w:val="bottom"/>
            <w:tcBorders>
              <w:top w:val="single" w:sz="8" w:color="CCEEFF"/>
            </w:tcBorders>
            <w:shd w:val="clear" w:color="auto" w:fill="CCEEFF"/>
          </w:tcPr>
          <w:p>
            <w:pPr>
              <w:spacing w:after="0"/>
              <w:rPr>
                <w:sz w:val="14"/>
                <w:szCs w:val="14"/>
                <w:color w:val="auto"/>
              </w:rPr>
            </w:pPr>
          </w:p>
        </w:tc>
        <w:tc>
          <w:tcPr>
            <w:tcW w:w="280" w:type="dxa"/>
            <w:vAlign w:val="bottom"/>
            <w:tcBorders>
              <w:top w:val="single" w:sz="8" w:color="auto"/>
            </w:tcBorders>
            <w:shd w:val="clear" w:color="auto" w:fill="CCEEFF"/>
          </w:tcPr>
          <w:p>
            <w:pPr>
              <w:spacing w:after="0"/>
              <w:rPr>
                <w:sz w:val="14"/>
                <w:szCs w:val="14"/>
                <w:color w:val="auto"/>
              </w:rPr>
            </w:pPr>
          </w:p>
        </w:tc>
        <w:tc>
          <w:tcPr>
            <w:tcW w:w="920" w:type="dxa"/>
            <w:vAlign w:val="bottom"/>
            <w:tcBorders>
              <w:top w:val="single" w:sz="8" w:color="auto"/>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260" w:type="dxa"/>
            <w:vAlign w:val="bottom"/>
            <w:tcBorders>
              <w:top w:val="single" w:sz="8" w:color="auto"/>
            </w:tcBorders>
            <w:shd w:val="clear" w:color="auto" w:fill="CCEEFF"/>
          </w:tcPr>
          <w:p>
            <w:pPr>
              <w:spacing w:after="0"/>
              <w:rPr>
                <w:sz w:val="14"/>
                <w:szCs w:val="14"/>
                <w:color w:val="auto"/>
              </w:rPr>
            </w:pPr>
          </w:p>
        </w:tc>
        <w:tc>
          <w:tcPr>
            <w:tcW w:w="900" w:type="dxa"/>
            <w:vAlign w:val="bottom"/>
            <w:tcBorders>
              <w:top w:val="single" w:sz="8" w:color="auto"/>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Contractholder funds</w:t>
            </w:r>
          </w:p>
        </w:tc>
        <w:tc>
          <w:tcPr>
            <w:tcW w:w="420" w:type="dxa"/>
            <w:vAlign w:val="bottom"/>
          </w:tcPr>
          <w:p>
            <w:pPr>
              <w:jc w:val="right"/>
              <w:ind w:right="265"/>
              <w:spacing w:after="0"/>
              <w:rPr>
                <w:sz w:val="20"/>
                <w:szCs w:val="20"/>
                <w:color w:val="auto"/>
              </w:rPr>
            </w:pPr>
            <w:r>
              <w:rPr>
                <w:rFonts w:ascii="Arial" w:cs="Arial" w:eastAsia="Arial" w:hAnsi="Arial"/>
                <w:sz w:val="15"/>
                <w:szCs w:val="15"/>
                <w:color w:val="auto"/>
                <w:w w:val="71"/>
              </w:rPr>
              <w:t>$</w:t>
            </w: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33,797.0</w:t>
            </w:r>
          </w:p>
        </w:tc>
        <w:tc>
          <w:tcPr>
            <w:tcW w:w="760" w:type="dxa"/>
            <w:vAlign w:val="bottom"/>
            <w:gridSpan w:val="2"/>
          </w:tcPr>
          <w:p>
            <w:pPr>
              <w:jc w:val="right"/>
              <w:ind w:right="33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13.5</w:t>
            </w:r>
          </w:p>
        </w:tc>
        <w:tc>
          <w:tcPr>
            <w:tcW w:w="260" w:type="dxa"/>
            <w:vAlign w:val="bottom"/>
          </w:tcPr>
          <w:p>
            <w:pPr>
              <w:spacing w:after="0"/>
              <w:rPr>
                <w:sz w:val="18"/>
                <w:szCs w:val="18"/>
                <w:color w:val="auto"/>
              </w:rPr>
            </w:pPr>
          </w:p>
        </w:tc>
        <w:tc>
          <w:tcPr>
            <w:tcW w:w="280" w:type="dxa"/>
            <w:vAlign w:val="bottom"/>
          </w:tcPr>
          <w:p>
            <w:pPr>
              <w:jc w:val="right"/>
              <w:ind w:right="125"/>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(198.4)</w:t>
            </w:r>
          </w:p>
        </w:tc>
        <w:tc>
          <w:tcPr>
            <w:tcW w:w="340" w:type="dxa"/>
            <w:vAlign w:val="bottom"/>
            <w:gridSpan w:val="2"/>
          </w:tcPr>
          <w:p>
            <w:pPr>
              <w:jc w:val="right"/>
              <w:ind w:right="105"/>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33,612.1</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Future policy benefits and claims</w:t>
            </w:r>
          </w:p>
        </w:tc>
        <w:tc>
          <w:tcPr>
            <w:tcW w:w="4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14,650.3</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2,175.2</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16,825.5</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Other policyholder funds</w:t>
            </w:r>
          </w:p>
        </w:tc>
        <w:tc>
          <w:tcPr>
            <w:tcW w:w="420" w:type="dxa"/>
            <w:vAlign w:val="bottom"/>
          </w:tcPr>
          <w:p>
            <w:pPr>
              <w:spacing w:after="0"/>
              <w:rPr>
                <w:sz w:val="18"/>
                <w:szCs w:val="18"/>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654.1</w:t>
            </w:r>
          </w:p>
        </w:tc>
        <w:tc>
          <w:tcPr>
            <w:tcW w:w="2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3.0</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657.1</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Short-term debt</w:t>
            </w:r>
          </w:p>
        </w:tc>
        <w:tc>
          <w:tcPr>
            <w:tcW w:w="4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565.6</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(89.2)</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476.4</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Long-term debt</w:t>
            </w:r>
          </w:p>
        </w:tc>
        <w:tc>
          <w:tcPr>
            <w:tcW w:w="420" w:type="dxa"/>
            <w:vAlign w:val="bottom"/>
          </w:tcPr>
          <w:p>
            <w:pPr>
              <w:spacing w:after="0"/>
              <w:rPr>
                <w:sz w:val="18"/>
                <w:szCs w:val="18"/>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241.9</w:t>
            </w:r>
          </w:p>
        </w:tc>
        <w:tc>
          <w:tcPr>
            <w:tcW w:w="2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1,223.9</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(567.0)</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898.8</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Income taxes currently payable</w:t>
            </w:r>
          </w:p>
        </w:tc>
        <w:tc>
          <w:tcPr>
            <w:tcW w:w="4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Deferred income taxes</w:t>
            </w:r>
          </w:p>
        </w:tc>
        <w:tc>
          <w:tcPr>
            <w:tcW w:w="420" w:type="dxa"/>
            <w:vAlign w:val="bottom"/>
          </w:tcPr>
          <w:p>
            <w:pPr>
              <w:spacing w:after="0"/>
              <w:rPr>
                <w:sz w:val="18"/>
                <w:szCs w:val="18"/>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753.1</w:t>
            </w:r>
          </w:p>
        </w:tc>
        <w:tc>
          <w:tcPr>
            <w:tcW w:w="2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237.1</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(15.4)</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974.8</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liabilities</w:t>
            </w:r>
          </w:p>
        </w:tc>
        <w:tc>
          <w:tcPr>
            <w:tcW w:w="4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58,670.7</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3,415.5</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(16.2)</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62,070.0</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Other liabilities</w:t>
            </w:r>
          </w:p>
        </w:tc>
        <w:tc>
          <w:tcPr>
            <w:tcW w:w="4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2.1</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1,800.1</w:t>
            </w:r>
          </w:p>
        </w:tc>
        <w:tc>
          <w:tcPr>
            <w:tcW w:w="2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2,224.4</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(313.1)</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3,713.5</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820" w:type="dxa"/>
            <w:vAlign w:val="bottom"/>
            <w:vMerge w:val="restart"/>
            <w:shd w:val="clear" w:color="auto" w:fill="CCEEFF"/>
          </w:tcPr>
          <w:p>
            <w:pPr>
              <w:ind w:left="180"/>
              <w:spacing w:after="0"/>
              <w:rPr>
                <w:sz w:val="20"/>
                <w:szCs w:val="20"/>
                <w:color w:val="auto"/>
              </w:rPr>
            </w:pPr>
            <w:r>
              <w:rPr>
                <w:rFonts w:ascii="Arial" w:cs="Arial" w:eastAsia="Arial" w:hAnsi="Arial"/>
                <w:sz w:val="18"/>
                <w:szCs w:val="18"/>
                <w:color w:val="auto"/>
              </w:rPr>
              <w:t>Total liabilities</w:t>
            </w:r>
          </w:p>
        </w:tc>
        <w:tc>
          <w:tcPr>
            <w:tcW w:w="4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820" w:type="dxa"/>
            <w:vAlign w:val="bottom"/>
            <w:vMerge w:val="continue"/>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110,567.2</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9,858.5</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(1,199.6)</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119,228.2</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b w:val="1"/>
                <w:bCs w:val="1"/>
                <w:color w:val="auto"/>
              </w:rPr>
              <w:t>Stockholders’ equity</w:t>
            </w:r>
          </w:p>
        </w:tc>
        <w:tc>
          <w:tcPr>
            <w:tcW w:w="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Series A preferred stock</w:t>
            </w:r>
          </w:p>
        </w:tc>
        <w:tc>
          <w:tcPr>
            <w:tcW w:w="4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¾</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¾</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Serice B preferred stock</w:t>
            </w:r>
          </w:p>
        </w:tc>
        <w:tc>
          <w:tcPr>
            <w:tcW w:w="4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0.1</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3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0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0.1</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Common stock</w:t>
            </w:r>
          </w:p>
        </w:tc>
        <w:tc>
          <w:tcPr>
            <w:tcW w:w="4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Additional paid-in capital</w:t>
            </w:r>
          </w:p>
        </w:tc>
        <w:tc>
          <w:tcPr>
            <w:tcW w:w="4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8,000.0</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5,354.8</w:t>
            </w:r>
          </w:p>
        </w:tc>
        <w:tc>
          <w:tcPr>
            <w:tcW w:w="2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7,071.3</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(12,426.1)</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8,000.0</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Retained earnings (deficit)</w:t>
            </w:r>
          </w:p>
        </w:tc>
        <w:tc>
          <w:tcPr>
            <w:tcW w:w="4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2,008.6</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870.4</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(281.9)</w:t>
            </w: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(588.5)</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2,008.6</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Accumulated other comprehensive income</w:t>
            </w:r>
          </w:p>
        </w:tc>
        <w:tc>
          <w:tcPr>
            <w:tcW w:w="4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994.8</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854.9</w:t>
            </w:r>
          </w:p>
        </w:tc>
        <w:tc>
          <w:tcPr>
            <w:tcW w:w="2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994.8</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(1,849.7)</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994.8</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Treasury stock, at cost</w:t>
            </w:r>
          </w:p>
        </w:tc>
        <w:tc>
          <w:tcPr>
            <w:tcW w:w="4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(3,200.1)</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(3,200.1)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82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Total stockholders’ equity</w:t>
            </w:r>
          </w:p>
        </w:tc>
        <w:tc>
          <w:tcPr>
            <w:tcW w:w="42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7,807.2</w:t>
            </w:r>
          </w:p>
        </w:tc>
        <w:tc>
          <w:tcPr>
            <w:tcW w:w="240" w:type="dxa"/>
            <w:vAlign w:val="bottom"/>
            <w:tcBorders>
              <w:bottom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7,082.6</w:t>
            </w:r>
          </w:p>
        </w:tc>
        <w:tc>
          <w:tcPr>
            <w:tcW w:w="240" w:type="dxa"/>
            <w:vAlign w:val="bottom"/>
            <w:tcBorders>
              <w:bottom w:val="single" w:sz="8" w:color="CCEEFF"/>
            </w:tcBorders>
          </w:tcPr>
          <w:p>
            <w:pPr>
              <w:spacing w:after="0"/>
              <w:rPr>
                <w:sz w:val="18"/>
                <w:szCs w:val="18"/>
                <w:color w:val="auto"/>
              </w:rPr>
            </w:pPr>
          </w:p>
        </w:tc>
        <w:tc>
          <w:tcPr>
            <w:tcW w:w="520" w:type="dxa"/>
            <w:vAlign w:val="bottom"/>
            <w:tcBorders>
              <w:top w:val="single" w:sz="8" w:color="auto"/>
              <w:bottom w:val="single" w:sz="8" w:color="auto"/>
            </w:tcBorders>
          </w:tcPr>
          <w:p>
            <w:pPr>
              <w:spacing w:after="0"/>
              <w:rPr>
                <w:sz w:val="18"/>
                <w:szCs w:val="18"/>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7,784.2</w:t>
            </w:r>
          </w:p>
        </w:tc>
        <w:tc>
          <w:tcPr>
            <w:tcW w:w="260" w:type="dxa"/>
            <w:vAlign w:val="bottom"/>
            <w:tcBorders>
              <w:bottom w:val="single" w:sz="8" w:color="CCEEFF"/>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(14,866.8)</w:t>
            </w:r>
          </w:p>
        </w:tc>
        <w:tc>
          <w:tcPr>
            <w:tcW w:w="1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7,807.2</w:t>
            </w:r>
          </w:p>
        </w:tc>
        <w:tc>
          <w:tcPr>
            <w:tcW w:w="8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8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liabilities and stockholders’ equity</w:t>
            </w:r>
          </w:p>
        </w:tc>
        <w:tc>
          <w:tcPr>
            <w:tcW w:w="420" w:type="dxa"/>
            <w:vAlign w:val="bottom"/>
            <w:tcBorders>
              <w:bottom w:val="single" w:sz="8" w:color="auto"/>
            </w:tcBorders>
            <w:shd w:val="clear" w:color="auto" w:fill="CCEEFF"/>
          </w:tcPr>
          <w:p>
            <w:pPr>
              <w:jc w:val="right"/>
              <w:ind w:right="265"/>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7,809.3</w:t>
            </w:r>
          </w:p>
        </w:tc>
        <w:tc>
          <w:tcPr>
            <w:tcW w:w="24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117,649.8</w:t>
            </w:r>
          </w:p>
        </w:tc>
        <w:tc>
          <w:tcPr>
            <w:tcW w:w="240" w:type="dxa"/>
            <w:vAlign w:val="bottom"/>
            <w:tcBorders>
              <w:bottom w:val="single" w:sz="8" w:color="CCEEFF"/>
            </w:tcBorders>
            <w:shd w:val="clear" w:color="auto" w:fill="CCEEFF"/>
          </w:tcPr>
          <w:p>
            <w:pPr>
              <w:spacing w:after="0"/>
              <w:rPr>
                <w:sz w:val="19"/>
                <w:szCs w:val="19"/>
                <w:color w:val="auto"/>
              </w:rPr>
            </w:pPr>
          </w:p>
        </w:tc>
        <w:tc>
          <w:tcPr>
            <w:tcW w:w="520" w:type="dxa"/>
            <w:vAlign w:val="bottom"/>
            <w:tcBorders>
              <w:bottom w:val="single" w:sz="8" w:color="auto"/>
            </w:tcBorders>
            <w:shd w:val="clear" w:color="auto" w:fill="CCEEFF"/>
          </w:tcPr>
          <w:p>
            <w:pPr>
              <w:jc w:val="right"/>
              <w:ind w:right="3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17,642.7</w:t>
            </w:r>
          </w:p>
        </w:tc>
        <w:tc>
          <w:tcPr>
            <w:tcW w:w="26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(16,066.4</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127,035.4</w:t>
            </w:r>
          </w:p>
        </w:tc>
        <w:tc>
          <w:tcPr>
            <w:tcW w:w="80" w:type="dxa"/>
            <w:vAlign w:val="bottom"/>
            <w:tcBorders>
              <w:bottom w:val="single" w:sz="8" w:color="CCEEFF"/>
            </w:tcBorders>
            <w:shd w:val="clear" w:color="auto" w:fill="CCEEFF"/>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8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38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40" w:type="dxa"/>
            <w:vAlign w:val="bottom"/>
          </w:tcPr>
          <w:p>
            <w:pPr>
              <w:jc w:val="right"/>
              <w:ind w:right="830"/>
              <w:spacing w:after="0"/>
              <w:rPr>
                <w:sz w:val="20"/>
                <w:szCs w:val="20"/>
                <w:color w:val="auto"/>
              </w:rPr>
            </w:pPr>
            <w:r>
              <w:rPr>
                <w:rFonts w:ascii="Arial" w:cs="Arial" w:eastAsia="Arial" w:hAnsi="Arial"/>
                <w:sz w:val="18"/>
                <w:szCs w:val="18"/>
                <w:color w:val="auto"/>
                <w:w w:val="99"/>
              </w:rPr>
              <w:t>25</w:t>
            </w: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3820" w:type="dxa"/>
            <w:vAlign w:val="bottom"/>
            <w:tcBorders>
              <w:bottom w:val="single" w:sz="8" w:color="010101"/>
            </w:tcBorders>
          </w:tcPr>
          <w:p>
            <w:pPr>
              <w:spacing w:after="0"/>
              <w:rPr>
                <w:sz w:val="24"/>
                <w:szCs w:val="24"/>
                <w:color w:val="auto"/>
              </w:rPr>
            </w:pPr>
          </w:p>
        </w:tc>
        <w:tc>
          <w:tcPr>
            <w:tcW w:w="420" w:type="dxa"/>
            <w:vAlign w:val="bottom"/>
            <w:tcBorders>
              <w:bottom w:val="single" w:sz="8" w:color="010101"/>
            </w:tcBorders>
          </w:tcPr>
          <w:p>
            <w:pPr>
              <w:spacing w:after="0"/>
              <w:rPr>
                <w:sz w:val="24"/>
                <w:szCs w:val="24"/>
                <w:color w:val="auto"/>
              </w:rPr>
            </w:pPr>
          </w:p>
        </w:tc>
        <w:tc>
          <w:tcPr>
            <w:tcW w:w="96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114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520" w:type="dxa"/>
            <w:vAlign w:val="bottom"/>
            <w:tcBorders>
              <w:bottom w:val="single" w:sz="8" w:color="010101"/>
            </w:tcBorders>
          </w:tcPr>
          <w:p>
            <w:pPr>
              <w:spacing w:after="0"/>
              <w:rPr>
                <w:sz w:val="24"/>
                <w:szCs w:val="24"/>
                <w:color w:val="auto"/>
              </w:rPr>
            </w:pPr>
          </w:p>
        </w:tc>
        <w:tc>
          <w:tcPr>
            <w:tcW w:w="104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92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90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Operations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six months ended June 30, 2006</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Principal</w:t>
            </w:r>
          </w:p>
        </w:tc>
        <w:tc>
          <w:tcPr>
            <w:tcW w:w="1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2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4"/>
              </w:rPr>
              <w:t>Principal</w:t>
            </w:r>
          </w:p>
        </w:tc>
        <w:tc>
          <w:tcPr>
            <w:tcW w:w="180" w:type="dxa"/>
            <w:vAlign w:val="bottom"/>
          </w:tcPr>
          <w:p>
            <w:pPr>
              <w:spacing w:after="0"/>
              <w:rPr>
                <w:sz w:val="11"/>
                <w:szCs w:val="11"/>
                <w:color w:val="auto"/>
              </w:rPr>
            </w:pPr>
          </w:p>
        </w:tc>
        <w:tc>
          <w:tcPr>
            <w:tcW w:w="134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5"/>
              </w:rPr>
              <w:t>Principal Life</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50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2"/>
              </w:rPr>
              <w:t>Financial</w:t>
            </w: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4"/>
              </w:rPr>
              <w:t>Principal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20" w:type="dxa"/>
            <w:vAlign w:val="bottom"/>
            <w:gridSpan w:val="2"/>
            <w:vMerge w:val="continue"/>
          </w:tcPr>
          <w:p>
            <w:pPr>
              <w:spacing w:after="0"/>
              <w:rPr>
                <w:sz w:val="11"/>
                <w:szCs w:val="11"/>
                <w:color w:val="auto"/>
              </w:rPr>
            </w:pPr>
          </w:p>
        </w:tc>
        <w:tc>
          <w:tcPr>
            <w:tcW w:w="180" w:type="dxa"/>
            <w:vAlign w:val="bottom"/>
          </w:tcPr>
          <w:p>
            <w:pPr>
              <w:spacing w:after="0"/>
              <w:rPr>
                <w:sz w:val="11"/>
                <w:szCs w:val="11"/>
                <w:color w:val="auto"/>
              </w:rPr>
            </w:pPr>
          </w:p>
        </w:tc>
        <w:tc>
          <w:tcPr>
            <w:tcW w:w="134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50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1"/>
              </w:rPr>
              <w:t>Services, Inc. and</w:t>
            </w: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20" w:type="dxa"/>
            <w:vAlign w:val="bottom"/>
            <w:gridSpan w:val="2"/>
          </w:tcPr>
          <w:p>
            <w:pPr>
              <w:jc w:val="center"/>
              <w:ind w:right="480"/>
              <w:spacing w:after="0" w:line="135" w:lineRule="exact"/>
              <w:rPr>
                <w:sz w:val="20"/>
                <w:szCs w:val="20"/>
                <w:color w:val="auto"/>
              </w:rPr>
            </w:pPr>
            <w:r>
              <w:rPr>
                <w:rFonts w:ascii="Arial" w:cs="Arial" w:eastAsia="Arial" w:hAnsi="Arial"/>
                <w:sz w:val="14"/>
                <w:szCs w:val="14"/>
                <w:b w:val="1"/>
                <w:bCs w:val="1"/>
                <w:color w:val="auto"/>
                <w:w w:val="95"/>
              </w:rPr>
              <w:t>Financial</w:t>
            </w:r>
          </w:p>
        </w:tc>
        <w:tc>
          <w:tcPr>
            <w:tcW w:w="180" w:type="dxa"/>
            <w:vAlign w:val="bottom"/>
          </w:tcPr>
          <w:p>
            <w:pPr>
              <w:spacing w:after="0"/>
              <w:rPr>
                <w:sz w:val="11"/>
                <w:szCs w:val="11"/>
                <w:color w:val="auto"/>
              </w:rPr>
            </w:pPr>
          </w:p>
        </w:tc>
        <w:tc>
          <w:tcPr>
            <w:tcW w:w="1340" w:type="dxa"/>
            <w:vAlign w:val="bottom"/>
            <w:gridSpan w:val="2"/>
          </w:tcPr>
          <w:p>
            <w:pPr>
              <w:jc w:val="center"/>
              <w:ind w:right="360"/>
              <w:spacing w:after="0" w:line="135" w:lineRule="exact"/>
              <w:rPr>
                <w:sz w:val="20"/>
                <w:szCs w:val="20"/>
                <w:color w:val="auto"/>
              </w:rPr>
            </w:pPr>
            <w:r>
              <w:rPr>
                <w:rFonts w:ascii="Arial" w:cs="Arial" w:eastAsia="Arial" w:hAnsi="Arial"/>
                <w:sz w:val="14"/>
                <w:szCs w:val="14"/>
                <w:b w:val="1"/>
                <w:bCs w:val="1"/>
                <w:color w:val="auto"/>
                <w:w w:val="93"/>
              </w:rPr>
              <w:t>Insurance</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50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6"/>
              </w:rPr>
              <w:t>Other</w:t>
            </w: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5"/>
              </w:rPr>
              <w:t>Financial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20" w:type="dxa"/>
            <w:vAlign w:val="bottom"/>
            <w:gridSpan w:val="2"/>
          </w:tcPr>
          <w:p>
            <w:pPr>
              <w:jc w:val="center"/>
              <w:ind w:right="460"/>
              <w:spacing w:after="0" w:line="135" w:lineRule="exact"/>
              <w:rPr>
                <w:sz w:val="20"/>
                <w:szCs w:val="20"/>
                <w:color w:val="auto"/>
              </w:rPr>
            </w:pPr>
            <w:r>
              <w:rPr>
                <w:rFonts w:ascii="Arial" w:cs="Arial" w:eastAsia="Arial" w:hAnsi="Arial"/>
                <w:sz w:val="14"/>
                <w:szCs w:val="14"/>
                <w:b w:val="1"/>
                <w:bCs w:val="1"/>
                <w:color w:val="auto"/>
                <w:w w:val="97"/>
              </w:rPr>
              <w:t>Group, Inc.</w:t>
            </w:r>
          </w:p>
        </w:tc>
        <w:tc>
          <w:tcPr>
            <w:tcW w:w="180" w:type="dxa"/>
            <w:vAlign w:val="bottom"/>
          </w:tcPr>
          <w:p>
            <w:pPr>
              <w:spacing w:after="0"/>
              <w:rPr>
                <w:sz w:val="11"/>
                <w:szCs w:val="11"/>
                <w:color w:val="auto"/>
              </w:rPr>
            </w:pPr>
          </w:p>
        </w:tc>
        <w:tc>
          <w:tcPr>
            <w:tcW w:w="134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3"/>
              </w:rPr>
              <w:t>Company</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50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1"/>
                <w:szCs w:val="11"/>
                <w:color w:val="auto"/>
              </w:rPr>
            </w:pPr>
          </w:p>
        </w:tc>
        <w:tc>
          <w:tcPr>
            <w:tcW w:w="1360" w:type="dxa"/>
            <w:vAlign w:val="bottom"/>
            <w:gridSpan w:val="2"/>
            <w:vMerge w:val="restart"/>
          </w:tcPr>
          <w:p>
            <w:pPr>
              <w:jc w:val="right"/>
              <w:ind w:right="500"/>
              <w:spacing w:after="0"/>
              <w:rPr>
                <w:sz w:val="20"/>
                <w:szCs w:val="20"/>
                <w:color w:val="auto"/>
              </w:rPr>
            </w:pPr>
            <w:r>
              <w:rPr>
                <w:rFonts w:ascii="Arial" w:cs="Arial" w:eastAsia="Arial" w:hAnsi="Arial"/>
                <w:sz w:val="14"/>
                <w:szCs w:val="14"/>
                <w:b w:val="1"/>
                <w:bCs w:val="1"/>
                <w:color w:val="auto"/>
              </w:rPr>
              <w:t>Eliminations</w:t>
            </w:r>
          </w:p>
        </w:tc>
        <w:tc>
          <w:tcPr>
            <w:tcW w:w="160" w:type="dxa"/>
            <w:vAlign w:val="bottom"/>
          </w:tcPr>
          <w:p>
            <w:pPr>
              <w:spacing w:after="0"/>
              <w:rPr>
                <w:sz w:val="11"/>
                <w:szCs w:val="11"/>
                <w:color w:val="auto"/>
              </w:rPr>
            </w:pPr>
          </w:p>
        </w:tc>
        <w:tc>
          <w:tcPr>
            <w:tcW w:w="120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7"/>
              </w:rPr>
              <w:t>Group, Inc.</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2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6"/>
              </w:rPr>
              <w:t>Parent Only</w:t>
            </w:r>
          </w:p>
        </w:tc>
        <w:tc>
          <w:tcPr>
            <w:tcW w:w="180" w:type="dxa"/>
            <w:vAlign w:val="bottom"/>
          </w:tcPr>
          <w:p>
            <w:pPr>
              <w:spacing w:after="0"/>
              <w:rPr>
                <w:sz w:val="14"/>
                <w:szCs w:val="14"/>
                <w:color w:val="auto"/>
              </w:rPr>
            </w:pPr>
          </w:p>
        </w:tc>
        <w:tc>
          <w:tcPr>
            <w:tcW w:w="13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6"/>
              </w:rPr>
              <w:t>Only</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3"/>
              </w:rPr>
              <w:t>Combined</w:t>
            </w:r>
          </w:p>
        </w:tc>
        <w:tc>
          <w:tcPr>
            <w:tcW w:w="160" w:type="dxa"/>
            <w:vAlign w:val="bottom"/>
          </w:tcPr>
          <w:p>
            <w:pPr>
              <w:spacing w:after="0"/>
              <w:rPr>
                <w:sz w:val="14"/>
                <w:szCs w:val="14"/>
                <w:color w:val="auto"/>
              </w:rPr>
            </w:pPr>
          </w:p>
        </w:tc>
        <w:tc>
          <w:tcPr>
            <w:tcW w:w="13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Consolidated</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64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16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500" w:type="dxa"/>
            <w:vAlign w:val="bottom"/>
            <w:tcBorders>
              <w:top w:val="single" w:sz="8" w:color="auto"/>
            </w:tcBorders>
            <w:gridSpan w:val="2"/>
          </w:tcPr>
          <w:p>
            <w:pPr>
              <w:ind w:left="80"/>
              <w:spacing w:after="0" w:line="129" w:lineRule="exact"/>
              <w:rPr>
                <w:sz w:val="20"/>
                <w:szCs w:val="20"/>
                <w:color w:val="auto"/>
              </w:rPr>
            </w:pPr>
            <w:r>
              <w:rPr>
                <w:rFonts w:ascii="Arial" w:cs="Arial" w:eastAsia="Arial" w:hAnsi="Arial"/>
                <w:sz w:val="14"/>
                <w:szCs w:val="14"/>
                <w:b w:val="1"/>
                <w:bCs w:val="1"/>
                <w:color w:val="auto"/>
              </w:rPr>
              <w:t>(in millions)</w:t>
            </w:r>
          </w:p>
        </w:tc>
        <w:tc>
          <w:tcPr>
            <w:tcW w:w="160" w:type="dxa"/>
            <w:vAlign w:val="bottom"/>
            <w:tcBorders>
              <w:top w:val="single" w:sz="8" w:color="auto"/>
            </w:tcBorders>
          </w:tcPr>
          <w:p>
            <w:pPr>
              <w:spacing w:after="0"/>
              <w:rPr>
                <w:sz w:val="11"/>
                <w:szCs w:val="11"/>
                <w:color w:val="auto"/>
              </w:rPr>
            </w:pPr>
          </w:p>
        </w:tc>
        <w:tc>
          <w:tcPr>
            <w:tcW w:w="110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1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2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Premiums and other considerations</w:t>
            </w:r>
          </w:p>
        </w:tc>
        <w:tc>
          <w:tcPr>
            <w:tcW w:w="200" w:type="dxa"/>
            <w:vAlign w:val="bottom"/>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4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80" w:type="dxa"/>
            <w:vAlign w:val="bottom"/>
          </w:tcPr>
          <w:p>
            <w:pPr>
              <w:jc w:val="right"/>
              <w:spacing w:after="0"/>
              <w:rPr>
                <w:sz w:val="20"/>
                <w:szCs w:val="20"/>
                <w:color w:val="auto"/>
              </w:rPr>
            </w:pPr>
            <w:r>
              <w:rPr>
                <w:rFonts w:ascii="Arial" w:cs="Arial" w:eastAsia="Arial" w:hAnsi="Arial"/>
                <w:sz w:val="18"/>
                <w:szCs w:val="18"/>
                <w:b w:val="1"/>
                <w:bCs w:val="1"/>
                <w:color w:val="auto"/>
              </w:rPr>
              <w:t>2,003.9</w:t>
            </w:r>
          </w:p>
        </w:tc>
        <w:tc>
          <w:tcPr>
            <w:tcW w:w="160" w:type="dxa"/>
            <w:vAlign w:val="bottom"/>
          </w:tcPr>
          <w:p>
            <w:pPr>
              <w:spacing w:after="0"/>
              <w:rPr>
                <w:sz w:val="18"/>
                <w:szCs w:val="18"/>
                <w:color w:val="auto"/>
              </w:rPr>
            </w:pPr>
          </w:p>
        </w:tc>
        <w:tc>
          <w:tcPr>
            <w:tcW w:w="24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w:t>
            </w:r>
          </w:p>
        </w:tc>
        <w:tc>
          <w:tcPr>
            <w:tcW w:w="1300" w:type="dxa"/>
            <w:vAlign w:val="bottom"/>
          </w:tcPr>
          <w:p>
            <w:pPr>
              <w:jc w:val="right"/>
              <w:spacing w:after="0"/>
              <w:rPr>
                <w:sz w:val="20"/>
                <w:szCs w:val="20"/>
                <w:color w:val="auto"/>
              </w:rPr>
            </w:pPr>
            <w:r>
              <w:rPr>
                <w:rFonts w:ascii="Arial" w:cs="Arial" w:eastAsia="Arial" w:hAnsi="Arial"/>
                <w:sz w:val="18"/>
                <w:szCs w:val="18"/>
                <w:b w:val="1"/>
                <w:bCs w:val="1"/>
                <w:color w:val="auto"/>
              </w:rPr>
              <w:t>142.5</w:t>
            </w:r>
          </w:p>
        </w:tc>
        <w:tc>
          <w:tcPr>
            <w:tcW w:w="2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3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2,146.4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Fees and other revenues</w:t>
            </w:r>
          </w:p>
        </w:tc>
        <w:tc>
          <w:tcPr>
            <w:tcW w:w="2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627.7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448.4</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(176.0)</w:t>
            </w: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900.1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Net investment income</w:t>
            </w:r>
          </w:p>
        </w:tc>
        <w:tc>
          <w:tcPr>
            <w:tcW w:w="2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1.8</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b w:val="1"/>
                <w:bCs w:val="1"/>
                <w:color w:val="auto"/>
              </w:rPr>
              <w:t>1,558.8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b w:val="1"/>
                <w:bCs w:val="1"/>
                <w:color w:val="auto"/>
              </w:rPr>
              <w:t>213.0</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(9.8)</w:t>
            </w:r>
          </w:p>
        </w:tc>
        <w:tc>
          <w:tcPr>
            <w:tcW w:w="1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1,763.8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Net realized/unrealized capital gains</w:t>
            </w:r>
          </w:p>
        </w:tc>
        <w:tc>
          <w:tcPr>
            <w:tcW w:w="20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(9.9)</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42.5</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(2.8)</w:t>
            </w: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40" w:type="dxa"/>
            <w:vAlign w:val="bottom"/>
            <w:vMerge w:val="restart"/>
          </w:tcPr>
          <w:p>
            <w:pPr>
              <w:ind w:left="160"/>
              <w:spacing w:after="0"/>
              <w:rPr>
                <w:sz w:val="20"/>
                <w:szCs w:val="20"/>
                <w:color w:val="auto"/>
              </w:rPr>
            </w:pPr>
            <w:r>
              <w:rPr>
                <w:rFonts w:ascii="Arial" w:cs="Arial" w:eastAsia="Arial" w:hAnsi="Arial"/>
                <w:sz w:val="18"/>
                <w:szCs w:val="18"/>
                <w:color w:val="auto"/>
              </w:rPr>
              <w:t>Total revenues</w:t>
            </w:r>
          </w:p>
        </w:tc>
        <w:tc>
          <w:tcPr>
            <w:tcW w:w="20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64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1.8</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b w:val="1"/>
                <w:bCs w:val="1"/>
                <w:color w:val="auto"/>
              </w:rPr>
              <w:t>4,180.5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b w:val="1"/>
                <w:bCs w:val="1"/>
                <w:color w:val="auto"/>
              </w:rPr>
              <w:t>846.4</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(188.6)</w:t>
            </w:r>
          </w:p>
        </w:tc>
        <w:tc>
          <w:tcPr>
            <w:tcW w:w="1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4,840.1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2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Benefits, claims, and settlement expenses</w:t>
            </w:r>
          </w:p>
        </w:tc>
        <w:tc>
          <w:tcPr>
            <w:tcW w:w="20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b w:val="1"/>
                <w:bCs w:val="1"/>
                <w:color w:val="auto"/>
              </w:rPr>
              <w:t>2,596.9</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b w:val="1"/>
                <w:bCs w:val="1"/>
                <w:color w:val="auto"/>
              </w:rPr>
              <w:t>211.2</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(6.7)</w:t>
            </w:r>
          </w:p>
        </w:tc>
        <w:tc>
          <w:tcPr>
            <w:tcW w:w="1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2,801.4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Dividends to policyholders</w:t>
            </w:r>
          </w:p>
        </w:tc>
        <w:tc>
          <w:tcPr>
            <w:tcW w:w="2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144.4</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144.4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Operating expenses</w:t>
            </w:r>
          </w:p>
        </w:tc>
        <w:tc>
          <w:tcPr>
            <w:tcW w:w="2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6.9</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b w:val="1"/>
                <w:bCs w:val="1"/>
                <w:color w:val="auto"/>
              </w:rPr>
              <w:t>945.0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b w:val="1"/>
                <w:bCs w:val="1"/>
                <w:color w:val="auto"/>
              </w:rPr>
              <w:t>423.9</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(151.6)</w:t>
            </w:r>
          </w:p>
        </w:tc>
        <w:tc>
          <w:tcPr>
            <w:tcW w:w="1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1,224.2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40" w:type="dxa"/>
            <w:vAlign w:val="bottom"/>
            <w:vMerge w:val="restart"/>
            <w:shd w:val="clear" w:color="auto" w:fill="CCEEFF"/>
          </w:tcPr>
          <w:p>
            <w:pPr>
              <w:ind w:left="160"/>
              <w:spacing w:after="0"/>
              <w:rPr>
                <w:sz w:val="20"/>
                <w:szCs w:val="20"/>
                <w:color w:val="auto"/>
              </w:rPr>
            </w:pPr>
            <w:r>
              <w:rPr>
                <w:rFonts w:ascii="Arial" w:cs="Arial" w:eastAsia="Arial" w:hAnsi="Arial"/>
                <w:sz w:val="18"/>
                <w:szCs w:val="18"/>
                <w:color w:val="auto"/>
              </w:rPr>
              <w:t>Total expenses</w:t>
            </w:r>
          </w:p>
        </w:tc>
        <w:tc>
          <w:tcPr>
            <w:tcW w:w="20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640" w:type="dxa"/>
            <w:vAlign w:val="bottom"/>
            <w:vMerge w:val="continue"/>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6.9</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3,686.3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635.1</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(158.3)</w:t>
            </w: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4,170.0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64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36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Income (loss) from continuing operations</w:t>
            </w:r>
          </w:p>
        </w:tc>
        <w:tc>
          <w:tcPr>
            <w:tcW w:w="200" w:type="dxa"/>
            <w:vAlign w:val="bottom"/>
            <w:shd w:val="clear" w:color="auto" w:fill="CCEEFF"/>
          </w:tcPr>
          <w:p>
            <w:pPr>
              <w:spacing w:after="0"/>
              <w:rPr>
                <w:sz w:val="17"/>
                <w:szCs w:val="17"/>
                <w:color w:val="auto"/>
              </w:rPr>
            </w:pPr>
          </w:p>
        </w:tc>
        <w:tc>
          <w:tcPr>
            <w:tcW w:w="142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(5.1)</w:t>
            </w:r>
          </w:p>
        </w:tc>
        <w:tc>
          <w:tcPr>
            <w:tcW w:w="180" w:type="dxa"/>
            <w:vAlign w:val="bottom"/>
            <w:shd w:val="clear" w:color="auto" w:fill="CCEEFF"/>
          </w:tcPr>
          <w:p>
            <w:pPr>
              <w:spacing w:after="0"/>
              <w:rPr>
                <w:sz w:val="17"/>
                <w:szCs w:val="17"/>
                <w:color w:val="auto"/>
              </w:rPr>
            </w:pPr>
          </w:p>
        </w:tc>
        <w:tc>
          <w:tcPr>
            <w:tcW w:w="118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494.2</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0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211.3</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6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(30.3)</w:t>
            </w:r>
          </w:p>
        </w:tc>
        <w:tc>
          <w:tcPr>
            <w:tcW w:w="160" w:type="dxa"/>
            <w:vAlign w:val="bottom"/>
            <w:shd w:val="clear" w:color="auto" w:fill="CCEEFF"/>
          </w:tcPr>
          <w:p>
            <w:pPr>
              <w:spacing w:after="0"/>
              <w:rPr>
                <w:sz w:val="17"/>
                <w:szCs w:val="17"/>
                <w:color w:val="auto"/>
              </w:rPr>
            </w:pPr>
          </w:p>
        </w:tc>
        <w:tc>
          <w:tcPr>
            <w:tcW w:w="110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670.1</w:t>
            </w: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6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before income taxes</w:t>
            </w:r>
          </w:p>
        </w:tc>
        <w:tc>
          <w:tcPr>
            <w:tcW w:w="200" w:type="dxa"/>
            <w:vAlign w:val="bottom"/>
            <w:shd w:val="clear" w:color="auto" w:fill="CCEEFF"/>
          </w:tcPr>
          <w:p>
            <w:pPr>
              <w:spacing w:after="0"/>
              <w:rPr>
                <w:sz w:val="20"/>
                <w:szCs w:val="20"/>
                <w:color w:val="auto"/>
              </w:rPr>
            </w:pPr>
          </w:p>
        </w:tc>
        <w:tc>
          <w:tcPr>
            <w:tcW w:w="1420" w:type="dxa"/>
            <w:vAlign w:val="bottom"/>
            <w:gridSpan w:val="2"/>
            <w:vMerge w:val="continue"/>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180" w:type="dxa"/>
            <w:vAlign w:val="bottom"/>
            <w:vMerge w:val="continue"/>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300" w:type="dxa"/>
            <w:vAlign w:val="bottom"/>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360" w:type="dxa"/>
            <w:vAlign w:val="bottom"/>
            <w:gridSpan w:val="2"/>
            <w:vMerge w:val="continue"/>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100" w:type="dxa"/>
            <w:vAlign w:val="bottom"/>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Income taxes (benefits)</w:t>
            </w:r>
          </w:p>
        </w:tc>
        <w:tc>
          <w:tcPr>
            <w:tcW w:w="2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(2.0)</w:t>
            </w: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104.9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54.4</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0.1</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157.4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Equity in the net income of subsidiaries</w:t>
            </w:r>
          </w:p>
        </w:tc>
        <w:tc>
          <w:tcPr>
            <w:tcW w:w="2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515.8</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b w:val="1"/>
                <w:bCs w:val="1"/>
                <w:color w:val="auto"/>
              </w:rPr>
              <w:t>94.7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b w:val="1"/>
                <w:bCs w:val="1"/>
                <w:color w:val="auto"/>
              </w:rPr>
              <w:t>358.9</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(969.4)</w:t>
            </w:r>
          </w:p>
        </w:tc>
        <w:tc>
          <w:tcPr>
            <w:tcW w:w="160" w:type="dxa"/>
            <w:vAlign w:val="bottom"/>
          </w:tcPr>
          <w:p>
            <w:pPr>
              <w:spacing w:after="0"/>
              <w:rPr>
                <w:sz w:val="18"/>
                <w:szCs w:val="18"/>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900" w:orient="portrait"/>
          <w:cols w:equalWidth="0" w:num="1">
            <w:col w:w="11460"/>
          </w:cols>
          <w:pgMar w:left="240" w:top="125" w:right="199" w:bottom="0" w:gutter="0" w:footer="0" w:header="0"/>
        </w:sectPr>
      </w:pPr>
    </w:p>
    <w:bookmarkStart w:id="18" w:name="page19"/>
    <w:bookmarkEnd w:id="18"/>
    <w:p>
      <w:pPr>
        <w:spacing w:after="0" w:line="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60" w:type="dxa"/>
            <w:vAlign w:val="bottom"/>
            <w:tcBorders>
              <w:top w:val="single" w:sz="8" w:color="CCEEFF"/>
            </w:tcBorders>
            <w:shd w:val="clear" w:color="auto" w:fill="CCEEFF"/>
          </w:tcPr>
          <w:p>
            <w:pPr>
              <w:spacing w:after="0"/>
              <w:rPr>
                <w:sz w:val="19"/>
                <w:szCs w:val="19"/>
                <w:color w:val="auto"/>
              </w:rPr>
            </w:pPr>
          </w:p>
        </w:tc>
        <w:tc>
          <w:tcPr>
            <w:tcW w:w="520" w:type="dxa"/>
            <w:vAlign w:val="bottom"/>
            <w:tcBorders>
              <w:top w:val="single" w:sz="8" w:color="auto"/>
            </w:tcBorders>
            <w:shd w:val="clear" w:color="auto" w:fill="CCEEFF"/>
          </w:tcPr>
          <w:p>
            <w:pPr>
              <w:spacing w:after="0"/>
              <w:rPr>
                <w:sz w:val="19"/>
                <w:szCs w:val="19"/>
                <w:color w:val="auto"/>
              </w:rPr>
            </w:pPr>
          </w:p>
        </w:tc>
        <w:tc>
          <w:tcPr>
            <w:tcW w:w="840" w:type="dxa"/>
            <w:vAlign w:val="bottom"/>
            <w:tcBorders>
              <w:top w:val="single" w:sz="8" w:color="auto"/>
            </w:tcBorders>
            <w:shd w:val="clear" w:color="auto" w:fill="CCEEFF"/>
          </w:tcPr>
          <w:p>
            <w:pPr>
              <w:spacing w:after="0"/>
              <w:rPr>
                <w:sz w:val="19"/>
                <w:szCs w:val="19"/>
                <w:color w:val="auto"/>
              </w:rPr>
            </w:pPr>
          </w:p>
        </w:tc>
        <w:tc>
          <w:tcPr>
            <w:tcW w:w="26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spacing w:after="0"/>
              <w:rPr>
                <w:sz w:val="19"/>
                <w:szCs w:val="19"/>
                <w:color w:val="auto"/>
              </w:rPr>
            </w:pPr>
          </w:p>
        </w:tc>
        <w:tc>
          <w:tcPr>
            <w:tcW w:w="1140" w:type="dxa"/>
            <w:vAlign w:val="bottom"/>
            <w:tcBorders>
              <w:top w:val="single" w:sz="8" w:color="auto"/>
            </w:tcBorders>
            <w:shd w:val="clear" w:color="auto" w:fill="CCEEFF"/>
          </w:tcPr>
          <w:p>
            <w:pPr>
              <w:spacing w:after="0"/>
              <w:rPr>
                <w:sz w:val="19"/>
                <w:szCs w:val="19"/>
                <w:color w:val="auto"/>
              </w:rPr>
            </w:pPr>
          </w:p>
        </w:tc>
        <w:tc>
          <w:tcPr>
            <w:tcW w:w="260" w:type="dxa"/>
            <w:vAlign w:val="bottom"/>
            <w:tcBorders>
              <w:top w:val="single" w:sz="8" w:color="CCEEFF"/>
            </w:tcBorders>
            <w:shd w:val="clear" w:color="auto" w:fill="CCEEFF"/>
          </w:tcPr>
          <w:p>
            <w:pPr>
              <w:spacing w:after="0"/>
              <w:rPr>
                <w:sz w:val="19"/>
                <w:szCs w:val="19"/>
                <w:color w:val="auto"/>
              </w:rPr>
            </w:pPr>
          </w:p>
        </w:tc>
        <w:tc>
          <w:tcPr>
            <w:tcW w:w="560" w:type="dxa"/>
            <w:vAlign w:val="bottom"/>
            <w:tcBorders>
              <w:top w:val="single" w:sz="8" w:color="auto"/>
            </w:tcBorders>
            <w:shd w:val="clear" w:color="auto" w:fill="CCEEFF"/>
          </w:tcPr>
          <w:p>
            <w:pPr>
              <w:spacing w:after="0"/>
              <w:rPr>
                <w:sz w:val="19"/>
                <w:szCs w:val="19"/>
                <w:color w:val="auto"/>
              </w:rPr>
            </w:pPr>
          </w:p>
        </w:tc>
        <w:tc>
          <w:tcPr>
            <w:tcW w:w="880" w:type="dxa"/>
            <w:vAlign w:val="bottom"/>
            <w:tcBorders>
              <w:top w:val="single" w:sz="8" w:color="auto"/>
            </w:tcBorders>
            <w:shd w:val="clear" w:color="auto" w:fill="CCEEFF"/>
          </w:tcPr>
          <w:p>
            <w:pPr>
              <w:spacing w:after="0"/>
              <w:rPr>
                <w:sz w:val="19"/>
                <w:szCs w:val="19"/>
                <w:color w:val="auto"/>
              </w:rPr>
            </w:pPr>
          </w:p>
        </w:tc>
        <w:tc>
          <w:tcPr>
            <w:tcW w:w="200" w:type="dxa"/>
            <w:vAlign w:val="bottom"/>
            <w:tcBorders>
              <w:top w:val="single" w:sz="8" w:color="CCEEFF"/>
            </w:tcBorders>
            <w:shd w:val="clear" w:color="auto" w:fill="CCEEFF"/>
          </w:tcPr>
          <w:p>
            <w:pPr>
              <w:spacing w:after="0"/>
              <w:rPr>
                <w:sz w:val="19"/>
                <w:szCs w:val="19"/>
                <w:color w:val="auto"/>
              </w:rPr>
            </w:pPr>
          </w:p>
        </w:tc>
        <w:tc>
          <w:tcPr>
            <w:tcW w:w="440" w:type="dxa"/>
            <w:vAlign w:val="bottom"/>
            <w:tcBorders>
              <w:top w:val="single" w:sz="8" w:color="auto"/>
            </w:tcBorders>
            <w:shd w:val="clear" w:color="auto" w:fill="CCEEFF"/>
          </w:tcPr>
          <w:p>
            <w:pPr>
              <w:spacing w:after="0"/>
              <w:rPr>
                <w:sz w:val="19"/>
                <w:szCs w:val="19"/>
                <w:color w:val="auto"/>
              </w:rPr>
            </w:pPr>
          </w:p>
        </w:tc>
        <w:tc>
          <w:tcPr>
            <w:tcW w:w="820" w:type="dxa"/>
            <w:vAlign w:val="bottom"/>
            <w:tcBorders>
              <w:top w:val="single" w:sz="8" w:color="auto"/>
            </w:tcBorders>
            <w:shd w:val="clear" w:color="auto" w:fill="CCEEFF"/>
          </w:tcPr>
          <w:p>
            <w:pPr>
              <w:spacing w:after="0"/>
              <w:rPr>
                <w:sz w:val="19"/>
                <w:szCs w:val="19"/>
                <w:color w:val="auto"/>
              </w:rPr>
            </w:pPr>
          </w:p>
        </w:tc>
        <w:tc>
          <w:tcPr>
            <w:tcW w:w="260" w:type="dxa"/>
            <w:vAlign w:val="bottom"/>
            <w:tcBorders>
              <w:top w:val="single" w:sz="8" w:color="CCEEFF"/>
            </w:tcBorders>
            <w:shd w:val="clear" w:color="auto" w:fill="CCEEFF"/>
          </w:tcPr>
          <w:p>
            <w:pPr>
              <w:spacing w:after="0"/>
              <w:rPr>
                <w:sz w:val="19"/>
                <w:szCs w:val="19"/>
                <w:color w:val="auto"/>
              </w:rPr>
            </w:pPr>
          </w:p>
        </w:tc>
        <w:tc>
          <w:tcPr>
            <w:tcW w:w="460" w:type="dxa"/>
            <w:vAlign w:val="bottom"/>
            <w:tcBorders>
              <w:top w:val="single" w:sz="8" w:color="auto"/>
            </w:tcBorders>
            <w:shd w:val="clear" w:color="auto" w:fill="CCEEFF"/>
          </w:tcPr>
          <w:p>
            <w:pPr>
              <w:spacing w:after="0"/>
              <w:rPr>
                <w:sz w:val="19"/>
                <w:szCs w:val="19"/>
                <w:color w:val="auto"/>
              </w:rPr>
            </w:pPr>
          </w:p>
        </w:tc>
        <w:tc>
          <w:tcPr>
            <w:tcW w:w="80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40" w:type="dxa"/>
            <w:vAlign w:val="bottom"/>
          </w:tcPr>
          <w:p>
            <w:pPr>
              <w:spacing w:after="0"/>
              <w:rPr>
                <w:sz w:val="19"/>
                <w:szCs w:val="19"/>
                <w:color w:val="auto"/>
              </w:rPr>
            </w:pPr>
          </w:p>
        </w:tc>
      </w:tr>
      <w:tr>
        <w:trPr>
          <w:trHeight w:val="216"/>
        </w:trPr>
        <w:tc>
          <w:tcPr>
            <w:tcW w:w="3660" w:type="dxa"/>
            <w:vAlign w:val="bottom"/>
          </w:tcPr>
          <w:p>
            <w:pPr>
              <w:spacing w:after="0"/>
              <w:rPr>
                <w:sz w:val="20"/>
                <w:szCs w:val="20"/>
                <w:color w:val="auto"/>
              </w:rPr>
            </w:pPr>
            <w:r>
              <w:rPr>
                <w:rFonts w:ascii="Arial" w:cs="Arial" w:eastAsia="Arial" w:hAnsi="Arial"/>
                <w:sz w:val="18"/>
                <w:szCs w:val="18"/>
                <w:color w:val="auto"/>
              </w:rPr>
              <w:t>Net income</w:t>
            </w:r>
          </w:p>
        </w:tc>
        <w:tc>
          <w:tcPr>
            <w:tcW w:w="5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512.7</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484.0</w:t>
            </w:r>
          </w:p>
        </w:tc>
        <w:tc>
          <w:tcPr>
            <w:tcW w:w="2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515.8</w:t>
            </w: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(999.8)</w:t>
            </w:r>
          </w:p>
        </w:tc>
        <w:tc>
          <w:tcPr>
            <w:tcW w:w="4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512.7</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Preferred stock dividends</w:t>
            </w:r>
          </w:p>
        </w:tc>
        <w:tc>
          <w:tcPr>
            <w:tcW w:w="5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16.5</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440" w:type="dxa"/>
            <w:vAlign w:val="bottom"/>
            <w:shd w:val="clear" w:color="auto" w:fill="CCEEFF"/>
          </w:tcPr>
          <w:p>
            <w:pPr>
              <w:spacing w:after="0"/>
              <w:rPr>
                <w:sz w:val="18"/>
                <w:szCs w:val="18"/>
                <w:color w:val="auto"/>
              </w:rPr>
            </w:pPr>
          </w:p>
        </w:tc>
        <w:tc>
          <w:tcPr>
            <w:tcW w:w="1540" w:type="dxa"/>
            <w:vAlign w:val="bottom"/>
            <w:gridSpan w:val="3"/>
            <w:shd w:val="clear" w:color="auto" w:fill="CCEEFF"/>
          </w:tcPr>
          <w:p>
            <w:pPr>
              <w:jc w:val="right"/>
              <w:ind w:right="665"/>
              <w:spacing w:after="0"/>
              <w:rPr>
                <w:sz w:val="20"/>
                <w:szCs w:val="20"/>
                <w:color w:val="auto"/>
              </w:rPr>
            </w:pPr>
            <w:r>
              <w:rPr>
                <w:rFonts w:ascii="Arial" w:cs="Arial" w:eastAsia="Arial" w:hAnsi="Arial"/>
                <w:sz w:val="18"/>
                <w:szCs w:val="18"/>
                <w:b w:val="1"/>
                <w:bCs w:val="1"/>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16.5</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23"/>
        </w:trPr>
        <w:tc>
          <w:tcPr>
            <w:tcW w:w="3660" w:type="dxa"/>
            <w:vAlign w:val="bottom"/>
          </w:tcPr>
          <w:p>
            <w:pPr>
              <w:spacing w:after="0"/>
              <w:rPr>
                <w:sz w:val="20"/>
                <w:szCs w:val="20"/>
                <w:color w:val="auto"/>
              </w:rPr>
            </w:pPr>
            <w:r>
              <w:rPr>
                <w:rFonts w:ascii="Arial" w:cs="Arial" w:eastAsia="Arial" w:hAnsi="Arial"/>
                <w:sz w:val="18"/>
                <w:szCs w:val="18"/>
                <w:color w:val="auto"/>
                <w:w w:val="99"/>
              </w:rPr>
              <w:t>Net income available to common stockholders</w:t>
            </w:r>
          </w:p>
        </w:tc>
        <w:tc>
          <w:tcPr>
            <w:tcW w:w="52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w w:val="7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496.2</w:t>
            </w:r>
          </w:p>
        </w:tc>
        <w:tc>
          <w:tcPr>
            <w:tcW w:w="26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484.0</w:t>
            </w:r>
          </w:p>
        </w:tc>
        <w:tc>
          <w:tcPr>
            <w:tcW w:w="260" w:type="dxa"/>
            <w:vAlign w:val="bottom"/>
          </w:tcPr>
          <w:p>
            <w:pPr>
              <w:spacing w:after="0"/>
              <w:rPr>
                <w:sz w:val="19"/>
                <w:szCs w:val="19"/>
                <w:color w:val="auto"/>
              </w:rPr>
            </w:pPr>
          </w:p>
        </w:tc>
        <w:tc>
          <w:tcPr>
            <w:tcW w:w="560" w:type="dxa"/>
            <w:vAlign w:val="bottom"/>
            <w:tcBorders>
              <w:top w:val="single" w:sz="8" w:color="auto"/>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w w:val="7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515.8</w:t>
            </w:r>
          </w:p>
        </w:tc>
        <w:tc>
          <w:tcPr>
            <w:tcW w:w="200" w:type="dxa"/>
            <w:vAlign w:val="bottom"/>
          </w:tcPr>
          <w:p>
            <w:pPr>
              <w:spacing w:after="0"/>
              <w:rPr>
                <w:sz w:val="19"/>
                <w:szCs w:val="19"/>
                <w:color w:val="auto"/>
              </w:rPr>
            </w:pPr>
          </w:p>
        </w:tc>
        <w:tc>
          <w:tcPr>
            <w:tcW w:w="44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(999.8</w:t>
            </w:r>
          </w:p>
        </w:tc>
        <w:tc>
          <w:tcPr>
            <w:tcW w:w="260" w:type="dxa"/>
            <w:vAlign w:val="bottom"/>
          </w:tcPr>
          <w:p>
            <w:pPr>
              <w:jc w:val="right"/>
              <w:ind w:right="120"/>
              <w:spacing w:after="0"/>
              <w:rPr>
                <w:sz w:val="20"/>
                <w:szCs w:val="20"/>
                <w:color w:val="auto"/>
              </w:rPr>
            </w:pPr>
            <w:r>
              <w:rPr>
                <w:rFonts w:ascii="Arial" w:cs="Arial" w:eastAsia="Arial" w:hAnsi="Arial"/>
                <w:sz w:val="16"/>
                <w:szCs w:val="16"/>
                <w:b w:val="1"/>
                <w:bCs w:val="1"/>
                <w:color w:val="auto"/>
                <w:w w:val="74"/>
              </w:rPr>
              <w:t>)</w:t>
            </w:r>
          </w:p>
        </w:tc>
        <w:tc>
          <w:tcPr>
            <w:tcW w:w="460" w:type="dxa"/>
            <w:vAlign w:val="bottom"/>
            <w:tcBorders>
              <w:top w:val="single" w:sz="8" w:color="auto"/>
              <w:bottom w:val="single" w:sz="8" w:color="auto"/>
            </w:tcBorders>
          </w:tcPr>
          <w:p>
            <w:pPr>
              <w:jc w:val="right"/>
              <w:ind w:right="305"/>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496.2</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0"/>
        </w:trPr>
        <w:tc>
          <w:tcPr>
            <w:tcW w:w="366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845"/>
        </w:trPr>
        <w:tc>
          <w:tcPr>
            <w:tcW w:w="36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jc w:val="right"/>
              <w:ind w:right="750"/>
              <w:spacing w:after="0"/>
              <w:rPr>
                <w:sz w:val="20"/>
                <w:szCs w:val="20"/>
                <w:color w:val="auto"/>
              </w:rPr>
            </w:pPr>
            <w:r>
              <w:rPr>
                <w:rFonts w:ascii="Arial" w:cs="Arial" w:eastAsia="Arial" w:hAnsi="Arial"/>
                <w:sz w:val="18"/>
                <w:szCs w:val="18"/>
                <w:color w:val="auto"/>
              </w:rPr>
              <w:t>26</w:t>
            </w:r>
          </w:p>
        </w:tc>
        <w:tc>
          <w:tcPr>
            <w:tcW w:w="2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75"/>
        </w:trPr>
        <w:tc>
          <w:tcPr>
            <w:tcW w:w="3660" w:type="dxa"/>
            <w:vAlign w:val="bottom"/>
            <w:tcBorders>
              <w:bottom w:val="single" w:sz="8" w:color="010101"/>
            </w:tcBorders>
          </w:tcPr>
          <w:p>
            <w:pPr>
              <w:spacing w:after="0"/>
              <w:rPr>
                <w:sz w:val="24"/>
                <w:szCs w:val="24"/>
                <w:color w:val="auto"/>
              </w:rPr>
            </w:pPr>
          </w:p>
        </w:tc>
        <w:tc>
          <w:tcPr>
            <w:tcW w:w="520" w:type="dxa"/>
            <w:vAlign w:val="bottom"/>
            <w:tcBorders>
              <w:bottom w:val="single" w:sz="8" w:color="010101"/>
            </w:tcBorders>
          </w:tcPr>
          <w:p>
            <w:pPr>
              <w:spacing w:after="0"/>
              <w:rPr>
                <w:sz w:val="24"/>
                <w:szCs w:val="24"/>
                <w:color w:val="auto"/>
              </w:rPr>
            </w:pPr>
          </w:p>
        </w:tc>
        <w:tc>
          <w:tcPr>
            <w:tcW w:w="84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114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560" w:type="dxa"/>
            <w:vAlign w:val="bottom"/>
            <w:tcBorders>
              <w:bottom w:val="single" w:sz="8" w:color="010101"/>
            </w:tcBorders>
          </w:tcPr>
          <w:p>
            <w:pPr>
              <w:spacing w:after="0"/>
              <w:rPr>
                <w:sz w:val="24"/>
                <w:szCs w:val="24"/>
                <w:color w:val="auto"/>
              </w:rPr>
            </w:pPr>
          </w:p>
        </w:tc>
        <w:tc>
          <w:tcPr>
            <w:tcW w:w="88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440" w:type="dxa"/>
            <w:vAlign w:val="bottom"/>
            <w:tcBorders>
              <w:bottom w:val="single" w:sz="8" w:color="010101"/>
            </w:tcBorders>
          </w:tcPr>
          <w:p>
            <w:pPr>
              <w:spacing w:after="0"/>
              <w:rPr>
                <w:sz w:val="24"/>
                <w:szCs w:val="24"/>
                <w:color w:val="auto"/>
              </w:rPr>
            </w:pPr>
          </w:p>
        </w:tc>
        <w:tc>
          <w:tcPr>
            <w:tcW w:w="82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460" w:type="dxa"/>
            <w:vAlign w:val="bottom"/>
            <w:tcBorders>
              <w:bottom w:val="single" w:sz="8" w:color="010101"/>
            </w:tcBorders>
          </w:tcPr>
          <w:p>
            <w:pPr>
              <w:spacing w:after="0"/>
              <w:rPr>
                <w:sz w:val="24"/>
                <w:szCs w:val="24"/>
                <w:color w:val="auto"/>
              </w:rPr>
            </w:pPr>
          </w:p>
        </w:tc>
        <w:tc>
          <w:tcPr>
            <w:tcW w:w="80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Operations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six months ended June 30, 2005</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6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4"/>
              </w:rPr>
              <w:t>Principal</w:t>
            </w:r>
          </w:p>
        </w:tc>
        <w:tc>
          <w:tcPr>
            <w:tcW w:w="180" w:type="dxa"/>
            <w:vAlign w:val="bottom"/>
          </w:tcPr>
          <w:p>
            <w:pPr>
              <w:spacing w:after="0"/>
              <w:rPr>
                <w:sz w:val="14"/>
                <w:szCs w:val="14"/>
                <w:color w:val="auto"/>
              </w:rPr>
            </w:pPr>
          </w:p>
        </w:tc>
        <w:tc>
          <w:tcPr>
            <w:tcW w:w="146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5"/>
              </w:rPr>
              <w:t>Principal Life</w:t>
            </w:r>
          </w:p>
        </w:tc>
        <w:tc>
          <w:tcPr>
            <w:tcW w:w="120" w:type="dxa"/>
            <w:vAlign w:val="bottom"/>
          </w:tcPr>
          <w:p>
            <w:pPr>
              <w:spacing w:after="0"/>
              <w:rPr>
                <w:sz w:val="14"/>
                <w:szCs w:val="14"/>
                <w:color w:val="auto"/>
              </w:rPr>
            </w:pPr>
          </w:p>
        </w:tc>
        <w:tc>
          <w:tcPr>
            <w:tcW w:w="1400" w:type="dxa"/>
            <w:vAlign w:val="bottom"/>
          </w:tcPr>
          <w:p>
            <w:pPr>
              <w:jc w:val="center"/>
              <w:ind w:right="55"/>
              <w:spacing w:after="0"/>
              <w:rPr>
                <w:sz w:val="20"/>
                <w:szCs w:val="20"/>
                <w:color w:val="auto"/>
              </w:rPr>
            </w:pPr>
            <w:r>
              <w:rPr>
                <w:rFonts w:ascii="Arial" w:cs="Arial" w:eastAsia="Arial" w:hAnsi="Arial"/>
                <w:sz w:val="14"/>
                <w:szCs w:val="14"/>
                <w:b w:val="1"/>
                <w:bCs w:val="1"/>
                <w:color w:val="auto"/>
                <w:w w:val="95"/>
              </w:rPr>
              <w:t>Principal Financial</w:t>
            </w: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60" w:type="dxa"/>
            <w:vAlign w:val="bottom"/>
            <w:vMerge w:val="restart"/>
          </w:tcPr>
          <w:p>
            <w:pPr>
              <w:jc w:val="center"/>
              <w:ind w:right="174"/>
              <w:spacing w:after="0"/>
              <w:rPr>
                <w:sz w:val="20"/>
                <w:szCs w:val="20"/>
                <w:color w:val="auto"/>
              </w:rPr>
            </w:pPr>
            <w:r>
              <w:rPr>
                <w:rFonts w:ascii="Arial" w:cs="Arial" w:eastAsia="Arial" w:hAnsi="Arial"/>
                <w:sz w:val="14"/>
                <w:szCs w:val="14"/>
                <w:b w:val="1"/>
                <w:bCs w:val="1"/>
                <w:color w:val="auto"/>
                <w:w w:val="94"/>
              </w:rPr>
              <w:t>Principal</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2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60" w:type="dxa"/>
            <w:vAlign w:val="bottom"/>
            <w:gridSpan w:val="2"/>
            <w:vMerge w:val="continue"/>
          </w:tcPr>
          <w:p>
            <w:pPr>
              <w:spacing w:after="0"/>
              <w:rPr>
                <w:sz w:val="11"/>
                <w:szCs w:val="11"/>
                <w:color w:val="auto"/>
              </w:rPr>
            </w:pPr>
          </w:p>
        </w:tc>
        <w:tc>
          <w:tcPr>
            <w:tcW w:w="180" w:type="dxa"/>
            <w:vAlign w:val="bottom"/>
          </w:tcPr>
          <w:p>
            <w:pPr>
              <w:spacing w:after="0"/>
              <w:rPr>
                <w:sz w:val="11"/>
                <w:szCs w:val="11"/>
                <w:color w:val="auto"/>
              </w:rPr>
            </w:pPr>
          </w:p>
        </w:tc>
        <w:tc>
          <w:tcPr>
            <w:tcW w:w="146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400" w:type="dxa"/>
            <w:vAlign w:val="bottom"/>
          </w:tcPr>
          <w:p>
            <w:pPr>
              <w:jc w:val="center"/>
              <w:ind w:right="55"/>
              <w:spacing w:after="0" w:line="135" w:lineRule="exact"/>
              <w:rPr>
                <w:sz w:val="20"/>
                <w:szCs w:val="20"/>
                <w:color w:val="auto"/>
              </w:rPr>
            </w:pPr>
            <w:r>
              <w:rPr>
                <w:rFonts w:ascii="Arial" w:cs="Arial" w:eastAsia="Arial" w:hAnsi="Arial"/>
                <w:sz w:val="14"/>
                <w:szCs w:val="14"/>
                <w:b w:val="1"/>
                <w:bCs w:val="1"/>
                <w:color w:val="auto"/>
                <w:w w:val="89"/>
              </w:rPr>
              <w:t>Services, Inc. and</w:t>
            </w: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2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60" w:type="dxa"/>
            <w:vAlign w:val="bottom"/>
            <w:gridSpan w:val="2"/>
          </w:tcPr>
          <w:p>
            <w:pPr>
              <w:jc w:val="center"/>
              <w:ind w:right="480"/>
              <w:spacing w:after="0" w:line="135" w:lineRule="exact"/>
              <w:rPr>
                <w:sz w:val="20"/>
                <w:szCs w:val="20"/>
                <w:color w:val="auto"/>
              </w:rPr>
            </w:pPr>
            <w:r>
              <w:rPr>
                <w:rFonts w:ascii="Arial" w:cs="Arial" w:eastAsia="Arial" w:hAnsi="Arial"/>
                <w:sz w:val="14"/>
                <w:szCs w:val="14"/>
                <w:b w:val="1"/>
                <w:bCs w:val="1"/>
                <w:color w:val="auto"/>
                <w:w w:val="95"/>
              </w:rPr>
              <w:t>Financial</w:t>
            </w:r>
          </w:p>
        </w:tc>
        <w:tc>
          <w:tcPr>
            <w:tcW w:w="180" w:type="dxa"/>
            <w:vAlign w:val="bottom"/>
          </w:tcPr>
          <w:p>
            <w:pPr>
              <w:spacing w:after="0"/>
              <w:rPr>
                <w:sz w:val="11"/>
                <w:szCs w:val="11"/>
                <w:color w:val="auto"/>
              </w:rPr>
            </w:pPr>
          </w:p>
        </w:tc>
        <w:tc>
          <w:tcPr>
            <w:tcW w:w="1460" w:type="dxa"/>
            <w:vAlign w:val="bottom"/>
            <w:gridSpan w:val="2"/>
          </w:tcPr>
          <w:p>
            <w:pPr>
              <w:jc w:val="center"/>
              <w:ind w:right="460"/>
              <w:spacing w:after="0" w:line="135" w:lineRule="exact"/>
              <w:rPr>
                <w:sz w:val="20"/>
                <w:szCs w:val="20"/>
                <w:color w:val="auto"/>
              </w:rPr>
            </w:pPr>
            <w:r>
              <w:rPr>
                <w:rFonts w:ascii="Arial" w:cs="Arial" w:eastAsia="Arial" w:hAnsi="Arial"/>
                <w:sz w:val="14"/>
                <w:szCs w:val="14"/>
                <w:b w:val="1"/>
                <w:bCs w:val="1"/>
                <w:color w:val="auto"/>
                <w:w w:val="90"/>
              </w:rPr>
              <w:t>Insurance</w:t>
            </w:r>
          </w:p>
        </w:tc>
        <w:tc>
          <w:tcPr>
            <w:tcW w:w="120" w:type="dxa"/>
            <w:vAlign w:val="bottom"/>
          </w:tcPr>
          <w:p>
            <w:pPr>
              <w:spacing w:after="0"/>
              <w:rPr>
                <w:sz w:val="11"/>
                <w:szCs w:val="11"/>
                <w:color w:val="auto"/>
              </w:rPr>
            </w:pPr>
          </w:p>
        </w:tc>
        <w:tc>
          <w:tcPr>
            <w:tcW w:w="1400" w:type="dxa"/>
            <w:vAlign w:val="bottom"/>
          </w:tcPr>
          <w:p>
            <w:pPr>
              <w:jc w:val="center"/>
              <w:ind w:right="55"/>
              <w:spacing w:after="0" w:line="135" w:lineRule="exact"/>
              <w:rPr>
                <w:sz w:val="20"/>
                <w:szCs w:val="20"/>
                <w:color w:val="auto"/>
              </w:rPr>
            </w:pPr>
            <w:r>
              <w:rPr>
                <w:rFonts w:ascii="Arial" w:cs="Arial" w:eastAsia="Arial" w:hAnsi="Arial"/>
                <w:sz w:val="14"/>
                <w:szCs w:val="14"/>
                <w:b w:val="1"/>
                <w:bCs w:val="1"/>
                <w:color w:val="auto"/>
              </w:rPr>
              <w:t>Other</w:t>
            </w: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60" w:type="dxa"/>
            <w:vAlign w:val="bottom"/>
          </w:tcPr>
          <w:p>
            <w:pPr>
              <w:jc w:val="center"/>
              <w:ind w:right="194"/>
              <w:spacing w:after="0" w:line="135" w:lineRule="exact"/>
              <w:rPr>
                <w:sz w:val="20"/>
                <w:szCs w:val="20"/>
                <w:color w:val="auto"/>
              </w:rPr>
            </w:pPr>
            <w:r>
              <w:rPr>
                <w:rFonts w:ascii="Arial" w:cs="Arial" w:eastAsia="Arial" w:hAnsi="Arial"/>
                <w:sz w:val="14"/>
                <w:szCs w:val="14"/>
                <w:b w:val="1"/>
                <w:bCs w:val="1"/>
                <w:color w:val="auto"/>
                <w:w w:val="95"/>
              </w:rPr>
              <w:t>Financial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2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60" w:type="dxa"/>
            <w:vAlign w:val="bottom"/>
            <w:gridSpan w:val="2"/>
          </w:tcPr>
          <w:p>
            <w:pPr>
              <w:jc w:val="center"/>
              <w:ind w:right="460"/>
              <w:spacing w:after="0" w:line="135" w:lineRule="exact"/>
              <w:rPr>
                <w:sz w:val="20"/>
                <w:szCs w:val="20"/>
                <w:color w:val="auto"/>
              </w:rPr>
            </w:pPr>
            <w:r>
              <w:rPr>
                <w:rFonts w:ascii="Arial" w:cs="Arial" w:eastAsia="Arial" w:hAnsi="Arial"/>
                <w:sz w:val="14"/>
                <w:szCs w:val="14"/>
                <w:b w:val="1"/>
                <w:bCs w:val="1"/>
                <w:color w:val="auto"/>
                <w:w w:val="97"/>
              </w:rPr>
              <w:t>Group, Inc.</w:t>
            </w:r>
          </w:p>
        </w:tc>
        <w:tc>
          <w:tcPr>
            <w:tcW w:w="180" w:type="dxa"/>
            <w:vAlign w:val="bottom"/>
          </w:tcPr>
          <w:p>
            <w:pPr>
              <w:spacing w:after="0"/>
              <w:rPr>
                <w:sz w:val="11"/>
                <w:szCs w:val="11"/>
                <w:color w:val="auto"/>
              </w:rPr>
            </w:pPr>
          </w:p>
        </w:tc>
        <w:tc>
          <w:tcPr>
            <w:tcW w:w="1460" w:type="dxa"/>
            <w:vAlign w:val="bottom"/>
            <w:gridSpan w:val="2"/>
          </w:tcPr>
          <w:p>
            <w:pPr>
              <w:jc w:val="center"/>
              <w:ind w:right="460"/>
              <w:spacing w:after="0" w:line="135" w:lineRule="exact"/>
              <w:rPr>
                <w:sz w:val="20"/>
                <w:szCs w:val="20"/>
                <w:color w:val="auto"/>
              </w:rPr>
            </w:pPr>
            <w:r>
              <w:rPr>
                <w:rFonts w:ascii="Arial" w:cs="Arial" w:eastAsia="Arial" w:hAnsi="Arial"/>
                <w:sz w:val="14"/>
                <w:szCs w:val="14"/>
                <w:b w:val="1"/>
                <w:bCs w:val="1"/>
                <w:color w:val="auto"/>
                <w:w w:val="93"/>
              </w:rPr>
              <w:t>Company</w:t>
            </w:r>
          </w:p>
        </w:tc>
        <w:tc>
          <w:tcPr>
            <w:tcW w:w="120" w:type="dxa"/>
            <w:vAlign w:val="bottom"/>
          </w:tcPr>
          <w:p>
            <w:pPr>
              <w:spacing w:after="0"/>
              <w:rPr>
                <w:sz w:val="11"/>
                <w:szCs w:val="11"/>
                <w:color w:val="auto"/>
              </w:rPr>
            </w:pPr>
          </w:p>
        </w:tc>
        <w:tc>
          <w:tcPr>
            <w:tcW w:w="1400" w:type="dxa"/>
            <w:vAlign w:val="bottom"/>
          </w:tcPr>
          <w:p>
            <w:pPr>
              <w:jc w:val="center"/>
              <w:ind w:right="55"/>
              <w:spacing w:after="0" w:line="135" w:lineRule="exact"/>
              <w:rPr>
                <w:sz w:val="20"/>
                <w:szCs w:val="20"/>
                <w:color w:val="auto"/>
              </w:rPr>
            </w:pPr>
            <w:r>
              <w:rPr>
                <w:rFonts w:ascii="Arial" w:cs="Arial" w:eastAsia="Arial" w:hAnsi="Arial"/>
                <w:sz w:val="14"/>
                <w:szCs w:val="14"/>
                <w:b w:val="1"/>
                <w:bCs w:val="1"/>
                <w:color w:val="auto"/>
                <w:w w:val="88"/>
              </w:rPr>
              <w:t>Subsidiaries</w:t>
            </w: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gridSpan w:val="2"/>
            <w:vMerge w:val="restart"/>
          </w:tcPr>
          <w:p>
            <w:pPr>
              <w:jc w:val="right"/>
              <w:ind w:right="300"/>
              <w:spacing w:after="0"/>
              <w:rPr>
                <w:sz w:val="20"/>
                <w:szCs w:val="20"/>
                <w:color w:val="auto"/>
              </w:rPr>
            </w:pPr>
            <w:r>
              <w:rPr>
                <w:rFonts w:ascii="Arial" w:cs="Arial" w:eastAsia="Arial" w:hAnsi="Arial"/>
                <w:sz w:val="14"/>
                <w:szCs w:val="14"/>
                <w:b w:val="1"/>
                <w:bCs w:val="1"/>
                <w:color w:val="auto"/>
                <w:w w:val="98"/>
              </w:rPr>
              <w:t>Eliminations</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60" w:type="dxa"/>
            <w:vAlign w:val="bottom"/>
          </w:tcPr>
          <w:p>
            <w:pPr>
              <w:jc w:val="center"/>
              <w:ind w:right="174"/>
              <w:spacing w:after="0" w:line="135" w:lineRule="exact"/>
              <w:rPr>
                <w:sz w:val="20"/>
                <w:szCs w:val="20"/>
                <w:color w:val="auto"/>
              </w:rPr>
            </w:pPr>
            <w:r>
              <w:rPr>
                <w:rFonts w:ascii="Arial" w:cs="Arial" w:eastAsia="Arial" w:hAnsi="Arial"/>
                <w:sz w:val="14"/>
                <w:szCs w:val="14"/>
                <w:b w:val="1"/>
                <w:bCs w:val="1"/>
                <w:color w:val="auto"/>
                <w:w w:val="97"/>
              </w:rPr>
              <w:t>Group, Inc.</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6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6"/>
              </w:rPr>
              <w:t>Parent Only</w:t>
            </w:r>
          </w:p>
        </w:tc>
        <w:tc>
          <w:tcPr>
            <w:tcW w:w="180" w:type="dxa"/>
            <w:vAlign w:val="bottom"/>
          </w:tcPr>
          <w:p>
            <w:pPr>
              <w:spacing w:after="0"/>
              <w:rPr>
                <w:sz w:val="14"/>
                <w:szCs w:val="14"/>
                <w:color w:val="auto"/>
              </w:rPr>
            </w:pPr>
          </w:p>
        </w:tc>
        <w:tc>
          <w:tcPr>
            <w:tcW w:w="146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rPr>
              <w:t>Only</w:t>
            </w:r>
          </w:p>
        </w:tc>
        <w:tc>
          <w:tcPr>
            <w:tcW w:w="120" w:type="dxa"/>
            <w:vAlign w:val="bottom"/>
          </w:tcPr>
          <w:p>
            <w:pPr>
              <w:spacing w:after="0"/>
              <w:rPr>
                <w:sz w:val="14"/>
                <w:szCs w:val="14"/>
                <w:color w:val="auto"/>
              </w:rPr>
            </w:pPr>
          </w:p>
        </w:tc>
        <w:tc>
          <w:tcPr>
            <w:tcW w:w="1400" w:type="dxa"/>
            <w:vAlign w:val="bottom"/>
          </w:tcPr>
          <w:p>
            <w:pPr>
              <w:jc w:val="center"/>
              <w:ind w:right="35"/>
              <w:spacing w:after="0"/>
              <w:rPr>
                <w:sz w:val="20"/>
                <w:szCs w:val="20"/>
                <w:color w:val="auto"/>
              </w:rPr>
            </w:pPr>
            <w:r>
              <w:rPr>
                <w:rFonts w:ascii="Arial" w:cs="Arial" w:eastAsia="Arial" w:hAnsi="Arial"/>
                <w:sz w:val="14"/>
                <w:szCs w:val="14"/>
                <w:b w:val="1"/>
                <w:bCs w:val="1"/>
                <w:color w:val="auto"/>
                <w:w w:val="93"/>
              </w:rPr>
              <w:t>Combined</w:t>
            </w: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60" w:type="dxa"/>
            <w:vAlign w:val="bottom"/>
          </w:tcPr>
          <w:p>
            <w:pPr>
              <w:jc w:val="center"/>
              <w:ind w:right="174"/>
              <w:spacing w:after="0"/>
              <w:rPr>
                <w:sz w:val="20"/>
                <w:szCs w:val="20"/>
                <w:color w:val="auto"/>
              </w:rPr>
            </w:pPr>
            <w:r>
              <w:rPr>
                <w:rFonts w:ascii="Arial" w:cs="Arial" w:eastAsia="Arial" w:hAnsi="Arial"/>
                <w:sz w:val="14"/>
                <w:szCs w:val="14"/>
                <w:b w:val="1"/>
                <w:bCs w:val="1"/>
                <w:color w:val="auto"/>
                <w:w w:val="90"/>
              </w:rPr>
              <w:t>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2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20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20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400" w:type="dxa"/>
            <w:vAlign w:val="bottom"/>
            <w:tcBorders>
              <w:top w:val="single" w:sz="8" w:color="auto"/>
            </w:tcBorders>
          </w:tcPr>
          <w:p>
            <w:pPr>
              <w:jc w:val="right"/>
              <w:ind w:right="395"/>
              <w:spacing w:after="0" w:line="129" w:lineRule="exact"/>
              <w:rPr>
                <w:sz w:val="20"/>
                <w:szCs w:val="20"/>
                <w:color w:val="auto"/>
              </w:rPr>
            </w:pPr>
            <w:r>
              <w:rPr>
                <w:rFonts w:ascii="Arial" w:cs="Arial" w:eastAsia="Arial" w:hAnsi="Arial"/>
                <w:sz w:val="14"/>
                <w:szCs w:val="14"/>
                <w:b w:val="1"/>
                <w:bCs w:val="1"/>
                <w:color w:val="auto"/>
              </w:rPr>
              <w:t>(in millions)</w:t>
            </w:r>
          </w:p>
        </w:tc>
        <w:tc>
          <w:tcPr>
            <w:tcW w:w="2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260" w:type="dxa"/>
            <w:vAlign w:val="bottom"/>
            <w:tcBorders>
              <w:top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tcBorders>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00" w:type="dxa"/>
            <w:vAlign w:val="bottom"/>
          </w:tcPr>
          <w:p>
            <w:pPr>
              <w:spacing w:after="0"/>
              <w:rPr>
                <w:sz w:val="20"/>
                <w:szCs w:val="20"/>
                <w:color w:val="auto"/>
              </w:rPr>
            </w:pPr>
            <w:r>
              <w:rPr>
                <w:rFonts w:ascii="Arial" w:cs="Arial" w:eastAsia="Arial" w:hAnsi="Arial"/>
                <w:sz w:val="18"/>
                <w:szCs w:val="18"/>
                <w:color w:val="auto"/>
              </w:rPr>
              <w:t>Premiums and other considerations</w:t>
            </w:r>
          </w:p>
        </w:tc>
        <w:tc>
          <w:tcPr>
            <w:tcW w:w="38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14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1,726.0</w:t>
            </w:r>
          </w:p>
        </w:tc>
        <w:tc>
          <w:tcPr>
            <w:tcW w:w="2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157.0</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8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1,883.0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Fees and other revenues</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572.0</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376.9</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(126.4)</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822.5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00" w:type="dxa"/>
            <w:vAlign w:val="bottom"/>
          </w:tcPr>
          <w:p>
            <w:pPr>
              <w:spacing w:after="0"/>
              <w:rPr>
                <w:sz w:val="20"/>
                <w:szCs w:val="20"/>
                <w:color w:val="auto"/>
              </w:rPr>
            </w:pPr>
            <w:r>
              <w:rPr>
                <w:rFonts w:ascii="Arial" w:cs="Arial" w:eastAsia="Arial" w:hAnsi="Arial"/>
                <w:sz w:val="18"/>
                <w:szCs w:val="18"/>
                <w:color w:val="auto"/>
              </w:rPr>
              <w:t>Net investment income</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1.1</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1,493.7</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127.6</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1,629.9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Net realized/unrealized capital gains</w:t>
            </w:r>
          </w:p>
        </w:tc>
        <w:tc>
          <w:tcPr>
            <w:tcW w:w="18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2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2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200" w:type="dxa"/>
            <w:vAlign w:val="bottom"/>
          </w:tcPr>
          <w:p>
            <w:pPr>
              <w:ind w:left="160"/>
              <w:spacing w:after="0"/>
              <w:rPr>
                <w:sz w:val="20"/>
                <w:szCs w:val="20"/>
                <w:color w:val="auto"/>
              </w:rPr>
            </w:pPr>
            <w:r>
              <w:rPr>
                <w:rFonts w:ascii="Arial" w:cs="Arial" w:eastAsia="Arial" w:hAnsi="Arial"/>
                <w:sz w:val="18"/>
                <w:szCs w:val="18"/>
                <w:color w:val="auto"/>
              </w:rPr>
              <w:t>Total revenues</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1.1</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3,794.1</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665.0</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gridSpan w:val="2"/>
          </w:tcPr>
          <w:p>
            <w:pPr>
              <w:jc w:val="right"/>
              <w:ind w:right="20"/>
              <w:spacing w:after="0"/>
              <w:rPr>
                <w:sz w:val="20"/>
                <w:szCs w:val="20"/>
                <w:color w:val="auto"/>
              </w:rPr>
            </w:pPr>
            <w:r>
              <w:rPr>
                <w:rFonts w:ascii="Arial" w:cs="Arial" w:eastAsia="Arial" w:hAnsi="Arial"/>
                <w:sz w:val="18"/>
                <w:szCs w:val="18"/>
                <w:color w:val="auto"/>
              </w:rPr>
              <w:t>(116.1)</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4,344.1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tcBorders>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00" w:type="dxa"/>
            <w:vAlign w:val="bottom"/>
          </w:tcPr>
          <w:p>
            <w:pPr>
              <w:spacing w:after="0"/>
              <w:rPr>
                <w:sz w:val="20"/>
                <w:szCs w:val="20"/>
                <w:color w:val="auto"/>
              </w:rPr>
            </w:pPr>
            <w:r>
              <w:rPr>
                <w:rFonts w:ascii="Arial" w:cs="Arial" w:eastAsia="Arial" w:hAnsi="Arial"/>
                <w:sz w:val="18"/>
                <w:szCs w:val="18"/>
                <w:color w:val="auto"/>
                <w:w w:val="94"/>
              </w:rPr>
              <w:t>Benefits, claims, and settlement expenses</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2,293.5</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210.5</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gridSpan w:val="2"/>
          </w:tcPr>
          <w:p>
            <w:pPr>
              <w:jc w:val="right"/>
              <w:ind w:right="20"/>
              <w:spacing w:after="0"/>
              <w:rPr>
                <w:sz w:val="20"/>
                <w:szCs w:val="20"/>
                <w:color w:val="auto"/>
              </w:rPr>
            </w:pPr>
            <w:r>
              <w:rPr>
                <w:rFonts w:ascii="Arial" w:cs="Arial" w:eastAsia="Arial" w:hAnsi="Arial"/>
                <w:sz w:val="18"/>
                <w:szCs w:val="18"/>
                <w:color w:val="auto"/>
              </w:rPr>
              <w:t>(5.2)</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2,498.8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Dividends to policyholders</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145.1</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¾</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145.1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00" w:type="dxa"/>
            <w:vAlign w:val="bottom"/>
          </w:tcPr>
          <w:p>
            <w:pPr>
              <w:spacing w:after="0"/>
              <w:rPr>
                <w:sz w:val="20"/>
                <w:szCs w:val="20"/>
                <w:color w:val="auto"/>
              </w:rPr>
            </w:pPr>
            <w:r>
              <w:rPr>
                <w:rFonts w:ascii="Arial" w:cs="Arial" w:eastAsia="Arial" w:hAnsi="Arial"/>
                <w:sz w:val="18"/>
                <w:szCs w:val="18"/>
                <w:color w:val="auto"/>
              </w:rPr>
              <w:t>Operating expenses</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5.4</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877.6</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366.1</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gridSpan w:val="2"/>
          </w:tcPr>
          <w:p>
            <w:pPr>
              <w:jc w:val="right"/>
              <w:ind w:right="20"/>
              <w:spacing w:after="0"/>
              <w:rPr>
                <w:sz w:val="20"/>
                <w:szCs w:val="20"/>
                <w:color w:val="auto"/>
              </w:rPr>
            </w:pPr>
            <w:r>
              <w:rPr>
                <w:rFonts w:ascii="Arial" w:cs="Arial" w:eastAsia="Arial" w:hAnsi="Arial"/>
                <w:sz w:val="18"/>
                <w:szCs w:val="18"/>
                <w:color w:val="auto"/>
              </w:rPr>
              <w:t>(111.4)</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1,137.7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200" w:type="dxa"/>
            <w:vAlign w:val="bottom"/>
            <w:vMerge w:val="restart"/>
            <w:shd w:val="clear" w:color="auto" w:fill="CCEEFF"/>
          </w:tcPr>
          <w:p>
            <w:pPr>
              <w:ind w:left="160"/>
              <w:spacing w:after="0"/>
              <w:rPr>
                <w:sz w:val="20"/>
                <w:szCs w:val="20"/>
                <w:color w:val="auto"/>
              </w:rPr>
            </w:pPr>
            <w:r>
              <w:rPr>
                <w:rFonts w:ascii="Arial" w:cs="Arial" w:eastAsia="Arial" w:hAnsi="Arial"/>
                <w:sz w:val="18"/>
                <w:szCs w:val="18"/>
                <w:color w:val="auto"/>
              </w:rPr>
              <w:t>Total expenses</w:t>
            </w:r>
          </w:p>
        </w:tc>
        <w:tc>
          <w:tcPr>
            <w:tcW w:w="1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260" w:type="dxa"/>
            <w:vAlign w:val="bottom"/>
            <w:tcBorders>
              <w:right w:val="single" w:sz="8" w:color="CCEEFF"/>
            </w:tcBorders>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200" w:type="dxa"/>
            <w:vAlign w:val="bottom"/>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3,316.2</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576.6</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(116.6)</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3,781.6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32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7"/>
              </w:rPr>
              <w:t>Income (loss) from continuing operations</w:t>
            </w: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60" w:type="dxa"/>
            <w:vAlign w:val="bottom"/>
            <w:tcBorders>
              <w:right w:val="single" w:sz="8" w:color="CCEEFF"/>
            </w:tcBorders>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2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before income taxes</w:t>
            </w:r>
          </w:p>
        </w:tc>
        <w:tc>
          <w:tcPr>
            <w:tcW w:w="1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(4.3)</w:t>
            </w:r>
          </w:p>
        </w:tc>
        <w:tc>
          <w:tcPr>
            <w:tcW w:w="180" w:type="dxa"/>
            <w:vAlign w:val="bottom"/>
            <w:shd w:val="clear" w:color="auto" w:fill="CCEEFF"/>
          </w:tcPr>
          <w:p>
            <w:pPr>
              <w:spacing w:after="0"/>
              <w:rPr>
                <w:sz w:val="20"/>
                <w:szCs w:val="20"/>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477.9</w:t>
            </w:r>
          </w:p>
        </w:tc>
        <w:tc>
          <w:tcPr>
            <w:tcW w:w="2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88.4</w:t>
            </w:r>
          </w:p>
        </w:tc>
        <w:tc>
          <w:tcPr>
            <w:tcW w:w="2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1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2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562.5</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Income taxes (benefits)</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(2.1)</w:t>
            </w: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125.2</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134.0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200" w:type="dxa"/>
            <w:vAlign w:val="bottom"/>
          </w:tcPr>
          <w:p>
            <w:pPr>
              <w:spacing w:after="0" w:line="201" w:lineRule="exact"/>
              <w:rPr>
                <w:sz w:val="20"/>
                <w:szCs w:val="20"/>
                <w:color w:val="auto"/>
              </w:rPr>
            </w:pPr>
            <w:r>
              <w:rPr>
                <w:rFonts w:ascii="Arial" w:cs="Arial" w:eastAsia="Arial" w:hAnsi="Arial"/>
                <w:sz w:val="18"/>
                <w:szCs w:val="18"/>
                <w:color w:val="auto"/>
              </w:rPr>
              <w:t>Equity in the net income of subsidiaries,</w:t>
            </w:r>
          </w:p>
        </w:tc>
        <w:tc>
          <w:tcPr>
            <w:tcW w:w="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200" w:type="dxa"/>
            <w:vAlign w:val="bottom"/>
          </w:tcPr>
          <w:p>
            <w:pPr>
              <w:ind w:left="160"/>
              <w:spacing w:after="0"/>
              <w:rPr>
                <w:sz w:val="20"/>
                <w:szCs w:val="20"/>
                <w:color w:val="auto"/>
              </w:rPr>
            </w:pPr>
            <w:r>
              <w:rPr>
                <w:rFonts w:ascii="Arial" w:cs="Arial" w:eastAsia="Arial" w:hAnsi="Arial"/>
                <w:sz w:val="18"/>
                <w:szCs w:val="18"/>
                <w:color w:val="auto"/>
              </w:rPr>
              <w:t>excluding discontinued operations</w:t>
            </w:r>
          </w:p>
        </w:tc>
        <w:tc>
          <w:tcPr>
            <w:tcW w:w="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430.7</w:t>
            </w:r>
          </w:p>
        </w:tc>
        <w:tc>
          <w:tcPr>
            <w:tcW w:w="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50.7</w:t>
            </w:r>
          </w:p>
        </w:tc>
        <w:tc>
          <w:tcPr>
            <w:tcW w:w="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352.3</w:t>
            </w: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20" w:type="dxa"/>
            <w:vAlign w:val="bottom"/>
            <w:gridSpan w:val="2"/>
          </w:tcPr>
          <w:p>
            <w:pPr>
              <w:jc w:val="right"/>
              <w:ind w:right="20"/>
              <w:spacing w:after="0"/>
              <w:rPr>
                <w:sz w:val="20"/>
                <w:szCs w:val="20"/>
                <w:color w:val="auto"/>
              </w:rPr>
            </w:pPr>
            <w:r>
              <w:rPr>
                <w:rFonts w:ascii="Arial" w:cs="Arial" w:eastAsia="Arial" w:hAnsi="Arial"/>
                <w:sz w:val="18"/>
                <w:szCs w:val="18"/>
                <w:color w:val="auto"/>
              </w:rPr>
              <w:t>(833.7)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3200" w:type="dxa"/>
            <w:vAlign w:val="bottom"/>
            <w:tcBorders>
              <w:top w:val="single" w:sz="8" w:color="CCEEFF"/>
            </w:tcBorders>
            <w:shd w:val="clear" w:color="auto" w:fill="CCEEFF"/>
          </w:tcPr>
          <w:p>
            <w:pPr>
              <w:spacing w:after="0" w:line="182" w:lineRule="exact"/>
              <w:rPr>
                <w:sz w:val="20"/>
                <w:szCs w:val="20"/>
                <w:color w:val="auto"/>
              </w:rPr>
            </w:pPr>
            <w:r>
              <w:rPr>
                <w:rFonts w:ascii="Arial" w:cs="Arial" w:eastAsia="Arial" w:hAnsi="Arial"/>
                <w:sz w:val="18"/>
                <w:szCs w:val="18"/>
                <w:color w:val="auto"/>
                <w:w w:val="96"/>
              </w:rPr>
              <w:t>Income (loss) from continuing operations,</w:t>
            </w:r>
          </w:p>
        </w:tc>
        <w:tc>
          <w:tcPr>
            <w:tcW w:w="18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1200" w:type="dxa"/>
            <w:vAlign w:val="bottom"/>
            <w:tcBorders>
              <w:top w:val="single" w:sz="8" w:color="auto"/>
            </w:tcBorders>
            <w:shd w:val="clear" w:color="auto" w:fill="CCEEFF"/>
          </w:tcPr>
          <w:p>
            <w:pPr>
              <w:spacing w:after="0"/>
              <w:rPr>
                <w:sz w:val="15"/>
                <w:szCs w:val="15"/>
                <w:color w:val="auto"/>
              </w:rPr>
            </w:pPr>
          </w:p>
        </w:tc>
        <w:tc>
          <w:tcPr>
            <w:tcW w:w="26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spacing w:after="0"/>
              <w:rPr>
                <w:sz w:val="15"/>
                <w:szCs w:val="15"/>
                <w:color w:val="auto"/>
              </w:rPr>
            </w:pPr>
          </w:p>
        </w:tc>
        <w:tc>
          <w:tcPr>
            <w:tcW w:w="1200" w:type="dxa"/>
            <w:vAlign w:val="bottom"/>
            <w:tcBorders>
              <w:top w:val="single" w:sz="8" w:color="auto"/>
            </w:tcBorders>
            <w:shd w:val="clear" w:color="auto" w:fill="CCEEFF"/>
          </w:tcPr>
          <w:p>
            <w:pPr>
              <w:spacing w:after="0"/>
              <w:rPr>
                <w:sz w:val="15"/>
                <w:szCs w:val="15"/>
                <w:color w:val="auto"/>
              </w:rPr>
            </w:pPr>
          </w:p>
        </w:tc>
        <w:tc>
          <w:tcPr>
            <w:tcW w:w="26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140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spacing w:after="0"/>
              <w:rPr>
                <w:sz w:val="15"/>
                <w:szCs w:val="15"/>
                <w:color w:val="auto"/>
              </w:rPr>
            </w:pPr>
          </w:p>
        </w:tc>
        <w:tc>
          <w:tcPr>
            <w:tcW w:w="106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spacing w:after="0"/>
              <w:rPr>
                <w:sz w:val="15"/>
                <w:szCs w:val="15"/>
                <w:color w:val="auto"/>
              </w:rPr>
            </w:pPr>
          </w:p>
        </w:tc>
        <w:tc>
          <w:tcPr>
            <w:tcW w:w="1260" w:type="dxa"/>
            <w:vAlign w:val="bottom"/>
            <w:tcBorders>
              <w:top w:val="single" w:sz="8" w:color="auto"/>
              <w:right w:val="single" w:sz="8" w:color="CCEEFF"/>
            </w:tcBorders>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2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of related income taxes</w:t>
            </w:r>
          </w:p>
        </w:tc>
        <w:tc>
          <w:tcPr>
            <w:tcW w:w="1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(2.2)</w:t>
            </w:r>
          </w:p>
        </w:tc>
        <w:tc>
          <w:tcPr>
            <w:tcW w:w="180" w:type="dxa"/>
            <w:vAlign w:val="bottom"/>
            <w:shd w:val="clear" w:color="auto" w:fill="CCEEFF"/>
          </w:tcPr>
          <w:p>
            <w:pPr>
              <w:spacing w:after="0"/>
              <w:rPr>
                <w:sz w:val="20"/>
                <w:szCs w:val="20"/>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352.7</w:t>
            </w:r>
          </w:p>
        </w:tc>
        <w:tc>
          <w:tcPr>
            <w:tcW w:w="2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78.4</w:t>
            </w:r>
          </w:p>
        </w:tc>
        <w:tc>
          <w:tcPr>
            <w:tcW w:w="2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(0.4)</w:t>
            </w:r>
          </w:p>
        </w:tc>
        <w:tc>
          <w:tcPr>
            <w:tcW w:w="10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2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428.5</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200" w:type="dxa"/>
            <w:vAlign w:val="bottom"/>
          </w:tcPr>
          <w:p>
            <w:pPr>
              <w:spacing w:after="0" w:line="201" w:lineRule="exact"/>
              <w:rPr>
                <w:sz w:val="20"/>
                <w:szCs w:val="20"/>
                <w:color w:val="auto"/>
              </w:rPr>
            </w:pPr>
            <w:r>
              <w:rPr>
                <w:rFonts w:ascii="Arial" w:cs="Arial" w:eastAsia="Arial" w:hAnsi="Arial"/>
                <w:sz w:val="18"/>
                <w:szCs w:val="18"/>
                <w:color w:val="auto"/>
                <w:w w:val="96"/>
              </w:rPr>
              <w:t>Income from discontinued operations, net</w:t>
            </w:r>
          </w:p>
        </w:tc>
        <w:tc>
          <w:tcPr>
            <w:tcW w:w="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200" w:type="dxa"/>
            <w:vAlign w:val="bottom"/>
          </w:tcPr>
          <w:p>
            <w:pPr>
              <w:ind w:left="160"/>
              <w:spacing w:after="0"/>
              <w:rPr>
                <w:sz w:val="20"/>
                <w:szCs w:val="20"/>
                <w:color w:val="auto"/>
              </w:rPr>
            </w:pPr>
            <w:r>
              <w:rPr>
                <w:rFonts w:ascii="Arial" w:cs="Arial" w:eastAsia="Arial" w:hAnsi="Arial"/>
                <w:sz w:val="18"/>
                <w:szCs w:val="18"/>
                <w:color w:val="auto"/>
              </w:rPr>
              <w:t>of related income taxes</w:t>
            </w:r>
          </w:p>
        </w:tc>
        <w:tc>
          <w:tcPr>
            <w:tcW w:w="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15.9</w:t>
            </w:r>
          </w:p>
        </w:tc>
        <w:tc>
          <w:tcPr>
            <w:tcW w:w="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15.9</w:t>
            </w:r>
          </w:p>
        </w:tc>
        <w:tc>
          <w:tcPr>
            <w:tcW w:w="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15.9</w:t>
            </w: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20" w:type="dxa"/>
            <w:vAlign w:val="bottom"/>
            <w:gridSpan w:val="2"/>
          </w:tcPr>
          <w:p>
            <w:pPr>
              <w:jc w:val="right"/>
              <w:ind w:right="20"/>
              <w:spacing w:after="0"/>
              <w:rPr>
                <w:sz w:val="20"/>
                <w:szCs w:val="20"/>
                <w:color w:val="auto"/>
              </w:rPr>
            </w:pPr>
            <w:r>
              <w:rPr>
                <w:rFonts w:ascii="Arial" w:cs="Arial" w:eastAsia="Arial" w:hAnsi="Arial"/>
                <w:sz w:val="18"/>
                <w:szCs w:val="18"/>
                <w:color w:val="auto"/>
              </w:rPr>
              <w:t>(31.8)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15.9</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2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income</w:t>
            </w: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444.4</w:t>
            </w:r>
          </w:p>
        </w:tc>
        <w:tc>
          <w:tcPr>
            <w:tcW w:w="26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419.3</w:t>
            </w:r>
          </w:p>
        </w:tc>
        <w:tc>
          <w:tcPr>
            <w:tcW w:w="26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446.6</w:t>
            </w:r>
          </w:p>
        </w:tc>
        <w:tc>
          <w:tcPr>
            <w:tcW w:w="280" w:type="dxa"/>
            <w:vAlign w:val="bottom"/>
            <w:tcBorders>
              <w:top w:val="single" w:sz="8" w:color="CCEEFF"/>
              <w:bottom w:val="single" w:sz="8" w:color="CCEEFF"/>
            </w:tcBorders>
            <w:shd w:val="clear" w:color="auto" w:fill="CCEEFF"/>
          </w:tcPr>
          <w:p>
            <w:pPr>
              <w:spacing w:after="0"/>
              <w:rPr>
                <w:sz w:val="19"/>
                <w:szCs w:val="19"/>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(865.9</w:t>
            </w:r>
          </w:p>
        </w:tc>
        <w:tc>
          <w:tcPr>
            <w:tcW w:w="160" w:type="dxa"/>
            <w:vAlign w:val="bottom"/>
            <w:tcBorders>
              <w:top w:val="single" w:sz="8" w:color="CCEEFF"/>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1260" w:type="dxa"/>
            <w:vAlign w:val="bottom"/>
            <w:tcBorders>
              <w:top w:val="single" w:sz="8" w:color="auto"/>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444.4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2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0" w:type="dxa"/>
            <w:vAlign w:val="bottom"/>
          </w:tcPr>
          <w:p>
            <w:pPr>
              <w:jc w:val="right"/>
              <w:ind w:right="554"/>
              <w:spacing w:after="0"/>
              <w:rPr>
                <w:sz w:val="20"/>
                <w:szCs w:val="20"/>
                <w:color w:val="auto"/>
              </w:rPr>
            </w:pPr>
            <w:r>
              <w:rPr>
                <w:rFonts w:ascii="Arial" w:cs="Arial" w:eastAsia="Arial" w:hAnsi="Arial"/>
                <w:sz w:val="18"/>
                <w:szCs w:val="18"/>
                <w:color w:val="auto"/>
              </w:rPr>
              <w:t>27</w:t>
            </w: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20" w:type="dxa"/>
            <w:vAlign w:val="bottom"/>
            <w:tcBorders>
              <w:bottom w:val="single" w:sz="8" w:color="010101"/>
            </w:tcBorders>
          </w:tcPr>
          <w:p>
            <w:pPr>
              <w:spacing w:after="0"/>
              <w:rPr>
                <w:sz w:val="24"/>
                <w:szCs w:val="24"/>
                <w:color w:val="auto"/>
              </w:rPr>
            </w:pPr>
          </w:p>
        </w:tc>
        <w:tc>
          <w:tcPr>
            <w:tcW w:w="320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120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120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40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106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126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Cash Flows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six months ended June 30, 2006</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3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vMerge w:val="restart"/>
          </w:tcPr>
          <w:p>
            <w:pPr>
              <w:jc w:val="center"/>
              <w:ind w:right="304"/>
              <w:spacing w:after="0"/>
              <w:rPr>
                <w:sz w:val="20"/>
                <w:szCs w:val="20"/>
                <w:color w:val="auto"/>
              </w:rPr>
            </w:pPr>
            <w:r>
              <w:rPr>
                <w:rFonts w:ascii="Arial" w:cs="Arial" w:eastAsia="Arial" w:hAnsi="Arial"/>
                <w:sz w:val="14"/>
                <w:szCs w:val="14"/>
                <w:b w:val="1"/>
                <w:bCs w:val="1"/>
                <w:color w:val="auto"/>
                <w:w w:val="97"/>
              </w:rPr>
              <w:t>Principal</w:t>
            </w:r>
          </w:p>
        </w:tc>
        <w:tc>
          <w:tcPr>
            <w:tcW w:w="240" w:type="dxa"/>
            <w:vAlign w:val="bottom"/>
          </w:tcPr>
          <w:p>
            <w:pPr>
              <w:spacing w:after="0"/>
              <w:rPr>
                <w:sz w:val="14"/>
                <w:szCs w:val="14"/>
                <w:color w:val="auto"/>
              </w:rPr>
            </w:pPr>
          </w:p>
        </w:tc>
        <w:tc>
          <w:tcPr>
            <w:tcW w:w="1300" w:type="dxa"/>
            <w:vAlign w:val="bottom"/>
            <w:vMerge w:val="restart"/>
          </w:tcPr>
          <w:p>
            <w:pPr>
              <w:jc w:val="center"/>
              <w:ind w:right="244"/>
              <w:spacing w:after="0"/>
              <w:rPr>
                <w:sz w:val="20"/>
                <w:szCs w:val="20"/>
                <w:color w:val="auto"/>
              </w:rPr>
            </w:pPr>
            <w:r>
              <w:rPr>
                <w:rFonts w:ascii="Arial" w:cs="Arial" w:eastAsia="Arial" w:hAnsi="Arial"/>
                <w:sz w:val="14"/>
                <w:szCs w:val="14"/>
                <w:b w:val="1"/>
                <w:bCs w:val="1"/>
                <w:color w:val="auto"/>
                <w:w w:val="97"/>
              </w:rPr>
              <w:t>Principal Life</w:t>
            </w:r>
          </w:p>
        </w:tc>
        <w:tc>
          <w:tcPr>
            <w:tcW w:w="240" w:type="dxa"/>
            <w:vAlign w:val="bottom"/>
          </w:tcPr>
          <w:p>
            <w:pPr>
              <w:spacing w:after="0"/>
              <w:rPr>
                <w:sz w:val="14"/>
                <w:szCs w:val="14"/>
                <w:color w:val="auto"/>
              </w:rPr>
            </w:pPr>
          </w:p>
        </w:tc>
        <w:tc>
          <w:tcPr>
            <w:tcW w:w="1480" w:type="dxa"/>
            <w:vAlign w:val="bottom"/>
          </w:tcPr>
          <w:p>
            <w:pPr>
              <w:jc w:val="center"/>
              <w:ind w:right="165"/>
              <w:spacing w:after="0"/>
              <w:rPr>
                <w:sz w:val="20"/>
                <w:szCs w:val="20"/>
                <w:color w:val="auto"/>
              </w:rPr>
            </w:pPr>
            <w:r>
              <w:rPr>
                <w:rFonts w:ascii="Arial" w:cs="Arial" w:eastAsia="Arial" w:hAnsi="Arial"/>
                <w:sz w:val="14"/>
                <w:szCs w:val="14"/>
                <w:b w:val="1"/>
                <w:bCs w:val="1"/>
                <w:color w:val="auto"/>
                <w:w w:val="94"/>
              </w:rPr>
              <w:t>Principal</w:t>
            </w: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2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4"/>
              </w:rPr>
              <w:t>Principal</w:t>
            </w:r>
          </w:p>
        </w:tc>
        <w:tc>
          <w:tcPr>
            <w:tcW w:w="0" w:type="dxa"/>
            <w:vAlign w:val="bottom"/>
          </w:tcPr>
          <w:p>
            <w:pPr>
              <w:spacing w:after="0"/>
              <w:rPr>
                <w:sz w:val="1"/>
                <w:szCs w:val="1"/>
                <w:color w:val="auto"/>
              </w:rPr>
            </w:pPr>
          </w:p>
        </w:tc>
      </w:tr>
      <w:tr>
        <w:trPr>
          <w:trHeight w:val="135"/>
        </w:trPr>
        <w:tc>
          <w:tcPr>
            <w:tcW w:w="33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vMerge w:val="continue"/>
          </w:tcPr>
          <w:p>
            <w:pPr>
              <w:spacing w:after="0"/>
              <w:rPr>
                <w:sz w:val="11"/>
                <w:szCs w:val="11"/>
                <w:color w:val="auto"/>
              </w:rPr>
            </w:pPr>
          </w:p>
        </w:tc>
        <w:tc>
          <w:tcPr>
            <w:tcW w:w="240" w:type="dxa"/>
            <w:vAlign w:val="bottom"/>
          </w:tcPr>
          <w:p>
            <w:pPr>
              <w:spacing w:after="0"/>
              <w:rPr>
                <w:sz w:val="11"/>
                <w:szCs w:val="11"/>
                <w:color w:val="auto"/>
              </w:rPr>
            </w:pPr>
          </w:p>
        </w:tc>
        <w:tc>
          <w:tcPr>
            <w:tcW w:w="1300" w:type="dxa"/>
            <w:vAlign w:val="bottom"/>
            <w:vMerge w:val="continue"/>
          </w:tcPr>
          <w:p>
            <w:pPr>
              <w:spacing w:after="0"/>
              <w:rPr>
                <w:sz w:val="11"/>
                <w:szCs w:val="11"/>
                <w:color w:val="auto"/>
              </w:rPr>
            </w:pPr>
          </w:p>
        </w:tc>
        <w:tc>
          <w:tcPr>
            <w:tcW w:w="240" w:type="dxa"/>
            <w:vAlign w:val="bottom"/>
          </w:tcPr>
          <w:p>
            <w:pPr>
              <w:spacing w:after="0"/>
              <w:rPr>
                <w:sz w:val="11"/>
                <w:szCs w:val="11"/>
                <w:color w:val="auto"/>
              </w:rPr>
            </w:pPr>
          </w:p>
        </w:tc>
        <w:tc>
          <w:tcPr>
            <w:tcW w:w="1480" w:type="dxa"/>
            <w:vAlign w:val="bottom"/>
          </w:tcPr>
          <w:p>
            <w:pPr>
              <w:jc w:val="center"/>
              <w:ind w:right="165"/>
              <w:spacing w:after="0" w:line="135" w:lineRule="exact"/>
              <w:rPr>
                <w:sz w:val="20"/>
                <w:szCs w:val="20"/>
                <w:color w:val="auto"/>
              </w:rPr>
            </w:pPr>
            <w:r>
              <w:rPr>
                <w:rFonts w:ascii="Arial" w:cs="Arial" w:eastAsia="Arial" w:hAnsi="Arial"/>
                <w:sz w:val="14"/>
                <w:szCs w:val="14"/>
                <w:b w:val="1"/>
                <w:bCs w:val="1"/>
                <w:color w:val="auto"/>
                <w:w w:val="92"/>
              </w:rPr>
              <w:t>Financial</w:t>
            </w:r>
          </w:p>
        </w:tc>
        <w:tc>
          <w:tcPr>
            <w:tcW w:w="26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2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3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tcPr>
          <w:p>
            <w:pPr>
              <w:jc w:val="center"/>
              <w:ind w:right="264"/>
              <w:spacing w:after="0" w:line="135" w:lineRule="exact"/>
              <w:rPr>
                <w:sz w:val="20"/>
                <w:szCs w:val="20"/>
                <w:color w:val="auto"/>
              </w:rPr>
            </w:pPr>
            <w:r>
              <w:rPr>
                <w:rFonts w:ascii="Arial" w:cs="Arial" w:eastAsia="Arial" w:hAnsi="Arial"/>
                <w:sz w:val="14"/>
                <w:szCs w:val="14"/>
                <w:b w:val="1"/>
                <w:bCs w:val="1"/>
                <w:color w:val="auto"/>
                <w:w w:val="95"/>
              </w:rPr>
              <w:t>Financial</w:t>
            </w:r>
          </w:p>
        </w:tc>
        <w:tc>
          <w:tcPr>
            <w:tcW w:w="240" w:type="dxa"/>
            <w:vAlign w:val="bottom"/>
          </w:tcPr>
          <w:p>
            <w:pPr>
              <w:spacing w:after="0"/>
              <w:rPr>
                <w:sz w:val="11"/>
                <w:szCs w:val="11"/>
                <w:color w:val="auto"/>
              </w:rPr>
            </w:pPr>
          </w:p>
        </w:tc>
        <w:tc>
          <w:tcPr>
            <w:tcW w:w="1300" w:type="dxa"/>
            <w:vAlign w:val="bottom"/>
          </w:tcPr>
          <w:p>
            <w:pPr>
              <w:jc w:val="center"/>
              <w:ind w:right="244"/>
              <w:spacing w:after="0" w:line="135" w:lineRule="exact"/>
              <w:rPr>
                <w:sz w:val="20"/>
                <w:szCs w:val="20"/>
                <w:color w:val="auto"/>
              </w:rPr>
            </w:pPr>
            <w:r>
              <w:rPr>
                <w:rFonts w:ascii="Arial" w:cs="Arial" w:eastAsia="Arial" w:hAnsi="Arial"/>
                <w:sz w:val="14"/>
                <w:szCs w:val="14"/>
                <w:b w:val="1"/>
                <w:bCs w:val="1"/>
                <w:color w:val="auto"/>
                <w:w w:val="93"/>
              </w:rPr>
              <w:t>Insurance</w:t>
            </w:r>
          </w:p>
        </w:tc>
        <w:tc>
          <w:tcPr>
            <w:tcW w:w="240" w:type="dxa"/>
            <w:vAlign w:val="bottom"/>
          </w:tcPr>
          <w:p>
            <w:pPr>
              <w:spacing w:after="0"/>
              <w:rPr>
                <w:sz w:val="11"/>
                <w:szCs w:val="11"/>
                <w:color w:val="auto"/>
              </w:rPr>
            </w:pPr>
          </w:p>
        </w:tc>
        <w:tc>
          <w:tcPr>
            <w:tcW w:w="1480" w:type="dxa"/>
            <w:vAlign w:val="bottom"/>
          </w:tcPr>
          <w:p>
            <w:pPr>
              <w:jc w:val="center"/>
              <w:ind w:right="165"/>
              <w:spacing w:after="0" w:line="135" w:lineRule="exact"/>
              <w:rPr>
                <w:sz w:val="20"/>
                <w:szCs w:val="20"/>
                <w:color w:val="auto"/>
              </w:rPr>
            </w:pPr>
            <w:r>
              <w:rPr>
                <w:rFonts w:ascii="Arial" w:cs="Arial" w:eastAsia="Arial" w:hAnsi="Arial"/>
                <w:sz w:val="14"/>
                <w:szCs w:val="14"/>
                <w:b w:val="1"/>
                <w:bCs w:val="1"/>
                <w:color w:val="auto"/>
                <w:w w:val="91"/>
              </w:rPr>
              <w:t>Services, Inc. and</w:t>
            </w:r>
          </w:p>
        </w:tc>
        <w:tc>
          <w:tcPr>
            <w:tcW w:w="26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2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5"/>
              </w:rPr>
              <w:t>Financial</w:t>
            </w:r>
          </w:p>
        </w:tc>
        <w:tc>
          <w:tcPr>
            <w:tcW w:w="0" w:type="dxa"/>
            <w:vAlign w:val="bottom"/>
          </w:tcPr>
          <w:p>
            <w:pPr>
              <w:spacing w:after="0"/>
              <w:rPr>
                <w:sz w:val="1"/>
                <w:szCs w:val="1"/>
                <w:color w:val="auto"/>
              </w:rPr>
            </w:pPr>
          </w:p>
        </w:tc>
      </w:tr>
      <w:tr>
        <w:trPr>
          <w:trHeight w:val="135"/>
        </w:trPr>
        <w:tc>
          <w:tcPr>
            <w:tcW w:w="33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tcPr>
          <w:p>
            <w:pPr>
              <w:jc w:val="center"/>
              <w:ind w:right="304"/>
              <w:spacing w:after="0" w:line="135" w:lineRule="exact"/>
              <w:rPr>
                <w:sz w:val="20"/>
                <w:szCs w:val="20"/>
                <w:color w:val="auto"/>
              </w:rPr>
            </w:pPr>
            <w:r>
              <w:rPr>
                <w:rFonts w:ascii="Arial" w:cs="Arial" w:eastAsia="Arial" w:hAnsi="Arial"/>
                <w:sz w:val="14"/>
                <w:szCs w:val="14"/>
                <w:b w:val="1"/>
                <w:bCs w:val="1"/>
                <w:color w:val="auto"/>
                <w:w w:val="94"/>
              </w:rPr>
              <w:t>Group, Inc.</w:t>
            </w:r>
          </w:p>
        </w:tc>
        <w:tc>
          <w:tcPr>
            <w:tcW w:w="240" w:type="dxa"/>
            <w:vAlign w:val="bottom"/>
          </w:tcPr>
          <w:p>
            <w:pPr>
              <w:spacing w:after="0"/>
              <w:rPr>
                <w:sz w:val="11"/>
                <w:szCs w:val="11"/>
                <w:color w:val="auto"/>
              </w:rPr>
            </w:pPr>
          </w:p>
        </w:tc>
        <w:tc>
          <w:tcPr>
            <w:tcW w:w="1300" w:type="dxa"/>
            <w:vAlign w:val="bottom"/>
          </w:tcPr>
          <w:p>
            <w:pPr>
              <w:jc w:val="center"/>
              <w:ind w:right="184"/>
              <w:spacing w:after="0" w:line="135" w:lineRule="exact"/>
              <w:rPr>
                <w:sz w:val="20"/>
                <w:szCs w:val="20"/>
                <w:color w:val="auto"/>
              </w:rPr>
            </w:pPr>
            <w:r>
              <w:rPr>
                <w:rFonts w:ascii="Arial" w:cs="Arial" w:eastAsia="Arial" w:hAnsi="Arial"/>
                <w:sz w:val="14"/>
                <w:szCs w:val="14"/>
                <w:b w:val="1"/>
                <w:bCs w:val="1"/>
                <w:color w:val="auto"/>
                <w:w w:val="93"/>
              </w:rPr>
              <w:t>Company</w:t>
            </w:r>
          </w:p>
        </w:tc>
        <w:tc>
          <w:tcPr>
            <w:tcW w:w="240" w:type="dxa"/>
            <w:vAlign w:val="bottom"/>
          </w:tcPr>
          <w:p>
            <w:pPr>
              <w:spacing w:after="0"/>
              <w:rPr>
                <w:sz w:val="11"/>
                <w:szCs w:val="11"/>
                <w:color w:val="auto"/>
              </w:rPr>
            </w:pPr>
          </w:p>
        </w:tc>
        <w:tc>
          <w:tcPr>
            <w:tcW w:w="1480" w:type="dxa"/>
            <w:vAlign w:val="bottom"/>
          </w:tcPr>
          <w:p>
            <w:pPr>
              <w:jc w:val="center"/>
              <w:ind w:right="165"/>
              <w:spacing w:after="0" w:line="135" w:lineRule="exact"/>
              <w:rPr>
                <w:sz w:val="20"/>
                <w:szCs w:val="20"/>
                <w:color w:val="auto"/>
              </w:rPr>
            </w:pPr>
            <w:r>
              <w:rPr>
                <w:rFonts w:ascii="Arial" w:cs="Arial" w:eastAsia="Arial" w:hAnsi="Arial"/>
                <w:sz w:val="14"/>
                <w:szCs w:val="14"/>
                <w:b w:val="1"/>
                <w:bCs w:val="1"/>
                <w:color w:val="auto"/>
                <w:w w:val="93"/>
              </w:rPr>
              <w:t>Other Subsidiaries</w:t>
            </w:r>
          </w:p>
        </w:tc>
        <w:tc>
          <w:tcPr>
            <w:tcW w:w="260" w:type="dxa"/>
            <w:vAlign w:val="bottom"/>
          </w:tcPr>
          <w:p>
            <w:pPr>
              <w:spacing w:after="0"/>
              <w:rPr>
                <w:sz w:val="11"/>
                <w:szCs w:val="11"/>
                <w:color w:val="auto"/>
              </w:rPr>
            </w:pPr>
          </w:p>
        </w:tc>
        <w:tc>
          <w:tcPr>
            <w:tcW w:w="1140" w:type="dxa"/>
            <w:vAlign w:val="bottom"/>
            <w:vMerge w:val="restart"/>
          </w:tcPr>
          <w:p>
            <w:pPr>
              <w:jc w:val="right"/>
              <w:ind w:right="239"/>
              <w:spacing w:after="0"/>
              <w:rPr>
                <w:sz w:val="20"/>
                <w:szCs w:val="20"/>
                <w:color w:val="auto"/>
              </w:rPr>
            </w:pPr>
            <w:r>
              <w:rPr>
                <w:rFonts w:ascii="Arial" w:cs="Arial" w:eastAsia="Arial" w:hAnsi="Arial"/>
                <w:sz w:val="14"/>
                <w:szCs w:val="14"/>
                <w:b w:val="1"/>
                <w:bCs w:val="1"/>
                <w:color w:val="auto"/>
                <w:w w:val="96"/>
              </w:rPr>
              <w:t>Eliminations</w:t>
            </w:r>
          </w:p>
        </w:tc>
        <w:tc>
          <w:tcPr>
            <w:tcW w:w="240" w:type="dxa"/>
            <w:vAlign w:val="bottom"/>
          </w:tcPr>
          <w:p>
            <w:pPr>
              <w:spacing w:after="0"/>
              <w:rPr>
                <w:sz w:val="11"/>
                <w:szCs w:val="11"/>
                <w:color w:val="auto"/>
              </w:rPr>
            </w:pPr>
          </w:p>
        </w:tc>
        <w:tc>
          <w:tcPr>
            <w:tcW w:w="122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7"/>
              </w:rPr>
              <w:t>Group, Inc.</w:t>
            </w:r>
          </w:p>
        </w:tc>
        <w:tc>
          <w:tcPr>
            <w:tcW w:w="0" w:type="dxa"/>
            <w:vAlign w:val="bottom"/>
          </w:tcPr>
          <w:p>
            <w:pPr>
              <w:spacing w:after="0"/>
              <w:rPr>
                <w:sz w:val="1"/>
                <w:szCs w:val="1"/>
                <w:color w:val="auto"/>
              </w:rPr>
            </w:pPr>
          </w:p>
        </w:tc>
      </w:tr>
      <w:tr>
        <w:trPr>
          <w:trHeight w:val="162"/>
        </w:trPr>
        <w:tc>
          <w:tcPr>
            <w:tcW w:w="33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tcPr>
          <w:p>
            <w:pPr>
              <w:jc w:val="center"/>
              <w:ind w:right="284"/>
              <w:spacing w:after="0"/>
              <w:rPr>
                <w:sz w:val="20"/>
                <w:szCs w:val="20"/>
                <w:color w:val="auto"/>
              </w:rPr>
            </w:pPr>
            <w:r>
              <w:rPr>
                <w:rFonts w:ascii="Arial" w:cs="Arial" w:eastAsia="Arial" w:hAnsi="Arial"/>
                <w:sz w:val="14"/>
                <w:szCs w:val="14"/>
                <w:b w:val="1"/>
                <w:bCs w:val="1"/>
                <w:color w:val="auto"/>
                <w:w w:val="96"/>
              </w:rPr>
              <w:t>Parent Only</w:t>
            </w:r>
          </w:p>
        </w:tc>
        <w:tc>
          <w:tcPr>
            <w:tcW w:w="240" w:type="dxa"/>
            <w:vAlign w:val="bottom"/>
          </w:tcPr>
          <w:p>
            <w:pPr>
              <w:spacing w:after="0"/>
              <w:rPr>
                <w:sz w:val="14"/>
                <w:szCs w:val="14"/>
                <w:color w:val="auto"/>
              </w:rPr>
            </w:pPr>
          </w:p>
        </w:tc>
        <w:tc>
          <w:tcPr>
            <w:tcW w:w="1300" w:type="dxa"/>
            <w:vAlign w:val="bottom"/>
          </w:tcPr>
          <w:p>
            <w:pPr>
              <w:jc w:val="center"/>
              <w:ind w:right="204"/>
              <w:spacing w:after="0"/>
              <w:rPr>
                <w:sz w:val="20"/>
                <w:szCs w:val="20"/>
                <w:color w:val="auto"/>
              </w:rPr>
            </w:pPr>
            <w:r>
              <w:rPr>
                <w:rFonts w:ascii="Arial" w:cs="Arial" w:eastAsia="Arial" w:hAnsi="Arial"/>
                <w:sz w:val="14"/>
                <w:szCs w:val="14"/>
                <w:b w:val="1"/>
                <w:bCs w:val="1"/>
                <w:color w:val="auto"/>
                <w:w w:val="96"/>
              </w:rPr>
              <w:t>Only</w:t>
            </w:r>
          </w:p>
        </w:tc>
        <w:tc>
          <w:tcPr>
            <w:tcW w:w="240" w:type="dxa"/>
            <w:vAlign w:val="bottom"/>
          </w:tcPr>
          <w:p>
            <w:pPr>
              <w:spacing w:after="0"/>
              <w:rPr>
                <w:sz w:val="14"/>
                <w:szCs w:val="14"/>
                <w:color w:val="auto"/>
              </w:rPr>
            </w:pPr>
          </w:p>
        </w:tc>
        <w:tc>
          <w:tcPr>
            <w:tcW w:w="1480" w:type="dxa"/>
            <w:vAlign w:val="bottom"/>
          </w:tcPr>
          <w:p>
            <w:pPr>
              <w:jc w:val="center"/>
              <w:ind w:right="165"/>
              <w:spacing w:after="0"/>
              <w:rPr>
                <w:sz w:val="20"/>
                <w:szCs w:val="20"/>
                <w:color w:val="auto"/>
              </w:rPr>
            </w:pPr>
            <w:r>
              <w:rPr>
                <w:rFonts w:ascii="Arial" w:cs="Arial" w:eastAsia="Arial" w:hAnsi="Arial"/>
                <w:sz w:val="14"/>
                <w:szCs w:val="14"/>
                <w:b w:val="1"/>
                <w:bCs w:val="1"/>
                <w:color w:val="auto"/>
                <w:w w:val="93"/>
              </w:rPr>
              <w:t>Combined</w:t>
            </w:r>
          </w:p>
        </w:tc>
        <w:tc>
          <w:tcPr>
            <w:tcW w:w="260" w:type="dxa"/>
            <w:vAlign w:val="bottom"/>
          </w:tcPr>
          <w:p>
            <w:pPr>
              <w:spacing w:after="0"/>
              <w:rPr>
                <w:sz w:val="14"/>
                <w:szCs w:val="14"/>
                <w:color w:val="auto"/>
              </w:rPr>
            </w:pPr>
          </w:p>
        </w:tc>
        <w:tc>
          <w:tcPr>
            <w:tcW w:w="114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12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Consolidated</w:t>
            </w:r>
          </w:p>
        </w:tc>
        <w:tc>
          <w:tcPr>
            <w:tcW w:w="0" w:type="dxa"/>
            <w:vAlign w:val="bottom"/>
          </w:tcPr>
          <w:p>
            <w:pPr>
              <w:spacing w:after="0"/>
              <w:rPr>
                <w:sz w:val="1"/>
                <w:szCs w:val="1"/>
                <w:color w:val="auto"/>
              </w:rPr>
            </w:pPr>
          </w:p>
        </w:tc>
      </w:tr>
      <w:tr>
        <w:trPr>
          <w:trHeight w:val="129"/>
        </w:trPr>
        <w:tc>
          <w:tcPr>
            <w:tcW w:w="33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28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30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480" w:type="dxa"/>
            <w:vAlign w:val="bottom"/>
            <w:tcBorders>
              <w:top w:val="single" w:sz="8" w:color="auto"/>
            </w:tcBorders>
          </w:tcPr>
          <w:p>
            <w:pPr>
              <w:jc w:val="right"/>
              <w:ind w:right="545"/>
              <w:spacing w:after="0" w:line="129" w:lineRule="exact"/>
              <w:rPr>
                <w:sz w:val="20"/>
                <w:szCs w:val="20"/>
                <w:color w:val="auto"/>
              </w:rPr>
            </w:pPr>
            <w:r>
              <w:rPr>
                <w:rFonts w:ascii="Arial" w:cs="Arial" w:eastAsia="Arial" w:hAnsi="Arial"/>
                <w:sz w:val="14"/>
                <w:szCs w:val="14"/>
                <w:b w:val="1"/>
                <w:bCs w:val="1"/>
                <w:color w:val="auto"/>
              </w:rPr>
              <w:t>(in millions)</w:t>
            </w:r>
          </w:p>
        </w:tc>
        <w:tc>
          <w:tcPr>
            <w:tcW w:w="260" w:type="dxa"/>
            <w:vAlign w:val="bottom"/>
            <w:tcBorders>
              <w:top w:val="single" w:sz="8" w:color="auto"/>
            </w:tcBorders>
          </w:tcPr>
          <w:p>
            <w:pPr>
              <w:spacing w:after="0"/>
              <w:rPr>
                <w:sz w:val="11"/>
                <w:szCs w:val="11"/>
                <w:color w:val="auto"/>
              </w:rPr>
            </w:pPr>
          </w:p>
        </w:tc>
        <w:tc>
          <w:tcPr>
            <w:tcW w:w="114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14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380" w:type="dxa"/>
            <w:vAlign w:val="bottom"/>
          </w:tcPr>
          <w:p>
            <w:pPr>
              <w:spacing w:after="0" w:line="201" w:lineRule="exact"/>
              <w:rPr>
                <w:sz w:val="20"/>
                <w:szCs w:val="20"/>
                <w:color w:val="auto"/>
              </w:rPr>
            </w:pPr>
            <w:r>
              <w:rPr>
                <w:rFonts w:ascii="Arial" w:cs="Arial" w:eastAsia="Arial" w:hAnsi="Arial"/>
                <w:sz w:val="18"/>
                <w:szCs w:val="18"/>
                <w:color w:val="auto"/>
              </w:rPr>
              <w:t>Net cash provided by (used in) operating</w:t>
            </w:r>
          </w:p>
        </w:tc>
        <w:tc>
          <w:tcPr>
            <w:tcW w:w="64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w:t>
            </w:r>
          </w:p>
        </w:tc>
        <w:tc>
          <w:tcPr>
            <w:tcW w:w="1280" w:type="dxa"/>
            <w:vAlign w:val="bottom"/>
            <w:vMerge w:val="restart"/>
          </w:tcPr>
          <w:p>
            <w:pPr>
              <w:jc w:val="right"/>
              <w:ind w:right="4"/>
              <w:spacing w:after="0"/>
              <w:rPr>
                <w:sz w:val="20"/>
                <w:szCs w:val="20"/>
                <w:color w:val="auto"/>
              </w:rPr>
            </w:pPr>
            <w:r>
              <w:rPr>
                <w:rFonts w:ascii="Arial" w:cs="Arial" w:eastAsia="Arial" w:hAnsi="Arial"/>
                <w:sz w:val="18"/>
                <w:szCs w:val="18"/>
                <w:b w:val="1"/>
                <w:bCs w:val="1"/>
                <w:color w:val="auto"/>
              </w:rPr>
              <w:t>(1.8)</w:t>
            </w:r>
          </w:p>
        </w:tc>
        <w:tc>
          <w:tcPr>
            <w:tcW w:w="2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1300" w:type="dxa"/>
            <w:vAlign w:val="bottom"/>
            <w:vMerge w:val="restart"/>
          </w:tcPr>
          <w:p>
            <w:pPr>
              <w:jc w:val="right"/>
              <w:ind w:right="64"/>
              <w:spacing w:after="0"/>
              <w:rPr>
                <w:sz w:val="20"/>
                <w:szCs w:val="20"/>
                <w:color w:val="auto"/>
              </w:rPr>
            </w:pPr>
            <w:r>
              <w:rPr>
                <w:rFonts w:ascii="Arial" w:cs="Arial" w:eastAsia="Arial" w:hAnsi="Arial"/>
                <w:sz w:val="18"/>
                <w:szCs w:val="18"/>
                <w:b w:val="1"/>
                <w:bCs w:val="1"/>
                <w:color w:val="auto"/>
              </w:rPr>
              <w:t>829.6</w:t>
            </w:r>
          </w:p>
        </w:tc>
        <w:tc>
          <w:tcPr>
            <w:tcW w:w="2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1480" w:type="dxa"/>
            <w:vAlign w:val="bottom"/>
            <w:vMerge w:val="restart"/>
          </w:tcPr>
          <w:p>
            <w:pPr>
              <w:jc w:val="right"/>
              <w:ind w:right="45"/>
              <w:spacing w:after="0"/>
              <w:rPr>
                <w:sz w:val="20"/>
                <w:szCs w:val="20"/>
                <w:color w:val="auto"/>
              </w:rPr>
            </w:pPr>
            <w:r>
              <w:rPr>
                <w:rFonts w:ascii="Arial" w:cs="Arial" w:eastAsia="Arial" w:hAnsi="Arial"/>
                <w:sz w:val="18"/>
                <w:szCs w:val="18"/>
                <w:b w:val="1"/>
                <w:bCs w:val="1"/>
                <w:color w:val="auto"/>
              </w:rPr>
              <w:t>285.0</w:t>
            </w:r>
          </w:p>
        </w:tc>
        <w:tc>
          <w:tcPr>
            <w:tcW w:w="26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11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(8.0)</w:t>
            </w:r>
          </w:p>
        </w:tc>
        <w:tc>
          <w:tcPr>
            <w:tcW w:w="2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w:t>
            </w:r>
          </w:p>
        </w:tc>
        <w:tc>
          <w:tcPr>
            <w:tcW w:w="11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1,104.8</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380" w:type="dxa"/>
            <w:vAlign w:val="bottom"/>
          </w:tcPr>
          <w:p>
            <w:pPr>
              <w:ind w:left="180"/>
              <w:spacing w:after="0"/>
              <w:rPr>
                <w:sz w:val="20"/>
                <w:szCs w:val="20"/>
                <w:color w:val="auto"/>
              </w:rPr>
            </w:pPr>
            <w:r>
              <w:rPr>
                <w:rFonts w:ascii="Arial" w:cs="Arial" w:eastAsia="Arial" w:hAnsi="Arial"/>
                <w:sz w:val="18"/>
                <w:szCs w:val="18"/>
                <w:color w:val="auto"/>
              </w:rPr>
              <w:t>activities</w:t>
            </w:r>
          </w:p>
        </w:tc>
        <w:tc>
          <w:tcPr>
            <w:tcW w:w="640" w:type="dxa"/>
            <w:vAlign w:val="bottom"/>
            <w:gridSpan w:val="2"/>
            <w:vMerge w:val="continue"/>
          </w:tcPr>
          <w:p>
            <w:pPr>
              <w:spacing w:after="0"/>
              <w:rPr>
                <w:sz w:val="20"/>
                <w:szCs w:val="20"/>
                <w:color w:val="auto"/>
              </w:rPr>
            </w:pPr>
          </w:p>
        </w:tc>
        <w:tc>
          <w:tcPr>
            <w:tcW w:w="1280" w:type="dxa"/>
            <w:vAlign w:val="bottom"/>
            <w:vMerge w:val="continue"/>
          </w:tcPr>
          <w:p>
            <w:pPr>
              <w:spacing w:after="0"/>
              <w:rPr>
                <w:sz w:val="20"/>
                <w:szCs w:val="20"/>
                <w:color w:val="auto"/>
              </w:rPr>
            </w:pPr>
          </w:p>
        </w:tc>
        <w:tc>
          <w:tcPr>
            <w:tcW w:w="240" w:type="dxa"/>
            <w:vAlign w:val="bottom"/>
            <w:vMerge w:val="continue"/>
          </w:tcPr>
          <w:p>
            <w:pPr>
              <w:spacing w:after="0"/>
              <w:rPr>
                <w:sz w:val="20"/>
                <w:szCs w:val="20"/>
                <w:color w:val="auto"/>
              </w:rPr>
            </w:pPr>
          </w:p>
        </w:tc>
        <w:tc>
          <w:tcPr>
            <w:tcW w:w="1300" w:type="dxa"/>
            <w:vAlign w:val="bottom"/>
            <w:vMerge w:val="continue"/>
          </w:tcPr>
          <w:p>
            <w:pPr>
              <w:spacing w:after="0"/>
              <w:rPr>
                <w:sz w:val="20"/>
                <w:szCs w:val="20"/>
                <w:color w:val="auto"/>
              </w:rPr>
            </w:pPr>
          </w:p>
        </w:tc>
        <w:tc>
          <w:tcPr>
            <w:tcW w:w="240" w:type="dxa"/>
            <w:vAlign w:val="bottom"/>
            <w:vMerge w:val="continue"/>
          </w:tcPr>
          <w:p>
            <w:pPr>
              <w:spacing w:after="0"/>
              <w:rPr>
                <w:sz w:val="20"/>
                <w:szCs w:val="20"/>
                <w:color w:val="auto"/>
              </w:rPr>
            </w:pPr>
          </w:p>
        </w:tc>
        <w:tc>
          <w:tcPr>
            <w:tcW w:w="1480" w:type="dxa"/>
            <w:vAlign w:val="bottom"/>
            <w:vMerge w:val="continue"/>
          </w:tcPr>
          <w:p>
            <w:pPr>
              <w:spacing w:after="0"/>
              <w:rPr>
                <w:sz w:val="20"/>
                <w:szCs w:val="20"/>
                <w:color w:val="auto"/>
              </w:rPr>
            </w:pPr>
          </w:p>
        </w:tc>
        <w:tc>
          <w:tcPr>
            <w:tcW w:w="260" w:type="dxa"/>
            <w:vAlign w:val="bottom"/>
            <w:vMerge w:val="continue"/>
          </w:tcPr>
          <w:p>
            <w:pPr>
              <w:spacing w:after="0"/>
              <w:rPr>
                <w:sz w:val="20"/>
                <w:szCs w:val="20"/>
                <w:color w:val="auto"/>
              </w:rPr>
            </w:pPr>
          </w:p>
        </w:tc>
        <w:tc>
          <w:tcPr>
            <w:tcW w:w="1140" w:type="dxa"/>
            <w:vAlign w:val="bottom"/>
            <w:vMerge w:val="continue"/>
          </w:tcPr>
          <w:p>
            <w:pPr>
              <w:spacing w:after="0"/>
              <w:rPr>
                <w:sz w:val="20"/>
                <w:szCs w:val="20"/>
                <w:color w:val="auto"/>
              </w:rPr>
            </w:pPr>
          </w:p>
        </w:tc>
        <w:tc>
          <w:tcPr>
            <w:tcW w:w="240" w:type="dxa"/>
            <w:vAlign w:val="bottom"/>
            <w:vMerge w:val="continue"/>
          </w:tcPr>
          <w:p>
            <w:pPr>
              <w:spacing w:after="0"/>
              <w:rPr>
                <w:sz w:val="20"/>
                <w:szCs w:val="20"/>
                <w:color w:val="auto"/>
              </w:rPr>
            </w:pPr>
          </w:p>
        </w:tc>
        <w:tc>
          <w:tcPr>
            <w:tcW w:w="1140" w:type="dxa"/>
            <w:vAlign w:val="bottom"/>
            <w:vMerge w:val="continue"/>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ectPr>
          <w:pgSz w:w="11900" w:h="16843" w:orient="portrait"/>
          <w:cols w:equalWidth="0" w:num="1">
            <w:col w:w="11460"/>
          </w:cols>
          <w:pgMar w:left="240" w:top="120" w:right="199" w:bottom="0" w:gutter="0" w:footer="0" w:header="0"/>
        </w:sectPr>
      </w:pPr>
    </w:p>
    <w:bookmarkStart w:id="19" w:name="page20"/>
    <w:bookmarkEnd w:id="1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40" w:type="dxa"/>
            <w:vAlign w:val="bottom"/>
          </w:tcPr>
          <w:p>
            <w:pPr>
              <w:spacing w:after="0"/>
              <w:rPr>
                <w:sz w:val="20"/>
                <w:szCs w:val="20"/>
                <w:color w:val="auto"/>
              </w:rPr>
            </w:pPr>
            <w:r>
              <w:rPr>
                <w:rFonts w:ascii="Arial" w:cs="Arial" w:eastAsia="Arial" w:hAnsi="Arial"/>
                <w:sz w:val="18"/>
                <w:szCs w:val="18"/>
                <w:color w:val="auto"/>
              </w:rPr>
              <w:t>Available-for-sale securities:</w:t>
            </w:r>
          </w:p>
        </w:tc>
        <w:tc>
          <w:tcPr>
            <w:tcW w:w="2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Purchases</w:t>
            </w:r>
          </w:p>
        </w:tc>
        <w:tc>
          <w:tcPr>
            <w:tcW w:w="2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(3,827.7)</w:t>
            </w: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(570.9)</w:t>
            </w: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14.2</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(4,384.4)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40" w:type="dxa"/>
            <w:vAlign w:val="bottom"/>
          </w:tcPr>
          <w:p>
            <w:pPr>
              <w:ind w:left="180"/>
              <w:spacing w:after="0"/>
              <w:rPr>
                <w:sz w:val="20"/>
                <w:szCs w:val="20"/>
                <w:color w:val="auto"/>
              </w:rPr>
            </w:pPr>
            <w:r>
              <w:rPr>
                <w:rFonts w:ascii="Arial" w:cs="Arial" w:eastAsia="Arial" w:hAnsi="Arial"/>
                <w:sz w:val="18"/>
                <w:szCs w:val="18"/>
                <w:color w:val="auto"/>
              </w:rPr>
              <w:t>Sales</w:t>
            </w:r>
          </w:p>
        </w:tc>
        <w:tc>
          <w:tcPr>
            <w:tcW w:w="2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490.7</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254.6</w:t>
            </w: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745.3</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Maturities</w:t>
            </w:r>
          </w:p>
        </w:tc>
        <w:tc>
          <w:tcPr>
            <w:tcW w:w="2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1,777.7</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95.3</w:t>
            </w: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1,873.0</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40" w:type="dxa"/>
            <w:vAlign w:val="bottom"/>
          </w:tcPr>
          <w:p>
            <w:pPr>
              <w:spacing w:after="0"/>
              <w:rPr>
                <w:sz w:val="20"/>
                <w:szCs w:val="20"/>
                <w:color w:val="auto"/>
              </w:rPr>
            </w:pPr>
            <w:r>
              <w:rPr>
                <w:rFonts w:ascii="Arial" w:cs="Arial" w:eastAsia="Arial" w:hAnsi="Arial"/>
                <w:sz w:val="18"/>
                <w:szCs w:val="18"/>
                <w:color w:val="auto"/>
              </w:rPr>
              <w:t>Mortgage loans acquired or originated</w:t>
            </w:r>
          </w:p>
        </w:tc>
        <w:tc>
          <w:tcPr>
            <w:tcW w:w="2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(1,352.5)</w:t>
            </w:r>
          </w:p>
        </w:tc>
        <w:tc>
          <w:tcPr>
            <w:tcW w:w="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(235.1)</w:t>
            </w:r>
          </w:p>
        </w:tc>
        <w:tc>
          <w:tcPr>
            <w:tcW w:w="3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45.1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(1,542.5)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Mortgage loans sold or repaid</w:t>
            </w:r>
          </w:p>
        </w:tc>
        <w:tc>
          <w:tcPr>
            <w:tcW w:w="2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1,066.6</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163.5</w:t>
            </w: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(37.8)</w:t>
            </w: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1,192.3</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40" w:type="dxa"/>
            <w:vAlign w:val="bottom"/>
          </w:tcPr>
          <w:p>
            <w:pPr>
              <w:spacing w:after="0"/>
              <w:rPr>
                <w:sz w:val="20"/>
                <w:szCs w:val="20"/>
                <w:color w:val="auto"/>
              </w:rPr>
            </w:pPr>
            <w:r>
              <w:rPr>
                <w:rFonts w:ascii="Arial" w:cs="Arial" w:eastAsia="Arial" w:hAnsi="Arial"/>
                <w:sz w:val="18"/>
                <w:szCs w:val="18"/>
                <w:color w:val="auto"/>
              </w:rPr>
              <w:t>Real estate acquired</w:t>
            </w:r>
          </w:p>
        </w:tc>
        <w:tc>
          <w:tcPr>
            <w:tcW w:w="2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(11.2)</w:t>
            </w:r>
          </w:p>
        </w:tc>
        <w:tc>
          <w:tcPr>
            <w:tcW w:w="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(7.5)</w:t>
            </w:r>
          </w:p>
        </w:tc>
        <w:tc>
          <w:tcPr>
            <w:tcW w:w="3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(18.7)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Real estate sold</w:t>
            </w:r>
          </w:p>
        </w:tc>
        <w:tc>
          <w:tcPr>
            <w:tcW w:w="2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0.1</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11.3</w:t>
            </w: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11.4</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40" w:type="dxa"/>
            <w:vAlign w:val="bottom"/>
          </w:tcPr>
          <w:p>
            <w:pPr>
              <w:spacing w:after="0"/>
              <w:rPr>
                <w:sz w:val="20"/>
                <w:szCs w:val="20"/>
                <w:color w:val="auto"/>
              </w:rPr>
            </w:pPr>
            <w:r>
              <w:rPr>
                <w:rFonts w:ascii="Arial" w:cs="Arial" w:eastAsia="Arial" w:hAnsi="Arial"/>
                <w:sz w:val="18"/>
                <w:szCs w:val="18"/>
                <w:color w:val="auto"/>
              </w:rPr>
              <w:t>Net purchases of property and equipment</w:t>
            </w:r>
          </w:p>
        </w:tc>
        <w:tc>
          <w:tcPr>
            <w:tcW w:w="2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(17.8)</w:t>
            </w:r>
          </w:p>
        </w:tc>
        <w:tc>
          <w:tcPr>
            <w:tcW w:w="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(5.4)</w:t>
            </w:r>
          </w:p>
        </w:tc>
        <w:tc>
          <w:tcPr>
            <w:tcW w:w="3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(23.2)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6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3"/>
              </w:rPr>
              <w:t>Purchases of interest in subsidiaries, net of cash</w:t>
            </w:r>
          </w:p>
        </w:tc>
        <w:tc>
          <w:tcPr>
            <w:tcW w:w="2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18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(5.5)</w:t>
            </w:r>
          </w:p>
        </w:tc>
        <w:tc>
          <w:tcPr>
            <w:tcW w:w="300" w:type="dxa"/>
            <w:vAlign w:val="bottom"/>
            <w:shd w:val="clear" w:color="auto" w:fill="CCEEFF"/>
          </w:tcPr>
          <w:p>
            <w:pPr>
              <w:spacing w:after="0"/>
              <w:rPr>
                <w:sz w:val="17"/>
                <w:szCs w:val="17"/>
                <w:color w:val="auto"/>
              </w:rPr>
            </w:pPr>
          </w:p>
        </w:tc>
        <w:tc>
          <w:tcPr>
            <w:tcW w:w="96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00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(5.5)</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acquired</w:t>
            </w:r>
          </w:p>
        </w:tc>
        <w:tc>
          <w:tcPr>
            <w:tcW w:w="20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840" w:type="dxa"/>
            <w:vAlign w:val="bottom"/>
            <w:vMerge w:val="continue"/>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32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1180" w:type="dxa"/>
            <w:vAlign w:val="bottom"/>
            <w:gridSpan w:val="2"/>
            <w:vMerge w:val="continue"/>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960" w:type="dxa"/>
            <w:vAlign w:val="bottom"/>
            <w:gridSpan w:val="2"/>
            <w:vMerge w:val="continue"/>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1000" w:type="dxa"/>
            <w:vAlign w:val="bottom"/>
            <w:gridSpan w:val="2"/>
            <w:vMerge w:val="continue"/>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640" w:type="dxa"/>
            <w:vAlign w:val="bottom"/>
          </w:tcPr>
          <w:p>
            <w:pPr>
              <w:spacing w:after="0" w:line="201" w:lineRule="exact"/>
              <w:rPr>
                <w:sz w:val="20"/>
                <w:szCs w:val="20"/>
                <w:color w:val="auto"/>
              </w:rPr>
            </w:pPr>
            <w:r>
              <w:rPr>
                <w:rFonts w:ascii="Arial" w:cs="Arial" w:eastAsia="Arial" w:hAnsi="Arial"/>
                <w:sz w:val="18"/>
                <w:szCs w:val="18"/>
                <w:color w:val="auto"/>
              </w:rPr>
              <w:t>Dividends received from (contributions to)</w:t>
            </w:r>
          </w:p>
        </w:tc>
        <w:tc>
          <w:tcPr>
            <w:tcW w:w="2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876.3</w:t>
            </w:r>
          </w:p>
        </w:tc>
        <w:tc>
          <w:tcPr>
            <w:tcW w:w="2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2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(240.1)</w:t>
            </w: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9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975.0</w:t>
            </w:r>
          </w:p>
        </w:tc>
        <w:tc>
          <w:tcPr>
            <w:tcW w:w="2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60" w:type="dxa"/>
            <w:vAlign w:val="bottom"/>
            <w:gridSpan w:val="2"/>
            <w:vMerge w:val="restart"/>
          </w:tcPr>
          <w:p>
            <w:pPr>
              <w:jc w:val="right"/>
              <w:ind w:right="80"/>
              <w:spacing w:after="0"/>
              <w:rPr>
                <w:sz w:val="20"/>
                <w:szCs w:val="20"/>
                <w:color w:val="auto"/>
              </w:rPr>
            </w:pPr>
            <w:r>
              <w:rPr>
                <w:rFonts w:ascii="Arial" w:cs="Arial" w:eastAsia="Arial" w:hAnsi="Arial"/>
                <w:sz w:val="18"/>
                <w:szCs w:val="18"/>
                <w:b w:val="1"/>
                <w:bCs w:val="1"/>
                <w:color w:val="auto"/>
              </w:rPr>
              <w:t>(1,611.2)</w:t>
            </w: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00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40" w:type="dxa"/>
            <w:vAlign w:val="bottom"/>
          </w:tcPr>
          <w:p>
            <w:pPr>
              <w:ind w:left="180"/>
              <w:spacing w:after="0"/>
              <w:rPr>
                <w:sz w:val="20"/>
                <w:szCs w:val="20"/>
                <w:color w:val="auto"/>
              </w:rPr>
            </w:pPr>
            <w:r>
              <w:rPr>
                <w:rFonts w:ascii="Arial" w:cs="Arial" w:eastAsia="Arial" w:hAnsi="Arial"/>
                <w:sz w:val="18"/>
                <w:szCs w:val="18"/>
                <w:color w:val="auto"/>
              </w:rPr>
              <w:t>unconsolidated entities</w:t>
            </w:r>
          </w:p>
        </w:tc>
        <w:tc>
          <w:tcPr>
            <w:tcW w:w="2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840" w:type="dxa"/>
            <w:vAlign w:val="bottom"/>
            <w:vMerge w:val="continue"/>
          </w:tcPr>
          <w:p>
            <w:pPr>
              <w:spacing w:after="0"/>
              <w:rPr>
                <w:sz w:val="20"/>
                <w:szCs w:val="20"/>
                <w:color w:val="auto"/>
              </w:rPr>
            </w:pP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920" w:type="dxa"/>
            <w:vAlign w:val="bottom"/>
            <w:vMerge w:val="continue"/>
          </w:tcPr>
          <w:p>
            <w:pPr>
              <w:spacing w:after="0"/>
              <w:rPr>
                <w:sz w:val="20"/>
                <w:szCs w:val="20"/>
                <w:color w:val="auto"/>
              </w:rPr>
            </w:pP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6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00" w:type="dxa"/>
            <w:vAlign w:val="bottom"/>
            <w:gridSpan w:val="2"/>
            <w:vMerge w:val="continue"/>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Net change in other investments</w:t>
            </w:r>
          </w:p>
        </w:tc>
        <w:tc>
          <w:tcPr>
            <w:tcW w:w="200" w:type="dxa"/>
            <w:vAlign w:val="bottom"/>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¾</w:t>
            </w:r>
          </w:p>
        </w:tc>
        <w:tc>
          <w:tcPr>
            <w:tcW w:w="24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5.0</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63.7</w:t>
            </w:r>
          </w:p>
        </w:tc>
        <w:tc>
          <w:tcPr>
            <w:tcW w:w="26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15.6</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84.3</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2"/>
        </w:trPr>
        <w:tc>
          <w:tcPr>
            <w:tcW w:w="3640" w:type="dxa"/>
            <w:vAlign w:val="bottom"/>
          </w:tcPr>
          <w:p>
            <w:pPr>
              <w:spacing w:after="0" w:line="182" w:lineRule="exact"/>
              <w:rPr>
                <w:sz w:val="20"/>
                <w:szCs w:val="20"/>
                <w:color w:val="auto"/>
              </w:rPr>
            </w:pPr>
            <w:r>
              <w:rPr>
                <w:rFonts w:ascii="Arial" w:cs="Arial" w:eastAsia="Arial" w:hAnsi="Arial"/>
                <w:sz w:val="18"/>
                <w:szCs w:val="18"/>
                <w:color w:val="auto"/>
              </w:rPr>
              <w:t>Net cash provided by (used in) investing</w:t>
            </w:r>
          </w:p>
        </w:tc>
        <w:tc>
          <w:tcPr>
            <w:tcW w:w="680" w:type="dxa"/>
            <w:vAlign w:val="bottom"/>
            <w:gridSpan w:val="2"/>
            <w:vMerge w:val="restart"/>
          </w:tcPr>
          <w:p>
            <w:pPr>
              <w:jc w:val="right"/>
              <w:ind w:right="400"/>
              <w:spacing w:after="0"/>
              <w:rPr>
                <w:sz w:val="20"/>
                <w:szCs w:val="20"/>
                <w:color w:val="auto"/>
              </w:rPr>
            </w:pPr>
            <w:r>
              <w:rPr>
                <w:rFonts w:ascii="Arial" w:cs="Arial" w:eastAsia="Arial" w:hAnsi="Arial"/>
                <w:sz w:val="18"/>
                <w:szCs w:val="18"/>
                <w:b w:val="1"/>
                <w:bCs w:val="1"/>
                <w:color w:val="auto"/>
              </w:rPr>
              <w:t>$</w:t>
            </w:r>
          </w:p>
        </w:tc>
        <w:tc>
          <w:tcPr>
            <w:tcW w:w="8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876.3</w:t>
            </w:r>
          </w:p>
        </w:tc>
        <w:tc>
          <w:tcPr>
            <w:tcW w:w="400" w:type="dxa"/>
            <w:vAlign w:val="bottom"/>
            <w:gridSpan w:val="2"/>
            <w:vMerge w:val="restart"/>
          </w:tcPr>
          <w:p>
            <w:pPr>
              <w:jc w:val="right"/>
              <w:ind w:right="80"/>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(2,109.2)</w:t>
            </w:r>
          </w:p>
        </w:tc>
        <w:tc>
          <w:tcPr>
            <w:tcW w:w="640" w:type="dxa"/>
            <w:vAlign w:val="bottom"/>
            <w:gridSpan w:val="2"/>
            <w:vMerge w:val="restart"/>
          </w:tcPr>
          <w:p>
            <w:pPr>
              <w:jc w:val="right"/>
              <w:ind w:right="460"/>
              <w:spacing w:after="0"/>
              <w:rPr>
                <w:sz w:val="20"/>
                <w:szCs w:val="20"/>
                <w:color w:val="auto"/>
              </w:rPr>
            </w:pPr>
            <w:r>
              <w:rPr>
                <w:rFonts w:ascii="Arial" w:cs="Arial" w:eastAsia="Arial" w:hAnsi="Arial"/>
                <w:sz w:val="18"/>
                <w:szCs w:val="18"/>
                <w:b w:val="1"/>
                <w:bCs w:val="1"/>
                <w:color w:val="auto"/>
              </w:rPr>
              <w:t>$</w:t>
            </w:r>
          </w:p>
        </w:tc>
        <w:tc>
          <w:tcPr>
            <w:tcW w:w="9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739.0</w:t>
            </w:r>
          </w:p>
        </w:tc>
        <w:tc>
          <w:tcPr>
            <w:tcW w:w="260" w:type="dxa"/>
            <w:vAlign w:val="bottom"/>
          </w:tcPr>
          <w:p>
            <w:pPr>
              <w:spacing w:after="0"/>
              <w:rPr>
                <w:sz w:val="15"/>
                <w:szCs w:val="15"/>
                <w:color w:val="auto"/>
              </w:rPr>
            </w:pPr>
          </w:p>
        </w:tc>
        <w:tc>
          <w:tcPr>
            <w:tcW w:w="300" w:type="dxa"/>
            <w:vAlign w:val="bottom"/>
            <w:vMerge w:val="restart"/>
          </w:tcPr>
          <w:p>
            <w:pPr>
              <w:jc w:val="right"/>
              <w:ind w:right="145"/>
              <w:spacing w:after="0"/>
              <w:rPr>
                <w:sz w:val="20"/>
                <w:szCs w:val="20"/>
                <w:color w:val="auto"/>
              </w:rPr>
            </w:pPr>
            <w:r>
              <w:rPr>
                <w:rFonts w:ascii="Arial" w:cs="Arial" w:eastAsia="Arial" w:hAnsi="Arial"/>
                <w:sz w:val="15"/>
                <w:szCs w:val="15"/>
                <w:b w:val="1"/>
                <w:bCs w:val="1"/>
                <w:color w:val="auto"/>
                <w:w w:val="71"/>
              </w:rPr>
              <w:t>$</w:t>
            </w:r>
          </w:p>
        </w:tc>
        <w:tc>
          <w:tcPr>
            <w:tcW w:w="960" w:type="dxa"/>
            <w:vAlign w:val="bottom"/>
            <w:gridSpan w:val="2"/>
            <w:vMerge w:val="restart"/>
          </w:tcPr>
          <w:p>
            <w:pPr>
              <w:jc w:val="right"/>
              <w:ind w:right="80"/>
              <w:spacing w:after="0"/>
              <w:rPr>
                <w:sz w:val="20"/>
                <w:szCs w:val="20"/>
                <w:color w:val="auto"/>
              </w:rPr>
            </w:pPr>
            <w:r>
              <w:rPr>
                <w:rFonts w:ascii="Arial" w:cs="Arial" w:eastAsia="Arial" w:hAnsi="Arial"/>
                <w:sz w:val="18"/>
                <w:szCs w:val="18"/>
                <w:b w:val="1"/>
                <w:bCs w:val="1"/>
                <w:color w:val="auto"/>
              </w:rPr>
              <w:t>(1,574.1)</w:t>
            </w:r>
          </w:p>
        </w:tc>
        <w:tc>
          <w:tcPr>
            <w:tcW w:w="460" w:type="dxa"/>
            <w:vAlign w:val="bottom"/>
            <w:gridSpan w:val="2"/>
            <w:vMerge w:val="restart"/>
          </w:tcPr>
          <w:p>
            <w:pPr>
              <w:jc w:val="right"/>
              <w:ind w:right="280"/>
              <w:spacing w:after="0"/>
              <w:rPr>
                <w:sz w:val="20"/>
                <w:szCs w:val="20"/>
                <w:color w:val="auto"/>
              </w:rPr>
            </w:pPr>
            <w:r>
              <w:rPr>
                <w:rFonts w:ascii="Arial" w:cs="Arial" w:eastAsia="Arial" w:hAnsi="Arial"/>
                <w:sz w:val="18"/>
                <w:szCs w:val="18"/>
                <w:b w:val="1"/>
                <w:bCs w:val="1"/>
                <w:color w:val="auto"/>
              </w:rPr>
              <w:t>$</w:t>
            </w:r>
          </w:p>
        </w:tc>
        <w:tc>
          <w:tcPr>
            <w:tcW w:w="1000" w:type="dxa"/>
            <w:vAlign w:val="bottom"/>
            <w:gridSpan w:val="2"/>
            <w:vMerge w:val="restart"/>
          </w:tcPr>
          <w:p>
            <w:pPr>
              <w:jc w:val="right"/>
              <w:ind w:right="20"/>
              <w:spacing w:after="0"/>
              <w:rPr>
                <w:sz w:val="20"/>
                <w:szCs w:val="20"/>
                <w:color w:val="auto"/>
              </w:rPr>
            </w:pPr>
            <w:r>
              <w:rPr>
                <w:rFonts w:ascii="Arial" w:cs="Arial" w:eastAsia="Arial" w:hAnsi="Arial"/>
                <w:sz w:val="18"/>
                <w:szCs w:val="18"/>
                <w:b w:val="1"/>
                <w:bCs w:val="1"/>
                <w:color w:val="auto"/>
              </w:rPr>
              <w:t>(2,068.0)</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3640" w:type="dxa"/>
            <w:vAlign w:val="bottom"/>
          </w:tcPr>
          <w:p>
            <w:pPr>
              <w:ind w:left="180"/>
              <w:spacing w:after="0"/>
              <w:rPr>
                <w:sz w:val="20"/>
                <w:szCs w:val="20"/>
                <w:color w:val="auto"/>
              </w:rPr>
            </w:pPr>
            <w:r>
              <w:rPr>
                <w:rFonts w:ascii="Arial" w:cs="Arial" w:eastAsia="Arial" w:hAnsi="Arial"/>
                <w:sz w:val="18"/>
                <w:szCs w:val="18"/>
                <w:color w:val="auto"/>
              </w:rPr>
              <w:t>activities</w:t>
            </w:r>
          </w:p>
        </w:tc>
        <w:tc>
          <w:tcPr>
            <w:tcW w:w="680" w:type="dxa"/>
            <w:vAlign w:val="bottom"/>
            <w:gridSpan w:val="2"/>
            <w:vMerge w:val="continue"/>
          </w:tcPr>
          <w:p>
            <w:pPr>
              <w:spacing w:after="0"/>
              <w:rPr>
                <w:sz w:val="20"/>
                <w:szCs w:val="20"/>
                <w:color w:val="auto"/>
              </w:rPr>
            </w:pPr>
          </w:p>
        </w:tc>
        <w:tc>
          <w:tcPr>
            <w:tcW w:w="840" w:type="dxa"/>
            <w:vAlign w:val="bottom"/>
            <w:vMerge w:val="continue"/>
          </w:tcPr>
          <w:p>
            <w:pPr>
              <w:spacing w:after="0"/>
              <w:rPr>
                <w:sz w:val="20"/>
                <w:szCs w:val="20"/>
                <w:color w:val="auto"/>
              </w:rPr>
            </w:pPr>
          </w:p>
        </w:tc>
        <w:tc>
          <w:tcPr>
            <w:tcW w:w="400" w:type="dxa"/>
            <w:vAlign w:val="bottom"/>
            <w:gridSpan w:val="2"/>
            <w:vMerge w:val="continue"/>
          </w:tcPr>
          <w:p>
            <w:pPr>
              <w:spacing w:after="0"/>
              <w:rPr>
                <w:sz w:val="20"/>
                <w:szCs w:val="20"/>
                <w:color w:val="auto"/>
              </w:rPr>
            </w:pPr>
          </w:p>
        </w:tc>
        <w:tc>
          <w:tcPr>
            <w:tcW w:w="1320" w:type="dxa"/>
            <w:vAlign w:val="bottom"/>
            <w:gridSpan w:val="2"/>
            <w:vMerge w:val="continue"/>
          </w:tcPr>
          <w:p>
            <w:pPr>
              <w:spacing w:after="0"/>
              <w:rPr>
                <w:sz w:val="20"/>
                <w:szCs w:val="20"/>
                <w:color w:val="auto"/>
              </w:rPr>
            </w:pPr>
          </w:p>
        </w:tc>
        <w:tc>
          <w:tcPr>
            <w:tcW w:w="640" w:type="dxa"/>
            <w:vAlign w:val="bottom"/>
            <w:gridSpan w:val="2"/>
            <w:vMerge w:val="continue"/>
          </w:tcPr>
          <w:p>
            <w:pPr>
              <w:spacing w:after="0"/>
              <w:rPr>
                <w:sz w:val="20"/>
                <w:szCs w:val="20"/>
                <w:color w:val="auto"/>
              </w:rPr>
            </w:pPr>
          </w:p>
        </w:tc>
        <w:tc>
          <w:tcPr>
            <w:tcW w:w="920" w:type="dxa"/>
            <w:vAlign w:val="bottom"/>
            <w:vMerge w:val="continue"/>
          </w:tcPr>
          <w:p>
            <w:pPr>
              <w:spacing w:after="0"/>
              <w:rPr>
                <w:sz w:val="20"/>
                <w:szCs w:val="20"/>
                <w:color w:val="auto"/>
              </w:rPr>
            </w:pPr>
          </w:p>
        </w:tc>
        <w:tc>
          <w:tcPr>
            <w:tcW w:w="260" w:type="dxa"/>
            <w:vAlign w:val="bottom"/>
          </w:tcPr>
          <w:p>
            <w:pPr>
              <w:spacing w:after="0"/>
              <w:rPr>
                <w:sz w:val="20"/>
                <w:szCs w:val="20"/>
                <w:color w:val="auto"/>
              </w:rPr>
            </w:pPr>
          </w:p>
        </w:tc>
        <w:tc>
          <w:tcPr>
            <w:tcW w:w="300" w:type="dxa"/>
            <w:vAlign w:val="bottom"/>
            <w:vMerge w:val="continue"/>
          </w:tcPr>
          <w:p>
            <w:pPr>
              <w:spacing w:after="0"/>
              <w:rPr>
                <w:sz w:val="20"/>
                <w:szCs w:val="20"/>
                <w:color w:val="auto"/>
              </w:rPr>
            </w:pPr>
          </w:p>
        </w:tc>
        <w:tc>
          <w:tcPr>
            <w:tcW w:w="960" w:type="dxa"/>
            <w:vAlign w:val="bottom"/>
            <w:gridSpan w:val="2"/>
            <w:vMerge w:val="continue"/>
          </w:tcPr>
          <w:p>
            <w:pPr>
              <w:spacing w:after="0"/>
              <w:rPr>
                <w:sz w:val="20"/>
                <w:szCs w:val="20"/>
                <w:color w:val="auto"/>
              </w:rPr>
            </w:pPr>
          </w:p>
        </w:tc>
        <w:tc>
          <w:tcPr>
            <w:tcW w:w="460" w:type="dxa"/>
            <w:vAlign w:val="bottom"/>
            <w:gridSpan w:val="2"/>
            <w:vMerge w:val="continue"/>
          </w:tcPr>
          <w:p>
            <w:pPr>
              <w:spacing w:after="0"/>
              <w:rPr>
                <w:sz w:val="20"/>
                <w:szCs w:val="20"/>
                <w:color w:val="auto"/>
              </w:rPr>
            </w:pPr>
          </w:p>
        </w:tc>
        <w:tc>
          <w:tcPr>
            <w:tcW w:w="1000" w:type="dxa"/>
            <w:vAlign w:val="bottom"/>
            <w:gridSpan w:val="2"/>
            <w:vMerge w:val="continue"/>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864"/>
        </w:trPr>
        <w:tc>
          <w:tcPr>
            <w:tcW w:w="3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830"/>
              <w:spacing w:after="0"/>
              <w:rPr>
                <w:sz w:val="20"/>
                <w:szCs w:val="20"/>
                <w:color w:val="auto"/>
              </w:rPr>
            </w:pPr>
            <w:r>
              <w:rPr>
                <w:rFonts w:ascii="Arial" w:cs="Arial" w:eastAsia="Arial" w:hAnsi="Arial"/>
                <w:sz w:val="18"/>
                <w:szCs w:val="18"/>
                <w:color w:val="auto"/>
              </w:rPr>
              <w:t>28</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364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480" w:type="dxa"/>
            <w:vAlign w:val="bottom"/>
            <w:tcBorders>
              <w:bottom w:val="single" w:sz="8" w:color="010101"/>
            </w:tcBorders>
          </w:tcPr>
          <w:p>
            <w:pPr>
              <w:spacing w:after="0"/>
              <w:rPr>
                <w:sz w:val="24"/>
                <w:szCs w:val="24"/>
                <w:color w:val="auto"/>
              </w:rPr>
            </w:pPr>
          </w:p>
        </w:tc>
        <w:tc>
          <w:tcPr>
            <w:tcW w:w="84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116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560" w:type="dxa"/>
            <w:vAlign w:val="bottom"/>
            <w:tcBorders>
              <w:bottom w:val="single" w:sz="8" w:color="010101"/>
            </w:tcBorders>
          </w:tcPr>
          <w:p>
            <w:pPr>
              <w:spacing w:after="0"/>
              <w:rPr>
                <w:sz w:val="24"/>
                <w:szCs w:val="24"/>
                <w:color w:val="auto"/>
              </w:rPr>
            </w:pPr>
          </w:p>
        </w:tc>
        <w:tc>
          <w:tcPr>
            <w:tcW w:w="92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300" w:type="dxa"/>
            <w:vAlign w:val="bottom"/>
            <w:tcBorders>
              <w:bottom w:val="single" w:sz="8" w:color="010101"/>
            </w:tcBorders>
          </w:tcPr>
          <w:p>
            <w:pPr>
              <w:spacing w:after="0"/>
              <w:rPr>
                <w:sz w:val="24"/>
                <w:szCs w:val="24"/>
                <w:color w:val="auto"/>
              </w:rPr>
            </w:pPr>
          </w:p>
        </w:tc>
        <w:tc>
          <w:tcPr>
            <w:tcW w:w="82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380" w:type="dxa"/>
            <w:vAlign w:val="bottom"/>
            <w:tcBorders>
              <w:bottom w:val="single" w:sz="8" w:color="010101"/>
            </w:tcBorders>
          </w:tcPr>
          <w:p>
            <w:pPr>
              <w:spacing w:after="0"/>
              <w:rPr>
                <w:sz w:val="24"/>
                <w:szCs w:val="24"/>
                <w:color w:val="auto"/>
              </w:rPr>
            </w:pPr>
          </w:p>
        </w:tc>
        <w:tc>
          <w:tcPr>
            <w:tcW w:w="92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Cash Flows (continued)</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six months ended June 30, 2006</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1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4"/>
              </w:rPr>
              <w:t>Principal</w:t>
            </w: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tcPr>
          <w:p>
            <w:pPr>
              <w:jc w:val="center"/>
              <w:ind w:right="400"/>
              <w:spacing w:after="0" w:line="135" w:lineRule="exact"/>
              <w:rPr>
                <w:sz w:val="20"/>
                <w:szCs w:val="20"/>
                <w:color w:val="auto"/>
              </w:rPr>
            </w:pPr>
            <w:r>
              <w:rPr>
                <w:rFonts w:ascii="Arial" w:cs="Arial" w:eastAsia="Arial" w:hAnsi="Arial"/>
                <w:sz w:val="14"/>
                <w:szCs w:val="14"/>
                <w:b w:val="1"/>
                <w:bCs w:val="1"/>
                <w:color w:val="auto"/>
                <w:w w:val="95"/>
              </w:rPr>
              <w:t>Financial</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7"/>
              </w:rPr>
              <w:t>Principal</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97"/>
              </w:rPr>
              <w:t>Principal Life</w:t>
            </w:r>
          </w:p>
        </w:tc>
        <w:tc>
          <w:tcPr>
            <w:tcW w:w="140" w:type="dxa"/>
            <w:vAlign w:val="bottom"/>
          </w:tcPr>
          <w:p>
            <w:pPr>
              <w:spacing w:after="0"/>
              <w:rPr>
                <w:sz w:val="11"/>
                <w:szCs w:val="11"/>
                <w:color w:val="auto"/>
              </w:rPr>
            </w:pPr>
          </w:p>
        </w:tc>
        <w:tc>
          <w:tcPr>
            <w:tcW w:w="126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89"/>
              </w:rPr>
              <w:t>Services, Inc.</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4"/>
              </w:rPr>
              <w:t>Principal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tcPr>
          <w:p>
            <w:pPr>
              <w:jc w:val="center"/>
              <w:ind w:right="420"/>
              <w:spacing w:after="0" w:line="135" w:lineRule="exact"/>
              <w:rPr>
                <w:sz w:val="20"/>
                <w:szCs w:val="20"/>
                <w:color w:val="auto"/>
              </w:rPr>
            </w:pPr>
            <w:r>
              <w:rPr>
                <w:rFonts w:ascii="Arial" w:cs="Arial" w:eastAsia="Arial" w:hAnsi="Arial"/>
                <w:sz w:val="14"/>
                <w:szCs w:val="14"/>
                <w:b w:val="1"/>
                <w:bCs w:val="1"/>
                <w:color w:val="auto"/>
                <w:w w:val="96"/>
              </w:rPr>
              <w:t>and</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2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5"/>
              </w:rPr>
              <w:t>Financial</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2"/>
          </w:tcPr>
          <w:p>
            <w:pPr>
              <w:jc w:val="center"/>
              <w:ind w:right="420"/>
              <w:spacing w:after="0" w:line="135" w:lineRule="exact"/>
              <w:rPr>
                <w:sz w:val="20"/>
                <w:szCs w:val="20"/>
                <w:color w:val="auto"/>
              </w:rPr>
            </w:pPr>
            <w:r>
              <w:rPr>
                <w:rFonts w:ascii="Arial" w:cs="Arial" w:eastAsia="Arial" w:hAnsi="Arial"/>
                <w:sz w:val="14"/>
                <w:szCs w:val="14"/>
                <w:b w:val="1"/>
                <w:bCs w:val="1"/>
                <w:color w:val="auto"/>
                <w:w w:val="93"/>
              </w:rPr>
              <w:t>Insurance</w:t>
            </w:r>
          </w:p>
        </w:tc>
        <w:tc>
          <w:tcPr>
            <w:tcW w:w="140" w:type="dxa"/>
            <w:vAlign w:val="bottom"/>
          </w:tcPr>
          <w:p>
            <w:pPr>
              <w:spacing w:after="0"/>
              <w:rPr>
                <w:sz w:val="11"/>
                <w:szCs w:val="11"/>
                <w:color w:val="auto"/>
              </w:rPr>
            </w:pPr>
          </w:p>
        </w:tc>
        <w:tc>
          <w:tcPr>
            <w:tcW w:w="126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6"/>
              </w:rPr>
              <w:t>Other</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2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5"/>
              </w:rPr>
              <w:t>Financial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4"/>
              </w:rPr>
              <w:t>Group, Inc.</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2"/>
          </w:tcPr>
          <w:p>
            <w:pPr>
              <w:jc w:val="center"/>
              <w:ind w:right="360"/>
              <w:spacing w:after="0" w:line="135" w:lineRule="exact"/>
              <w:rPr>
                <w:sz w:val="20"/>
                <w:szCs w:val="20"/>
                <w:color w:val="auto"/>
              </w:rPr>
            </w:pPr>
            <w:r>
              <w:rPr>
                <w:rFonts w:ascii="Arial" w:cs="Arial" w:eastAsia="Arial" w:hAnsi="Arial"/>
                <w:sz w:val="14"/>
                <w:szCs w:val="14"/>
                <w:b w:val="1"/>
                <w:bCs w:val="1"/>
                <w:color w:val="auto"/>
                <w:w w:val="93"/>
              </w:rPr>
              <w:t>Company</w:t>
            </w:r>
          </w:p>
        </w:tc>
        <w:tc>
          <w:tcPr>
            <w:tcW w:w="140" w:type="dxa"/>
            <w:vAlign w:val="bottom"/>
          </w:tcPr>
          <w:p>
            <w:pPr>
              <w:spacing w:after="0"/>
              <w:rPr>
                <w:sz w:val="11"/>
                <w:szCs w:val="11"/>
                <w:color w:val="auto"/>
              </w:rPr>
            </w:pPr>
          </w:p>
        </w:tc>
        <w:tc>
          <w:tcPr>
            <w:tcW w:w="126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1"/>
              </w:rPr>
              <w:t>Subsidiaries</w:t>
            </w:r>
          </w:p>
        </w:tc>
        <w:tc>
          <w:tcPr>
            <w:tcW w:w="140" w:type="dxa"/>
            <w:vAlign w:val="bottom"/>
          </w:tcPr>
          <w:p>
            <w:pPr>
              <w:spacing w:after="0"/>
              <w:rPr>
                <w:sz w:val="11"/>
                <w:szCs w:val="11"/>
                <w:color w:val="auto"/>
              </w:rPr>
            </w:pPr>
          </w:p>
        </w:tc>
        <w:tc>
          <w:tcPr>
            <w:tcW w:w="128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w w:val="98"/>
              </w:rPr>
              <w:t>Eliminations</w:t>
            </w:r>
          </w:p>
        </w:tc>
        <w:tc>
          <w:tcPr>
            <w:tcW w:w="140" w:type="dxa"/>
            <w:vAlign w:val="bottom"/>
          </w:tcPr>
          <w:p>
            <w:pPr>
              <w:spacing w:after="0"/>
              <w:rPr>
                <w:sz w:val="11"/>
                <w:szCs w:val="11"/>
                <w:color w:val="auto"/>
              </w:rPr>
            </w:pPr>
          </w:p>
        </w:tc>
        <w:tc>
          <w:tcPr>
            <w:tcW w:w="112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7"/>
              </w:rPr>
              <w:t>Group, Inc.</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1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Parent Only</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6"/>
              </w:rPr>
              <w:t>Only</w:t>
            </w:r>
          </w:p>
        </w:tc>
        <w:tc>
          <w:tcPr>
            <w:tcW w:w="140" w:type="dxa"/>
            <w:vAlign w:val="bottom"/>
          </w:tcPr>
          <w:p>
            <w:pPr>
              <w:spacing w:after="0"/>
              <w:rPr>
                <w:sz w:val="14"/>
                <w:szCs w:val="14"/>
                <w:color w:val="auto"/>
              </w:rPr>
            </w:pPr>
          </w:p>
        </w:tc>
        <w:tc>
          <w:tcPr>
            <w:tcW w:w="12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3"/>
              </w:rPr>
              <w:t>Combined</w:t>
            </w:r>
          </w:p>
        </w:tc>
        <w:tc>
          <w:tcPr>
            <w:tcW w:w="140" w:type="dxa"/>
            <w:vAlign w:val="bottom"/>
          </w:tcPr>
          <w:p>
            <w:pPr>
              <w:spacing w:after="0"/>
              <w:rPr>
                <w:sz w:val="14"/>
                <w:szCs w:val="14"/>
                <w:color w:val="auto"/>
              </w:rPr>
            </w:pPr>
          </w:p>
        </w:tc>
        <w:tc>
          <w:tcPr>
            <w:tcW w:w="128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4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260" w:type="dxa"/>
            <w:vAlign w:val="bottom"/>
            <w:tcBorders>
              <w:top w:val="single" w:sz="8" w:color="auto"/>
            </w:tcBorders>
            <w:gridSpan w:val="2"/>
          </w:tcPr>
          <w:p>
            <w:pPr>
              <w:jc w:val="center"/>
              <w:ind w:right="360"/>
              <w:spacing w:after="0" w:line="129" w:lineRule="exact"/>
              <w:rPr>
                <w:sz w:val="20"/>
                <w:szCs w:val="20"/>
                <w:color w:val="auto"/>
              </w:rPr>
            </w:pPr>
            <w:r>
              <w:rPr>
                <w:rFonts w:ascii="Arial" w:cs="Arial" w:eastAsia="Arial" w:hAnsi="Arial"/>
                <w:sz w:val="14"/>
                <w:szCs w:val="14"/>
                <w:b w:val="1"/>
                <w:bCs w:val="1"/>
                <w:color w:val="auto"/>
                <w:w w:val="94"/>
              </w:rPr>
              <w:t>(in millions)</w:t>
            </w:r>
          </w:p>
        </w:tc>
        <w:tc>
          <w:tcPr>
            <w:tcW w:w="140" w:type="dxa"/>
            <w:vAlign w:val="bottom"/>
            <w:tcBorders>
              <w:top w:val="single" w:sz="8" w:color="auto"/>
            </w:tcBorders>
          </w:tcPr>
          <w:p>
            <w:pPr>
              <w:spacing w:after="0"/>
              <w:rPr>
                <w:sz w:val="11"/>
                <w:szCs w:val="11"/>
                <w:color w:val="auto"/>
              </w:rPr>
            </w:pPr>
          </w:p>
        </w:tc>
        <w:tc>
          <w:tcPr>
            <w:tcW w:w="104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04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Financing activities</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tcPr>
          <w:p>
            <w:pPr>
              <w:spacing w:after="0"/>
              <w:rPr>
                <w:sz w:val="20"/>
                <w:szCs w:val="20"/>
                <w:color w:val="auto"/>
              </w:rPr>
            </w:pPr>
            <w:r>
              <w:rPr>
                <w:rFonts w:ascii="Arial" w:cs="Arial" w:eastAsia="Arial" w:hAnsi="Arial"/>
                <w:sz w:val="18"/>
                <w:szCs w:val="18"/>
                <w:color w:val="auto"/>
              </w:rPr>
              <w:t>Issuance of common stock</w:t>
            </w:r>
          </w:p>
        </w:tc>
        <w:tc>
          <w:tcPr>
            <w:tcW w:w="5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38.3</w:t>
            </w:r>
          </w:p>
        </w:tc>
        <w:tc>
          <w:tcPr>
            <w:tcW w:w="18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28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2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38.3</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Acquisition of treasury stock, net</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(751.2)</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(751.2)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tcPr>
          <w:p>
            <w:pPr>
              <w:spacing w:after="0"/>
              <w:rPr>
                <w:sz w:val="20"/>
                <w:szCs w:val="20"/>
                <w:color w:val="auto"/>
              </w:rPr>
            </w:pPr>
            <w:r>
              <w:rPr>
                <w:rFonts w:ascii="Arial" w:cs="Arial" w:eastAsia="Arial" w:hAnsi="Arial"/>
                <w:sz w:val="18"/>
                <w:szCs w:val="18"/>
                <w:color w:val="auto"/>
              </w:rPr>
              <w:t>Proceeds from financing element derivatives</w:t>
            </w: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81.3</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2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81.3</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Payments for financing element derivatives</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(69.9)</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(69.9)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140" w:type="dxa"/>
            <w:vAlign w:val="bottom"/>
          </w:tcPr>
          <w:p>
            <w:pPr>
              <w:spacing w:after="0" w:line="201" w:lineRule="exact"/>
              <w:rPr>
                <w:sz w:val="20"/>
                <w:szCs w:val="20"/>
                <w:color w:val="auto"/>
              </w:rPr>
            </w:pPr>
            <w:r>
              <w:rPr>
                <w:rFonts w:ascii="Arial" w:cs="Arial" w:eastAsia="Arial" w:hAnsi="Arial"/>
                <w:sz w:val="18"/>
                <w:szCs w:val="18"/>
                <w:color w:val="auto"/>
              </w:rPr>
              <w:t>Excess tax benefits from share-based payment</w:t>
            </w:r>
          </w:p>
        </w:tc>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vMerge w:val="restart"/>
          </w:tcPr>
          <w:p>
            <w:pPr>
              <w:jc w:val="right"/>
              <w:ind w:right="20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1.9</w:t>
            </w: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0.7</w:t>
            </w: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80" w:type="dxa"/>
            <w:vAlign w:val="bottom"/>
            <w:gridSpan w:val="2"/>
            <w:vMerge w:val="restart"/>
          </w:tcPr>
          <w:p>
            <w:pPr>
              <w:jc w:val="right"/>
              <w:ind w:right="18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7"/>
                <w:szCs w:val="17"/>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2.6</w:t>
            </w: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140" w:type="dxa"/>
            <w:vAlign w:val="bottom"/>
          </w:tcPr>
          <w:p>
            <w:pPr>
              <w:ind w:left="160"/>
              <w:spacing w:after="0"/>
              <w:rPr>
                <w:sz w:val="20"/>
                <w:szCs w:val="20"/>
                <w:color w:val="auto"/>
              </w:rPr>
            </w:pPr>
            <w:r>
              <w:rPr>
                <w:rFonts w:ascii="Arial" w:cs="Arial" w:eastAsia="Arial" w:hAnsi="Arial"/>
                <w:sz w:val="18"/>
                <w:szCs w:val="18"/>
                <w:color w:val="auto"/>
              </w:rPr>
              <w:t>arrangements</w:t>
            </w:r>
          </w:p>
        </w:tc>
        <w:tc>
          <w:tcPr>
            <w:tcW w:w="3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0" w:type="dxa"/>
            <w:vAlign w:val="bottom"/>
            <w:gridSpan w:val="2"/>
            <w:vMerge w:val="continue"/>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vMerge w:val="continue"/>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vMerge w:val="continue"/>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80" w:type="dxa"/>
            <w:vAlign w:val="bottom"/>
            <w:gridSpan w:val="2"/>
            <w:vMerge w:val="continue"/>
          </w:tcPr>
          <w:p>
            <w:pPr>
              <w:spacing w:after="0"/>
              <w:rPr>
                <w:sz w:val="20"/>
                <w:szCs w:val="20"/>
                <w:color w:val="auto"/>
              </w:rPr>
            </w:pPr>
          </w:p>
        </w:tc>
        <w:tc>
          <w:tcPr>
            <w:tcW w:w="140" w:type="dxa"/>
            <w:vAlign w:val="bottom"/>
          </w:tcPr>
          <w:p>
            <w:pPr>
              <w:spacing w:after="0"/>
              <w:rPr>
                <w:sz w:val="20"/>
                <w:szCs w:val="20"/>
                <w:color w:val="auto"/>
              </w:rPr>
            </w:pPr>
          </w:p>
        </w:tc>
        <w:tc>
          <w:tcPr>
            <w:tcW w:w="1040" w:type="dxa"/>
            <w:vAlign w:val="bottom"/>
            <w:vMerge w:val="continue"/>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Dividends to preferred stockholders</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(16.5)</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(16.5)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tcPr>
          <w:p>
            <w:pPr>
              <w:spacing w:after="0"/>
              <w:rPr>
                <w:sz w:val="20"/>
                <w:szCs w:val="20"/>
                <w:color w:val="auto"/>
              </w:rPr>
            </w:pPr>
            <w:r>
              <w:rPr>
                <w:rFonts w:ascii="Arial" w:cs="Arial" w:eastAsia="Arial" w:hAnsi="Arial"/>
                <w:sz w:val="18"/>
                <w:szCs w:val="18"/>
                <w:color w:val="auto"/>
              </w:rPr>
              <w:t>Issuance of long-term debt</w:t>
            </w: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5.6</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92.7</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(89.6)</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8.7</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Principal repayments of long-term debt</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¾</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(6.3)</w:t>
            </w:r>
          </w:p>
        </w:tc>
        <w:tc>
          <w:tcPr>
            <w:tcW w:w="1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(6.3)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tcPr>
          <w:p>
            <w:pPr>
              <w:spacing w:after="0"/>
              <w:rPr>
                <w:sz w:val="20"/>
                <w:szCs w:val="20"/>
                <w:color w:val="auto"/>
              </w:rPr>
            </w:pPr>
            <w:r>
              <w:rPr>
                <w:rFonts w:ascii="Arial" w:cs="Arial" w:eastAsia="Arial" w:hAnsi="Arial"/>
                <w:sz w:val="18"/>
                <w:szCs w:val="18"/>
                <w:color w:val="auto"/>
                <w:w w:val="98"/>
              </w:rPr>
              <w:t>Net proceeds (repayments) of short-term borrowings</w:t>
            </w: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302.1</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(353.5)</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1.8</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(49.6)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Capital dividends paid to parent</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(975.0)</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(636.2)</w:t>
            </w: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1,611.2</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tcPr>
          <w:p>
            <w:pPr>
              <w:spacing w:after="0"/>
              <w:rPr>
                <w:sz w:val="20"/>
                <w:szCs w:val="20"/>
                <w:color w:val="auto"/>
              </w:rPr>
            </w:pPr>
            <w:r>
              <w:rPr>
                <w:rFonts w:ascii="Arial" w:cs="Arial" w:eastAsia="Arial" w:hAnsi="Arial"/>
                <w:sz w:val="18"/>
                <w:szCs w:val="18"/>
                <w:color w:val="auto"/>
              </w:rPr>
              <w:t>Investment contract deposits</w:t>
            </w: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4,835.7</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2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4,835.7</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Investment contract withdrawals</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(3,609.7)</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(3,609.7)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increase in banking operation deposits</w:t>
            </w:r>
          </w:p>
        </w:tc>
        <w:tc>
          <w:tcPr>
            <w:tcW w:w="38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8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75.4</w:t>
            </w:r>
          </w:p>
        </w:tc>
        <w:tc>
          <w:tcPr>
            <w:tcW w:w="2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75.4</w:t>
            </w:r>
          </w:p>
        </w:tc>
        <w:tc>
          <w:tcPr>
            <w:tcW w:w="8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(used in) financing activities</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(729.4)</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572.0</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(827.2)</w:t>
            </w: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1,523.4</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538.8</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40" w:type="dxa"/>
            <w:vAlign w:val="bottom"/>
            <w:vMerge w:val="restart"/>
          </w:tcPr>
          <w:p>
            <w:pPr>
              <w:spacing w:after="0"/>
              <w:rPr>
                <w:sz w:val="20"/>
                <w:szCs w:val="20"/>
                <w:color w:val="auto"/>
              </w:rPr>
            </w:pPr>
            <w:r>
              <w:rPr>
                <w:rFonts w:ascii="Arial" w:cs="Arial" w:eastAsia="Arial" w:hAnsi="Arial"/>
                <w:sz w:val="18"/>
                <w:szCs w:val="18"/>
                <w:color w:val="auto"/>
                <w:w w:val="96"/>
              </w:rPr>
              <w:t>Net increase (decrease) in cash and cash equivalents</w:t>
            </w:r>
          </w:p>
        </w:tc>
        <w:tc>
          <w:tcPr>
            <w:tcW w:w="3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140" w:type="dxa"/>
            <w:vAlign w:val="bottom"/>
            <w:vMerge w:val="continue"/>
          </w:tcPr>
          <w:p>
            <w:pPr>
              <w:spacing w:after="0"/>
              <w:rPr>
                <w:sz w:val="18"/>
                <w:szCs w:val="18"/>
                <w:color w:val="auto"/>
              </w:rPr>
            </w:pP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145.1</w:t>
            </w: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(707.6)</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196.8</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(58.7)</w:t>
            </w:r>
          </w:p>
        </w:tc>
        <w:tc>
          <w:tcPr>
            <w:tcW w:w="14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(424.4)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1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4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21.6</w:t>
            </w: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1,261.9</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542.3</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(184.5)</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1,641.3</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1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and cash equivalents at end of period</w:t>
            </w:r>
          </w:p>
        </w:tc>
        <w:tc>
          <w:tcPr>
            <w:tcW w:w="38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166.7</w:t>
            </w: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6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554.3</w:t>
            </w:r>
          </w:p>
        </w:tc>
        <w:tc>
          <w:tcPr>
            <w:tcW w:w="24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739.1</w:t>
            </w:r>
          </w:p>
        </w:tc>
        <w:tc>
          <w:tcPr>
            <w:tcW w:w="24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(243.2</w:t>
            </w:r>
          </w:p>
        </w:tc>
        <w:tc>
          <w:tcPr>
            <w:tcW w:w="240" w:type="dxa"/>
            <w:vAlign w:val="bottom"/>
            <w:tcBorders>
              <w:top w:val="single" w:sz="8" w:color="CCEEFF"/>
              <w:bottom w:val="single" w:sz="8" w:color="CCEEFF"/>
            </w:tcBorders>
            <w:shd w:val="clear" w:color="auto" w:fill="CCEEFF"/>
          </w:tcPr>
          <w:p>
            <w:pPr>
              <w:jc w:val="right"/>
              <w:ind w:right="100"/>
              <w:spacing w:after="0"/>
              <w:rPr>
                <w:sz w:val="20"/>
                <w:szCs w:val="20"/>
                <w:color w:val="auto"/>
              </w:rPr>
            </w:pPr>
            <w:r>
              <w:rPr>
                <w:rFonts w:ascii="Arial" w:cs="Arial" w:eastAsia="Arial" w:hAnsi="Arial"/>
                <w:sz w:val="16"/>
                <w:szCs w:val="16"/>
                <w:b w:val="1"/>
                <w:bCs w:val="1"/>
                <w:color w:val="auto"/>
                <w:w w:val="74"/>
              </w:rPr>
              <w:t>)</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1,216.9</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20" w:type="dxa"/>
            <w:vAlign w:val="bottom"/>
          </w:tcPr>
          <w:p>
            <w:pPr>
              <w:spacing w:after="0"/>
              <w:rPr>
                <w:sz w:val="24"/>
                <w:szCs w:val="24"/>
                <w:color w:val="auto"/>
              </w:rPr>
            </w:pPr>
          </w:p>
        </w:tc>
        <w:tc>
          <w:tcPr>
            <w:tcW w:w="4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0" w:type="dxa"/>
            <w:vAlign w:val="bottom"/>
            <w:gridSpan w:val="2"/>
          </w:tcPr>
          <w:p>
            <w:pPr>
              <w:jc w:val="right"/>
              <w:ind w:right="80"/>
              <w:spacing w:after="0"/>
              <w:rPr>
                <w:sz w:val="20"/>
                <w:szCs w:val="20"/>
                <w:color w:val="auto"/>
              </w:rPr>
            </w:pPr>
            <w:r>
              <w:rPr>
                <w:rFonts w:ascii="Arial" w:cs="Arial" w:eastAsia="Arial" w:hAnsi="Arial"/>
                <w:sz w:val="18"/>
                <w:szCs w:val="18"/>
                <w:color w:val="auto"/>
              </w:rPr>
              <w:t>29</w:t>
            </w: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20" w:type="dxa"/>
            <w:vAlign w:val="bottom"/>
            <w:tcBorders>
              <w:bottom w:val="single" w:sz="8" w:color="010101"/>
            </w:tcBorders>
          </w:tcPr>
          <w:p>
            <w:pPr>
              <w:spacing w:after="0"/>
              <w:rPr>
                <w:sz w:val="24"/>
                <w:szCs w:val="24"/>
                <w:color w:val="auto"/>
              </w:rPr>
            </w:pPr>
          </w:p>
        </w:tc>
        <w:tc>
          <w:tcPr>
            <w:tcW w:w="4140" w:type="dxa"/>
            <w:vAlign w:val="bottom"/>
            <w:tcBorders>
              <w:bottom w:val="single" w:sz="8" w:color="010101"/>
            </w:tcBorders>
          </w:tcPr>
          <w:p>
            <w:pPr>
              <w:spacing w:after="0"/>
              <w:rPr>
                <w:sz w:val="24"/>
                <w:szCs w:val="24"/>
                <w:color w:val="auto"/>
              </w:rPr>
            </w:pPr>
          </w:p>
        </w:tc>
        <w:tc>
          <w:tcPr>
            <w:tcW w:w="38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102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04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102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104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104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ectPr>
          <w:pgSz w:w="11900" w:h="16838" w:orient="portrait"/>
          <w:cols w:equalWidth="0" w:num="1">
            <w:col w:w="11460"/>
          </w:cols>
          <w:pgMar w:left="240" w:top="125" w:right="199" w:bottom="90" w:gutter="0" w:footer="0" w:header="0"/>
        </w:sectPr>
      </w:pPr>
    </w:p>
    <w:bookmarkStart w:id="20" w:name="page21"/>
    <w:bookmarkEnd w:id="20"/>
    <w:p>
      <w:pPr>
        <w:jc w:val="center"/>
        <w:ind w:right="40"/>
        <w:spacing w:after="0"/>
        <w:rPr>
          <w:sz w:val="20"/>
          <w:szCs w:val="20"/>
          <w:color w:val="auto"/>
        </w:rPr>
      </w:pPr>
      <w:r>
        <w:rPr>
          <w:rFonts w:ascii="Arial" w:cs="Arial" w:eastAsia="Arial" w:hAnsi="Arial"/>
          <w:sz w:val="18"/>
          <w:szCs w:val="18"/>
          <w:b w:val="1"/>
          <w:bCs w:val="1"/>
          <w:color w:val="auto"/>
        </w:rPr>
        <w:t>Condensed Consolidating Statements of Cash Flows – (As Restated – See Note 1)</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six months ended June 30, 2005</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8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4"/>
              </w:rPr>
              <w:t>Principal</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8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7"/>
              </w:rPr>
              <w:t>Principal Life</w:t>
            </w:r>
          </w:p>
        </w:tc>
        <w:tc>
          <w:tcPr>
            <w:tcW w:w="120" w:type="dxa"/>
            <w:vAlign w:val="bottom"/>
          </w:tcPr>
          <w:p>
            <w:pPr>
              <w:spacing w:after="0"/>
              <w:rPr>
                <w:sz w:val="14"/>
                <w:szCs w:val="14"/>
                <w:color w:val="auto"/>
              </w:rPr>
            </w:pPr>
          </w:p>
        </w:tc>
        <w:tc>
          <w:tcPr>
            <w:tcW w:w="15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5"/>
              </w:rPr>
              <w:t>Principal Financial</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7"/>
              </w:rPr>
              <w:t>Principal</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3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38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2"/>
              </w:rPr>
              <w:t>Financial</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80" w:type="dxa"/>
            <w:vAlign w:val="bottom"/>
            <w:gridSpan w:val="2"/>
          </w:tcPr>
          <w:p>
            <w:pPr>
              <w:jc w:val="center"/>
              <w:ind w:right="500"/>
              <w:spacing w:after="0" w:line="135" w:lineRule="exact"/>
              <w:rPr>
                <w:sz w:val="20"/>
                <w:szCs w:val="20"/>
                <w:color w:val="auto"/>
              </w:rPr>
            </w:pPr>
            <w:r>
              <w:rPr>
                <w:rFonts w:ascii="Arial" w:cs="Arial" w:eastAsia="Arial" w:hAnsi="Arial"/>
                <w:sz w:val="14"/>
                <w:szCs w:val="14"/>
                <w:b w:val="1"/>
                <w:bCs w:val="1"/>
                <w:color w:val="auto"/>
                <w:w w:val="93"/>
              </w:rPr>
              <w:t>Insurance</w:t>
            </w:r>
          </w:p>
        </w:tc>
        <w:tc>
          <w:tcPr>
            <w:tcW w:w="120" w:type="dxa"/>
            <w:vAlign w:val="bottom"/>
          </w:tcPr>
          <w:p>
            <w:pPr>
              <w:spacing w:after="0"/>
              <w:rPr>
                <w:sz w:val="11"/>
                <w:szCs w:val="11"/>
                <w:color w:val="auto"/>
              </w:rPr>
            </w:pPr>
          </w:p>
        </w:tc>
        <w:tc>
          <w:tcPr>
            <w:tcW w:w="156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1"/>
              </w:rPr>
              <w:t>Services, Inc. and</w:t>
            </w: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30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5"/>
              </w:rPr>
              <w:t>Financial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38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7"/>
              </w:rPr>
              <w:t>Group, Inc.</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8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3"/>
              </w:rPr>
              <w:t>Company</w:t>
            </w:r>
          </w:p>
        </w:tc>
        <w:tc>
          <w:tcPr>
            <w:tcW w:w="120" w:type="dxa"/>
            <w:vAlign w:val="bottom"/>
          </w:tcPr>
          <w:p>
            <w:pPr>
              <w:spacing w:after="0"/>
              <w:rPr>
                <w:sz w:val="11"/>
                <w:szCs w:val="11"/>
                <w:color w:val="auto"/>
              </w:rPr>
            </w:pPr>
          </w:p>
        </w:tc>
        <w:tc>
          <w:tcPr>
            <w:tcW w:w="156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3"/>
              </w:rPr>
              <w:t>Other Subsidiaries</w:t>
            </w: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360" w:type="dxa"/>
            <w:vAlign w:val="bottom"/>
            <w:gridSpan w:val="2"/>
            <w:vMerge w:val="restart"/>
          </w:tcPr>
          <w:p>
            <w:pPr>
              <w:jc w:val="right"/>
              <w:ind w:right="500"/>
              <w:spacing w:after="0"/>
              <w:rPr>
                <w:sz w:val="20"/>
                <w:szCs w:val="20"/>
                <w:color w:val="auto"/>
              </w:rPr>
            </w:pPr>
            <w:r>
              <w:rPr>
                <w:rFonts w:ascii="Arial" w:cs="Arial" w:eastAsia="Arial" w:hAnsi="Arial"/>
                <w:sz w:val="14"/>
                <w:szCs w:val="14"/>
                <w:b w:val="1"/>
                <w:bCs w:val="1"/>
                <w:color w:val="auto"/>
              </w:rPr>
              <w:t>Eliminations</w:t>
            </w:r>
          </w:p>
        </w:tc>
        <w:tc>
          <w:tcPr>
            <w:tcW w:w="180" w:type="dxa"/>
            <w:vAlign w:val="bottom"/>
          </w:tcPr>
          <w:p>
            <w:pPr>
              <w:spacing w:after="0"/>
              <w:rPr>
                <w:sz w:val="11"/>
                <w:szCs w:val="11"/>
                <w:color w:val="auto"/>
              </w:rPr>
            </w:pPr>
          </w:p>
        </w:tc>
        <w:tc>
          <w:tcPr>
            <w:tcW w:w="1300" w:type="dxa"/>
            <w:vAlign w:val="bottom"/>
            <w:gridSpan w:val="2"/>
          </w:tcPr>
          <w:p>
            <w:pPr>
              <w:jc w:val="center"/>
              <w:ind w:right="320"/>
              <w:spacing w:after="0" w:line="135" w:lineRule="exact"/>
              <w:rPr>
                <w:sz w:val="20"/>
                <w:szCs w:val="20"/>
                <w:color w:val="auto"/>
              </w:rPr>
            </w:pPr>
            <w:r>
              <w:rPr>
                <w:rFonts w:ascii="Arial" w:cs="Arial" w:eastAsia="Arial" w:hAnsi="Arial"/>
                <w:sz w:val="14"/>
                <w:szCs w:val="14"/>
                <w:b w:val="1"/>
                <w:bCs w:val="1"/>
                <w:color w:val="auto"/>
                <w:w w:val="94"/>
              </w:rPr>
              <w:t>Group, Inc.</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3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8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6"/>
              </w:rPr>
              <w:t>Parent Only</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8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6"/>
              </w:rPr>
              <w:t>Only</w:t>
            </w:r>
          </w:p>
        </w:tc>
        <w:tc>
          <w:tcPr>
            <w:tcW w:w="120" w:type="dxa"/>
            <w:vAlign w:val="bottom"/>
          </w:tcPr>
          <w:p>
            <w:pPr>
              <w:spacing w:after="0"/>
              <w:rPr>
                <w:sz w:val="14"/>
                <w:szCs w:val="14"/>
                <w:color w:val="auto"/>
              </w:rPr>
            </w:pPr>
          </w:p>
        </w:tc>
        <w:tc>
          <w:tcPr>
            <w:tcW w:w="15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Combined</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60" w:type="dxa"/>
            <w:vAlign w:val="bottom"/>
            <w:gridSpan w:val="2"/>
            <w:vMerge w:val="continue"/>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3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122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24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560" w:type="dxa"/>
            <w:vAlign w:val="bottom"/>
            <w:tcBorders>
              <w:top w:val="single" w:sz="8" w:color="auto"/>
            </w:tcBorders>
            <w:gridSpan w:val="2"/>
          </w:tcPr>
          <w:p>
            <w:pPr>
              <w:jc w:val="right"/>
              <w:ind w:right="640"/>
              <w:spacing w:after="0" w:line="129" w:lineRule="exact"/>
              <w:rPr>
                <w:sz w:val="20"/>
                <w:szCs w:val="20"/>
                <w:color w:val="auto"/>
              </w:rPr>
            </w:pPr>
            <w:r>
              <w:rPr>
                <w:rFonts w:ascii="Arial" w:cs="Arial" w:eastAsia="Arial" w:hAnsi="Arial"/>
                <w:sz w:val="14"/>
                <w:szCs w:val="14"/>
                <w:b w:val="1"/>
                <w:bCs w:val="1"/>
                <w:color w:val="auto"/>
              </w:rPr>
              <w:t>(in millions)</w:t>
            </w:r>
          </w:p>
        </w:tc>
        <w:tc>
          <w:tcPr>
            <w:tcW w:w="8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22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140" w:type="dxa"/>
            <w:vAlign w:val="bottom"/>
          </w:tcPr>
          <w:p>
            <w:pPr>
              <w:spacing w:after="0" w:line="201" w:lineRule="exact"/>
              <w:rPr>
                <w:sz w:val="20"/>
                <w:szCs w:val="20"/>
                <w:color w:val="auto"/>
              </w:rPr>
            </w:pPr>
            <w:r>
              <w:rPr>
                <w:rFonts w:ascii="Arial" w:cs="Arial" w:eastAsia="Arial" w:hAnsi="Arial"/>
                <w:sz w:val="18"/>
                <w:szCs w:val="18"/>
                <w:color w:val="auto"/>
                <w:w w:val="96"/>
              </w:rPr>
              <w:t>Net cash provided by (used in) operating</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140" w:type="dxa"/>
            <w:vAlign w:val="bottom"/>
          </w:tcPr>
          <w:p>
            <w:pPr>
              <w:ind w:left="180"/>
              <w:spacing w:after="0"/>
              <w:rPr>
                <w:sz w:val="20"/>
                <w:szCs w:val="20"/>
                <w:color w:val="auto"/>
              </w:rPr>
            </w:pPr>
            <w:r>
              <w:rPr>
                <w:rFonts w:ascii="Arial" w:cs="Arial" w:eastAsia="Arial" w:hAnsi="Arial"/>
                <w:sz w:val="18"/>
                <w:szCs w:val="18"/>
                <w:color w:val="auto"/>
              </w:rPr>
              <w:t>activities</w:t>
            </w:r>
          </w:p>
        </w:tc>
        <w:tc>
          <w:tcPr>
            <w:tcW w:w="3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380" w:type="dxa"/>
            <w:vAlign w:val="bottom"/>
            <w:gridSpan w:val="2"/>
          </w:tcPr>
          <w:p>
            <w:pPr>
              <w:jc w:val="right"/>
              <w:ind w:right="100"/>
              <w:spacing w:after="0"/>
              <w:rPr>
                <w:sz w:val="20"/>
                <w:szCs w:val="20"/>
                <w:color w:val="auto"/>
              </w:rPr>
            </w:pPr>
            <w:r>
              <w:rPr>
                <w:rFonts w:ascii="Arial" w:cs="Arial" w:eastAsia="Arial" w:hAnsi="Arial"/>
                <w:sz w:val="18"/>
                <w:szCs w:val="18"/>
                <w:color w:val="auto"/>
              </w:rPr>
              <w:t>(2.6)</w:t>
            </w: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540.0</w:t>
            </w:r>
          </w:p>
        </w:tc>
        <w:tc>
          <w:tcPr>
            <w:tcW w:w="24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327.2</w:t>
            </w:r>
          </w:p>
        </w:tc>
        <w:tc>
          <w:tcPr>
            <w:tcW w:w="160" w:type="dxa"/>
            <w:vAlign w:val="bottom"/>
          </w:tcPr>
          <w:p>
            <w:pPr>
              <w:spacing w:after="0"/>
              <w:rPr>
                <w:sz w:val="20"/>
                <w:szCs w:val="20"/>
                <w:color w:val="auto"/>
              </w:rPr>
            </w:pPr>
          </w:p>
        </w:tc>
        <w:tc>
          <w:tcPr>
            <w:tcW w:w="2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180"/>
              <w:spacing w:after="0"/>
              <w:rPr>
                <w:sz w:val="20"/>
                <w:szCs w:val="20"/>
                <w:color w:val="auto"/>
              </w:rPr>
            </w:pPr>
            <w:r>
              <w:rPr>
                <w:rFonts w:ascii="Arial" w:cs="Arial" w:eastAsia="Arial" w:hAnsi="Arial"/>
                <w:sz w:val="18"/>
                <w:szCs w:val="18"/>
                <w:color w:val="auto"/>
              </w:rPr>
              <w:t>(58.2)</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806.4</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140" w:type="dxa"/>
            <w:vAlign w:val="bottom"/>
          </w:tcPr>
          <w:p>
            <w:pPr>
              <w:spacing w:after="0"/>
              <w:rPr>
                <w:sz w:val="20"/>
                <w:szCs w:val="20"/>
                <w:color w:val="auto"/>
              </w:rPr>
            </w:pPr>
            <w:r>
              <w:rPr>
                <w:rFonts w:ascii="Arial" w:cs="Arial" w:eastAsia="Arial" w:hAnsi="Arial"/>
                <w:sz w:val="18"/>
                <w:szCs w:val="18"/>
                <w:color w:val="auto"/>
              </w:rPr>
              <w:t>Available-for-sale securities:</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1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Purchases</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(3,106.3)</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(1,760.5)</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113.3</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(4,753.5)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140" w:type="dxa"/>
            <w:vAlign w:val="bottom"/>
          </w:tcPr>
          <w:p>
            <w:pPr>
              <w:ind w:left="180"/>
              <w:spacing w:after="0"/>
              <w:rPr>
                <w:sz w:val="20"/>
                <w:szCs w:val="20"/>
                <w:color w:val="auto"/>
              </w:rPr>
            </w:pPr>
            <w:r>
              <w:rPr>
                <w:rFonts w:ascii="Arial" w:cs="Arial" w:eastAsia="Arial" w:hAnsi="Arial"/>
                <w:sz w:val="18"/>
                <w:szCs w:val="18"/>
                <w:color w:val="auto"/>
              </w:rPr>
              <w:t>Sales</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878.7</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81.4</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960.1</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1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Maturities</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1,747.0</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1,299.6</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3,046.6</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140" w:type="dxa"/>
            <w:vAlign w:val="bottom"/>
          </w:tcPr>
          <w:p>
            <w:pPr>
              <w:spacing w:after="0"/>
              <w:rPr>
                <w:sz w:val="20"/>
                <w:szCs w:val="20"/>
                <w:color w:val="auto"/>
              </w:rPr>
            </w:pPr>
            <w:r>
              <w:rPr>
                <w:rFonts w:ascii="Arial" w:cs="Arial" w:eastAsia="Arial" w:hAnsi="Arial"/>
                <w:sz w:val="18"/>
                <w:szCs w:val="18"/>
                <w:color w:val="auto"/>
              </w:rPr>
              <w:t>Mortgage loans acquired or originated</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gridSpan w:val="2"/>
          </w:tcPr>
          <w:p>
            <w:pPr>
              <w:jc w:val="right"/>
              <w:ind w:right="180"/>
              <w:spacing w:after="0"/>
              <w:rPr>
                <w:sz w:val="20"/>
                <w:szCs w:val="20"/>
                <w:color w:val="auto"/>
              </w:rPr>
            </w:pPr>
            <w:r>
              <w:rPr>
                <w:rFonts w:ascii="Arial" w:cs="Arial" w:eastAsia="Arial" w:hAnsi="Arial"/>
                <w:sz w:val="18"/>
                <w:szCs w:val="18"/>
                <w:color w:val="auto"/>
              </w:rPr>
              <w:t>(1,098.4)</w:t>
            </w:r>
          </w:p>
        </w:tc>
        <w:tc>
          <w:tcPr>
            <w:tcW w:w="120" w:type="dxa"/>
            <w:vAlign w:val="bottom"/>
          </w:tcPr>
          <w:p>
            <w:pPr>
              <w:spacing w:after="0"/>
              <w:rPr>
                <w:sz w:val="18"/>
                <w:szCs w:val="18"/>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(289.5)</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115.0</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(1,272.9)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Mortgage loans sold or repaid</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1,188.5</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180.9</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(105.0)</w:t>
            </w:r>
          </w:p>
        </w:tc>
        <w:tc>
          <w:tcPr>
            <w:tcW w:w="18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1,264.4</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140" w:type="dxa"/>
            <w:vAlign w:val="bottom"/>
          </w:tcPr>
          <w:p>
            <w:pPr>
              <w:spacing w:after="0"/>
              <w:rPr>
                <w:sz w:val="20"/>
                <w:szCs w:val="20"/>
                <w:color w:val="auto"/>
              </w:rPr>
            </w:pPr>
            <w:r>
              <w:rPr>
                <w:rFonts w:ascii="Arial" w:cs="Arial" w:eastAsia="Arial" w:hAnsi="Arial"/>
                <w:sz w:val="18"/>
                <w:szCs w:val="18"/>
                <w:color w:val="auto"/>
              </w:rPr>
              <w:t>Real estate acquired</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gridSpan w:val="2"/>
          </w:tcPr>
          <w:p>
            <w:pPr>
              <w:jc w:val="right"/>
              <w:ind w:right="180"/>
              <w:spacing w:after="0"/>
              <w:rPr>
                <w:sz w:val="20"/>
                <w:szCs w:val="20"/>
                <w:color w:val="auto"/>
              </w:rPr>
            </w:pPr>
            <w:r>
              <w:rPr>
                <w:rFonts w:ascii="Arial" w:cs="Arial" w:eastAsia="Arial" w:hAnsi="Arial"/>
                <w:sz w:val="18"/>
                <w:szCs w:val="18"/>
                <w:color w:val="auto"/>
              </w:rPr>
              <w:t>(125.6)</w:t>
            </w:r>
          </w:p>
        </w:tc>
        <w:tc>
          <w:tcPr>
            <w:tcW w:w="120" w:type="dxa"/>
            <w:vAlign w:val="bottom"/>
          </w:tcPr>
          <w:p>
            <w:pPr>
              <w:spacing w:after="0"/>
              <w:rPr>
                <w:sz w:val="18"/>
                <w:szCs w:val="18"/>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(35.4)</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(161.0)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Real estate sold</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213.7</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53.5</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267.2</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140" w:type="dxa"/>
            <w:vAlign w:val="bottom"/>
          </w:tcPr>
          <w:p>
            <w:pPr>
              <w:spacing w:after="0"/>
              <w:rPr>
                <w:sz w:val="20"/>
                <w:szCs w:val="20"/>
                <w:color w:val="auto"/>
              </w:rPr>
            </w:pPr>
            <w:r>
              <w:rPr>
                <w:rFonts w:ascii="Arial" w:cs="Arial" w:eastAsia="Arial" w:hAnsi="Arial"/>
                <w:sz w:val="18"/>
                <w:szCs w:val="18"/>
                <w:color w:val="auto"/>
                <w:w w:val="94"/>
              </w:rPr>
              <w:t>Net purchases of property and equipment</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gridSpan w:val="2"/>
          </w:tcPr>
          <w:p>
            <w:pPr>
              <w:jc w:val="right"/>
              <w:ind w:right="180"/>
              <w:spacing w:after="0"/>
              <w:rPr>
                <w:sz w:val="20"/>
                <w:szCs w:val="20"/>
                <w:color w:val="auto"/>
              </w:rPr>
            </w:pPr>
            <w:r>
              <w:rPr>
                <w:rFonts w:ascii="Arial" w:cs="Arial" w:eastAsia="Arial" w:hAnsi="Arial"/>
                <w:sz w:val="18"/>
                <w:szCs w:val="18"/>
                <w:color w:val="auto"/>
              </w:rPr>
              <w:t>(13.3)</w:t>
            </w:r>
          </w:p>
        </w:tc>
        <w:tc>
          <w:tcPr>
            <w:tcW w:w="120" w:type="dxa"/>
            <w:vAlign w:val="bottom"/>
          </w:tcPr>
          <w:p>
            <w:pPr>
              <w:spacing w:after="0"/>
              <w:rPr>
                <w:sz w:val="18"/>
                <w:szCs w:val="18"/>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(4.8)</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(18.1)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1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6"/>
              </w:rPr>
              <w:t>Purchases of interest in subsidiaries, net</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1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of cash acquired</w:t>
            </w:r>
          </w:p>
        </w:tc>
        <w:tc>
          <w:tcPr>
            <w:tcW w:w="1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4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1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(54.4)</w:t>
            </w:r>
          </w:p>
        </w:tc>
        <w:tc>
          <w:tcPr>
            <w:tcW w:w="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3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0"/>
                <w:szCs w:val="20"/>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(54.4)</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140" w:type="dxa"/>
            <w:vAlign w:val="bottom"/>
          </w:tcPr>
          <w:p>
            <w:pPr>
              <w:spacing w:after="0" w:line="201" w:lineRule="exact"/>
              <w:rPr>
                <w:sz w:val="20"/>
                <w:szCs w:val="20"/>
                <w:color w:val="auto"/>
              </w:rPr>
            </w:pPr>
            <w:r>
              <w:rPr>
                <w:rFonts w:ascii="Arial" w:cs="Arial" w:eastAsia="Arial" w:hAnsi="Arial"/>
                <w:sz w:val="18"/>
                <w:szCs w:val="18"/>
                <w:color w:val="auto"/>
              </w:rPr>
              <w:t>Dividends received from (paid to)</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140" w:type="dxa"/>
            <w:vAlign w:val="bottom"/>
          </w:tcPr>
          <w:p>
            <w:pPr>
              <w:ind w:left="180"/>
              <w:spacing w:after="0"/>
              <w:rPr>
                <w:sz w:val="20"/>
                <w:szCs w:val="20"/>
                <w:color w:val="auto"/>
              </w:rPr>
            </w:pPr>
            <w:r>
              <w:rPr>
                <w:rFonts w:ascii="Arial" w:cs="Arial" w:eastAsia="Arial" w:hAnsi="Arial"/>
                <w:sz w:val="18"/>
                <w:szCs w:val="18"/>
                <w:color w:val="auto"/>
              </w:rPr>
              <w:t>unconsolidated entities</w:t>
            </w:r>
          </w:p>
        </w:tc>
        <w:tc>
          <w:tcPr>
            <w:tcW w:w="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251.1</w:t>
            </w: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80" w:type="dxa"/>
            <w:vAlign w:val="bottom"/>
            <w:gridSpan w:val="2"/>
          </w:tcPr>
          <w:p>
            <w:pPr>
              <w:jc w:val="right"/>
              <w:ind w:right="180"/>
              <w:spacing w:after="0"/>
              <w:rPr>
                <w:sz w:val="20"/>
                <w:szCs w:val="20"/>
                <w:color w:val="auto"/>
              </w:rPr>
            </w:pPr>
            <w:r>
              <w:rPr>
                <w:rFonts w:ascii="Arial" w:cs="Arial" w:eastAsia="Arial" w:hAnsi="Arial"/>
                <w:sz w:val="18"/>
                <w:szCs w:val="18"/>
                <w:color w:val="auto"/>
              </w:rPr>
              <w:t>(226.4)</w:t>
            </w:r>
          </w:p>
        </w:tc>
        <w:tc>
          <w:tcPr>
            <w:tcW w:w="120" w:type="dxa"/>
            <w:vAlign w:val="bottom"/>
          </w:tcPr>
          <w:p>
            <w:pPr>
              <w:spacing w:after="0"/>
              <w:rPr>
                <w:sz w:val="20"/>
                <w:szCs w:val="20"/>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(35.0)</w:t>
            </w: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10.3</w:t>
            </w: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Net change in other investments</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(4.6)</w:t>
            </w:r>
          </w:p>
        </w:tc>
        <w:tc>
          <w:tcPr>
            <w:tcW w:w="1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(45.0)</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(41.2)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2"/>
        </w:trPr>
        <w:tc>
          <w:tcPr>
            <w:tcW w:w="3140" w:type="dxa"/>
            <w:vAlign w:val="bottom"/>
          </w:tcPr>
          <w:p>
            <w:pPr>
              <w:spacing w:after="0" w:line="182" w:lineRule="exact"/>
              <w:rPr>
                <w:sz w:val="20"/>
                <w:szCs w:val="20"/>
                <w:color w:val="auto"/>
              </w:rPr>
            </w:pPr>
            <w:r>
              <w:rPr>
                <w:rFonts w:ascii="Arial" w:cs="Arial" w:eastAsia="Arial" w:hAnsi="Arial"/>
                <w:sz w:val="18"/>
                <w:szCs w:val="18"/>
                <w:color w:val="auto"/>
                <w:w w:val="97"/>
              </w:rPr>
              <w:t>Net cash provided by (used in) investing</w:t>
            </w:r>
          </w:p>
        </w:tc>
        <w:tc>
          <w:tcPr>
            <w:tcW w:w="14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122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1240" w:type="dxa"/>
            <w:vAlign w:val="bottom"/>
            <w:tcBorders>
              <w:top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40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1120" w:type="dxa"/>
            <w:vAlign w:val="bottom"/>
            <w:tcBorders>
              <w:top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122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3140" w:type="dxa"/>
            <w:vAlign w:val="bottom"/>
          </w:tcPr>
          <w:p>
            <w:pPr>
              <w:ind w:left="180"/>
              <w:spacing w:after="0"/>
              <w:rPr>
                <w:sz w:val="20"/>
                <w:szCs w:val="20"/>
                <w:color w:val="auto"/>
              </w:rPr>
            </w:pPr>
            <w:r>
              <w:rPr>
                <w:rFonts w:ascii="Arial" w:cs="Arial" w:eastAsia="Arial" w:hAnsi="Arial"/>
                <w:sz w:val="18"/>
                <w:szCs w:val="18"/>
                <w:color w:val="auto"/>
              </w:rPr>
              <w:t>activities</w:t>
            </w:r>
          </w:p>
        </w:tc>
        <w:tc>
          <w:tcPr>
            <w:tcW w:w="3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251.1</w:t>
            </w:r>
          </w:p>
        </w:tc>
        <w:tc>
          <w:tcPr>
            <w:tcW w:w="160" w:type="dxa"/>
            <w:vAlign w:val="bottom"/>
          </w:tcPr>
          <w:p>
            <w:pPr>
              <w:spacing w:after="0"/>
              <w:rPr>
                <w:sz w:val="20"/>
                <w:szCs w:val="20"/>
                <w:color w:val="auto"/>
              </w:rPr>
            </w:pP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80" w:type="dxa"/>
            <w:vAlign w:val="bottom"/>
            <w:gridSpan w:val="2"/>
          </w:tcPr>
          <w:p>
            <w:pPr>
              <w:jc w:val="right"/>
              <w:ind w:right="180"/>
              <w:spacing w:after="0"/>
              <w:rPr>
                <w:sz w:val="20"/>
                <w:szCs w:val="20"/>
                <w:color w:val="auto"/>
              </w:rPr>
            </w:pPr>
            <w:r>
              <w:rPr>
                <w:rFonts w:ascii="Arial" w:cs="Arial" w:eastAsia="Arial" w:hAnsi="Arial"/>
                <w:sz w:val="18"/>
                <w:szCs w:val="18"/>
                <w:color w:val="auto"/>
              </w:rPr>
              <w:t>(546.7)</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(609.2)</w:t>
            </w:r>
          </w:p>
        </w:tc>
        <w:tc>
          <w:tcPr>
            <w:tcW w:w="2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142.0</w:t>
            </w:r>
          </w:p>
        </w:tc>
        <w:tc>
          <w:tcPr>
            <w:tcW w:w="240" w:type="dxa"/>
            <w:vAlign w:val="bottom"/>
          </w:tcPr>
          <w:p>
            <w:pPr>
              <w:spacing w:after="0"/>
              <w:rPr>
                <w:sz w:val="20"/>
                <w:szCs w:val="20"/>
                <w:color w:val="auto"/>
              </w:rPr>
            </w:pP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(762.8)</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864"/>
        </w:trPr>
        <w:tc>
          <w:tcPr>
            <w:tcW w:w="3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40" w:type="dxa"/>
            <w:vAlign w:val="bottom"/>
          </w:tcPr>
          <w:p>
            <w:pPr>
              <w:jc w:val="right"/>
              <w:ind w:right="514"/>
              <w:spacing w:after="0"/>
              <w:rPr>
                <w:sz w:val="20"/>
                <w:szCs w:val="20"/>
                <w:color w:val="auto"/>
              </w:rPr>
            </w:pPr>
            <w:r>
              <w:rPr>
                <w:rFonts w:ascii="Arial" w:cs="Arial" w:eastAsia="Arial" w:hAnsi="Arial"/>
                <w:sz w:val="18"/>
                <w:szCs w:val="18"/>
                <w:color w:val="auto"/>
              </w:rPr>
              <w:t>30</w:t>
            </w: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314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122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124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40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112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122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Cash Flows – (As Restated – See Note 1) (continued)</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six months ended June 30, 2005</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3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7"/>
              </w:rPr>
              <w:t>Principal</w:t>
            </w:r>
          </w:p>
        </w:tc>
        <w:tc>
          <w:tcPr>
            <w:tcW w:w="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3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5"/>
              </w:rPr>
              <w:t>Financial</w:t>
            </w: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3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00" w:type="dxa"/>
            <w:vAlign w:val="bottom"/>
            <w:gridSpan w:val="2"/>
            <w:vMerge w:val="restart"/>
          </w:tcPr>
          <w:p>
            <w:pPr>
              <w:jc w:val="center"/>
              <w:ind w:right="440"/>
              <w:spacing w:after="0"/>
              <w:rPr>
                <w:sz w:val="20"/>
                <w:szCs w:val="20"/>
                <w:color w:val="auto"/>
              </w:rPr>
            </w:pPr>
            <w:r>
              <w:rPr>
                <w:rFonts w:ascii="Arial" w:cs="Arial" w:eastAsia="Arial" w:hAnsi="Arial"/>
                <w:sz w:val="14"/>
                <w:szCs w:val="14"/>
                <w:b w:val="1"/>
                <w:bCs w:val="1"/>
                <w:color w:val="auto"/>
                <w:w w:val="97"/>
              </w:rPr>
              <w:t>Principal</w:t>
            </w:r>
          </w:p>
        </w:tc>
        <w:tc>
          <w:tcPr>
            <w:tcW w:w="100" w:type="dxa"/>
            <w:vAlign w:val="bottom"/>
          </w:tcPr>
          <w:p>
            <w:pPr>
              <w:spacing w:after="0"/>
              <w:rPr>
                <w:sz w:val="11"/>
                <w:szCs w:val="11"/>
                <w:color w:val="auto"/>
              </w:rPr>
            </w:pPr>
          </w:p>
        </w:tc>
        <w:tc>
          <w:tcPr>
            <w:tcW w:w="1300" w:type="dxa"/>
            <w:vAlign w:val="bottom"/>
            <w:gridSpan w:val="2"/>
            <w:vMerge w:val="restart"/>
          </w:tcPr>
          <w:p>
            <w:pPr>
              <w:jc w:val="center"/>
              <w:ind w:right="440"/>
              <w:spacing w:after="0"/>
              <w:rPr>
                <w:sz w:val="20"/>
                <w:szCs w:val="20"/>
                <w:color w:val="auto"/>
              </w:rPr>
            </w:pPr>
            <w:r>
              <w:rPr>
                <w:rFonts w:ascii="Arial" w:cs="Arial" w:eastAsia="Arial" w:hAnsi="Arial"/>
                <w:sz w:val="14"/>
                <w:szCs w:val="14"/>
                <w:b w:val="1"/>
                <w:bCs w:val="1"/>
                <w:color w:val="auto"/>
                <w:w w:val="97"/>
              </w:rPr>
              <w:t>Principal Life</w:t>
            </w:r>
          </w:p>
        </w:tc>
        <w:tc>
          <w:tcPr>
            <w:tcW w:w="120" w:type="dxa"/>
            <w:vAlign w:val="bottom"/>
          </w:tcPr>
          <w:p>
            <w:pPr>
              <w:spacing w:after="0"/>
              <w:rPr>
                <w:sz w:val="11"/>
                <w:szCs w:val="11"/>
                <w:color w:val="auto"/>
              </w:rPr>
            </w:pPr>
          </w:p>
        </w:tc>
        <w:tc>
          <w:tcPr>
            <w:tcW w:w="1260" w:type="dxa"/>
            <w:vAlign w:val="bottom"/>
            <w:gridSpan w:val="2"/>
          </w:tcPr>
          <w:p>
            <w:pPr>
              <w:jc w:val="center"/>
              <w:ind w:right="400"/>
              <w:spacing w:after="0" w:line="135" w:lineRule="exact"/>
              <w:rPr>
                <w:sz w:val="20"/>
                <w:szCs w:val="20"/>
                <w:color w:val="auto"/>
              </w:rPr>
            </w:pPr>
            <w:r>
              <w:rPr>
                <w:rFonts w:ascii="Arial" w:cs="Arial" w:eastAsia="Arial" w:hAnsi="Arial"/>
                <w:sz w:val="14"/>
                <w:szCs w:val="14"/>
                <w:b w:val="1"/>
                <w:bCs w:val="1"/>
                <w:color w:val="auto"/>
                <w:w w:val="91"/>
              </w:rPr>
              <w:t>Services, Inc.</w:t>
            </w: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4"/>
              </w:rPr>
              <w:t>Principal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3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0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130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88"/>
              </w:rPr>
              <w:t>and</w:t>
            </w: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8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3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0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5"/>
              </w:rPr>
              <w:t>Financial</w:t>
            </w:r>
          </w:p>
        </w:tc>
        <w:tc>
          <w:tcPr>
            <w:tcW w:w="100" w:type="dxa"/>
            <w:vAlign w:val="bottom"/>
          </w:tcPr>
          <w:p>
            <w:pPr>
              <w:spacing w:after="0"/>
              <w:rPr>
                <w:sz w:val="11"/>
                <w:szCs w:val="11"/>
                <w:color w:val="auto"/>
              </w:rPr>
            </w:pPr>
          </w:p>
        </w:tc>
        <w:tc>
          <w:tcPr>
            <w:tcW w:w="130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3"/>
              </w:rPr>
              <w:t>Insurance</w:t>
            </w:r>
          </w:p>
        </w:tc>
        <w:tc>
          <w:tcPr>
            <w:tcW w:w="120" w:type="dxa"/>
            <w:vAlign w:val="bottom"/>
          </w:tcPr>
          <w:p>
            <w:pPr>
              <w:spacing w:after="0"/>
              <w:rPr>
                <w:sz w:val="11"/>
                <w:szCs w:val="11"/>
                <w:color w:val="auto"/>
              </w:rPr>
            </w:pPr>
          </w:p>
        </w:tc>
        <w:tc>
          <w:tcPr>
            <w:tcW w:w="1260" w:type="dxa"/>
            <w:vAlign w:val="bottom"/>
            <w:gridSpan w:val="2"/>
          </w:tcPr>
          <w:p>
            <w:pPr>
              <w:jc w:val="center"/>
              <w:ind w:right="400"/>
              <w:spacing w:after="0" w:line="135" w:lineRule="exact"/>
              <w:rPr>
                <w:sz w:val="20"/>
                <w:szCs w:val="20"/>
                <w:color w:val="auto"/>
              </w:rPr>
            </w:pPr>
            <w:r>
              <w:rPr>
                <w:rFonts w:ascii="Arial" w:cs="Arial" w:eastAsia="Arial" w:hAnsi="Arial"/>
                <w:sz w:val="14"/>
                <w:szCs w:val="14"/>
                <w:b w:val="1"/>
                <w:bCs w:val="1"/>
                <w:color w:val="auto"/>
              </w:rPr>
              <w:t>Other</w:t>
            </w: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8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5"/>
              </w:rPr>
              <w:t>Financial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3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0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4"/>
              </w:rPr>
              <w:t>Group, Inc.</w:t>
            </w:r>
          </w:p>
        </w:tc>
        <w:tc>
          <w:tcPr>
            <w:tcW w:w="100" w:type="dxa"/>
            <w:vAlign w:val="bottom"/>
          </w:tcPr>
          <w:p>
            <w:pPr>
              <w:spacing w:after="0"/>
              <w:rPr>
                <w:sz w:val="11"/>
                <w:szCs w:val="11"/>
                <w:color w:val="auto"/>
              </w:rPr>
            </w:pPr>
          </w:p>
        </w:tc>
        <w:tc>
          <w:tcPr>
            <w:tcW w:w="130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3"/>
              </w:rPr>
              <w:t>Company</w:t>
            </w:r>
          </w:p>
        </w:tc>
        <w:tc>
          <w:tcPr>
            <w:tcW w:w="120" w:type="dxa"/>
            <w:vAlign w:val="bottom"/>
          </w:tcPr>
          <w:p>
            <w:pPr>
              <w:spacing w:after="0"/>
              <w:rPr>
                <w:sz w:val="11"/>
                <w:szCs w:val="11"/>
                <w:color w:val="auto"/>
              </w:rPr>
            </w:pPr>
          </w:p>
        </w:tc>
        <w:tc>
          <w:tcPr>
            <w:tcW w:w="1260" w:type="dxa"/>
            <w:vAlign w:val="bottom"/>
            <w:gridSpan w:val="2"/>
          </w:tcPr>
          <w:p>
            <w:pPr>
              <w:jc w:val="center"/>
              <w:ind w:right="400"/>
              <w:spacing w:after="0" w:line="135" w:lineRule="exact"/>
              <w:rPr>
                <w:sz w:val="20"/>
                <w:szCs w:val="20"/>
                <w:color w:val="auto"/>
              </w:rPr>
            </w:pPr>
            <w:r>
              <w:rPr>
                <w:rFonts w:ascii="Arial" w:cs="Arial" w:eastAsia="Arial" w:hAnsi="Arial"/>
                <w:sz w:val="14"/>
                <w:szCs w:val="14"/>
                <w:b w:val="1"/>
                <w:bCs w:val="1"/>
                <w:color w:val="auto"/>
                <w:w w:val="88"/>
              </w:rPr>
              <w:t>Subsidiaries</w:t>
            </w:r>
          </w:p>
        </w:tc>
        <w:tc>
          <w:tcPr>
            <w:tcW w:w="140" w:type="dxa"/>
            <w:vAlign w:val="bottom"/>
          </w:tcPr>
          <w:p>
            <w:pPr>
              <w:spacing w:after="0"/>
              <w:rPr>
                <w:sz w:val="11"/>
                <w:szCs w:val="11"/>
                <w:color w:val="auto"/>
              </w:rPr>
            </w:pPr>
          </w:p>
        </w:tc>
        <w:tc>
          <w:tcPr>
            <w:tcW w:w="1260" w:type="dxa"/>
            <w:vAlign w:val="bottom"/>
            <w:gridSpan w:val="2"/>
            <w:vMerge w:val="restart"/>
          </w:tcPr>
          <w:p>
            <w:pPr>
              <w:jc w:val="right"/>
              <w:ind w:right="440"/>
              <w:spacing w:after="0"/>
              <w:rPr>
                <w:sz w:val="20"/>
                <w:szCs w:val="20"/>
                <w:color w:val="auto"/>
              </w:rPr>
            </w:pPr>
            <w:r>
              <w:rPr>
                <w:rFonts w:ascii="Arial" w:cs="Arial" w:eastAsia="Arial" w:hAnsi="Arial"/>
                <w:sz w:val="14"/>
                <w:szCs w:val="14"/>
                <w:b w:val="1"/>
                <w:bCs w:val="1"/>
                <w:color w:val="auto"/>
                <w:w w:val="96"/>
              </w:rPr>
              <w:t>Eliminations</w:t>
            </w:r>
          </w:p>
        </w:tc>
        <w:tc>
          <w:tcPr>
            <w:tcW w:w="120" w:type="dxa"/>
            <w:vAlign w:val="bottom"/>
          </w:tcPr>
          <w:p>
            <w:pPr>
              <w:spacing w:after="0"/>
              <w:rPr>
                <w:sz w:val="11"/>
                <w:szCs w:val="11"/>
                <w:color w:val="auto"/>
              </w:rPr>
            </w:pPr>
          </w:p>
        </w:tc>
        <w:tc>
          <w:tcPr>
            <w:tcW w:w="108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3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0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4"/>
              </w:rPr>
              <w:t>Parent Only</w:t>
            </w:r>
          </w:p>
        </w:tc>
        <w:tc>
          <w:tcPr>
            <w:tcW w:w="100" w:type="dxa"/>
            <w:vAlign w:val="bottom"/>
          </w:tcPr>
          <w:p>
            <w:pPr>
              <w:spacing w:after="0"/>
              <w:rPr>
                <w:sz w:val="14"/>
                <w:szCs w:val="14"/>
                <w:color w:val="auto"/>
              </w:rPr>
            </w:pPr>
          </w:p>
        </w:tc>
        <w:tc>
          <w:tcPr>
            <w:tcW w:w="1300" w:type="dxa"/>
            <w:vAlign w:val="bottom"/>
            <w:gridSpan w:val="2"/>
          </w:tcPr>
          <w:p>
            <w:pPr>
              <w:jc w:val="right"/>
              <w:ind w:right="680"/>
              <w:spacing w:after="0"/>
              <w:rPr>
                <w:sz w:val="20"/>
                <w:szCs w:val="20"/>
                <w:color w:val="auto"/>
              </w:rPr>
            </w:pPr>
            <w:r>
              <w:rPr>
                <w:rFonts w:ascii="Arial" w:cs="Arial" w:eastAsia="Arial" w:hAnsi="Arial"/>
                <w:sz w:val="14"/>
                <w:szCs w:val="14"/>
                <w:b w:val="1"/>
                <w:bCs w:val="1"/>
                <w:color w:val="auto"/>
              </w:rPr>
              <w:t>Only</w:t>
            </w:r>
          </w:p>
        </w:tc>
        <w:tc>
          <w:tcPr>
            <w:tcW w:w="120" w:type="dxa"/>
            <w:vAlign w:val="bottom"/>
          </w:tcPr>
          <w:p>
            <w:pPr>
              <w:spacing w:after="0"/>
              <w:rPr>
                <w:sz w:val="14"/>
                <w:szCs w:val="14"/>
                <w:color w:val="auto"/>
              </w:rPr>
            </w:pPr>
          </w:p>
        </w:tc>
        <w:tc>
          <w:tcPr>
            <w:tcW w:w="12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3"/>
              </w:rPr>
              <w:t>Combined</w:t>
            </w:r>
          </w:p>
        </w:tc>
        <w:tc>
          <w:tcPr>
            <w:tcW w:w="140" w:type="dxa"/>
            <w:vAlign w:val="bottom"/>
          </w:tcPr>
          <w:p>
            <w:pPr>
              <w:spacing w:after="0"/>
              <w:rPr>
                <w:sz w:val="14"/>
                <w:szCs w:val="14"/>
                <w:color w:val="auto"/>
              </w:rPr>
            </w:pPr>
          </w:p>
        </w:tc>
        <w:tc>
          <w:tcPr>
            <w:tcW w:w="126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3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260" w:type="dxa"/>
            <w:vAlign w:val="bottom"/>
            <w:tcBorders>
              <w:top w:val="single" w:sz="8" w:color="auto"/>
            </w:tcBorders>
            <w:gridSpan w:val="2"/>
          </w:tcPr>
          <w:p>
            <w:pPr>
              <w:jc w:val="right"/>
              <w:ind w:right="480"/>
              <w:spacing w:after="0" w:line="129" w:lineRule="exact"/>
              <w:rPr>
                <w:sz w:val="20"/>
                <w:szCs w:val="20"/>
                <w:color w:val="auto"/>
              </w:rPr>
            </w:pPr>
            <w:r>
              <w:rPr>
                <w:rFonts w:ascii="Arial" w:cs="Arial" w:eastAsia="Arial" w:hAnsi="Arial"/>
                <w:sz w:val="14"/>
                <w:szCs w:val="14"/>
                <w:b w:val="1"/>
                <w:bCs w:val="1"/>
                <w:color w:val="auto"/>
                <w:w w:val="96"/>
              </w:rPr>
              <w:t>(in millions)</w:t>
            </w:r>
          </w:p>
        </w:tc>
        <w:tc>
          <w:tcPr>
            <w:tcW w:w="14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Financing activities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tcPr>
          <w:p>
            <w:pPr>
              <w:spacing w:after="0"/>
              <w:rPr>
                <w:sz w:val="20"/>
                <w:szCs w:val="20"/>
                <w:color w:val="auto"/>
              </w:rPr>
            </w:pPr>
            <w:r>
              <w:rPr>
                <w:rFonts w:ascii="Arial" w:cs="Arial" w:eastAsia="Arial" w:hAnsi="Arial"/>
                <w:sz w:val="18"/>
                <w:szCs w:val="18"/>
                <w:color w:val="auto"/>
              </w:rPr>
              <w:t>Issuance of common stock</w:t>
            </w: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25.8</w:t>
            </w:r>
          </w:p>
        </w:tc>
        <w:tc>
          <w:tcPr>
            <w:tcW w:w="3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25.8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color w:val="auto"/>
              </w:rPr>
              <w:t>Issuance of preferred stock</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542.0</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542.0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tcPr>
          <w:p>
            <w:pPr>
              <w:spacing w:after="0"/>
              <w:rPr>
                <w:sz w:val="20"/>
                <w:szCs w:val="20"/>
                <w:color w:val="auto"/>
              </w:rPr>
            </w:pPr>
            <w:r>
              <w:rPr>
                <w:rFonts w:ascii="Arial" w:cs="Arial" w:eastAsia="Arial" w:hAnsi="Arial"/>
                <w:sz w:val="18"/>
                <w:szCs w:val="18"/>
                <w:color w:val="auto"/>
              </w:rPr>
              <w:t>Acquisition and sales of treasury stock, net</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8"/>
                <w:szCs w:val="18"/>
                <w:color w:val="auto"/>
              </w:rPr>
              <w:t>(868.4)</w:t>
            </w:r>
          </w:p>
        </w:tc>
        <w:tc>
          <w:tcPr>
            <w:tcW w:w="100" w:type="dxa"/>
            <w:vAlign w:val="bottom"/>
          </w:tcPr>
          <w:p>
            <w:pPr>
              <w:spacing w:after="0"/>
              <w:rPr>
                <w:sz w:val="18"/>
                <w:szCs w:val="18"/>
                <w:color w:val="auto"/>
              </w:rPr>
            </w:pPr>
          </w:p>
        </w:tc>
        <w:tc>
          <w:tcPr>
            <w:tcW w:w="13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(868.4)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color w:val="auto"/>
              </w:rPr>
              <w:t>Proceeds from financing element derivatives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83.0</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tcPr>
          <w:p>
            <w:pPr>
              <w:spacing w:after="0"/>
              <w:rPr>
                <w:sz w:val="20"/>
                <w:szCs w:val="20"/>
                <w:color w:val="auto"/>
              </w:rPr>
            </w:pPr>
            <w:r>
              <w:rPr>
                <w:rFonts w:ascii="Arial" w:cs="Arial" w:eastAsia="Arial" w:hAnsi="Arial"/>
                <w:sz w:val="18"/>
                <w:szCs w:val="18"/>
                <w:color w:val="auto"/>
              </w:rPr>
              <w:t>Payments for financing element derivatives</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(55.6)</w:t>
            </w:r>
          </w:p>
        </w:tc>
        <w:tc>
          <w:tcPr>
            <w:tcW w:w="12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(55.6)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color w:val="auto"/>
              </w:rPr>
              <w:t>Issuance of long-term debt</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68.6</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83.6</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(140.0)</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tcPr>
          <w:p>
            <w:pPr>
              <w:spacing w:after="0"/>
              <w:rPr>
                <w:sz w:val="20"/>
                <w:szCs w:val="20"/>
                <w:color w:val="auto"/>
              </w:rPr>
            </w:pPr>
            <w:r>
              <w:rPr>
                <w:rFonts w:ascii="Arial" w:cs="Arial" w:eastAsia="Arial" w:hAnsi="Arial"/>
                <w:sz w:val="18"/>
                <w:szCs w:val="18"/>
                <w:color w:val="auto"/>
              </w:rPr>
              <w:t>Principal repayments of long-term debt</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(7.8)</w:t>
            </w:r>
          </w:p>
        </w:tc>
        <w:tc>
          <w:tcPr>
            <w:tcW w:w="120" w:type="dxa"/>
            <w:vAlign w:val="bottom"/>
          </w:tcPr>
          <w:p>
            <w:pPr>
              <w:spacing w:after="0"/>
              <w:rPr>
                <w:sz w:val="18"/>
                <w:szCs w:val="18"/>
                <w:color w:val="auto"/>
              </w:rPr>
            </w:pPr>
          </w:p>
        </w:tc>
        <w:tc>
          <w:tcPr>
            <w:tcW w:w="1260" w:type="dxa"/>
            <w:vAlign w:val="bottom"/>
            <w:gridSpan w:val="2"/>
          </w:tcPr>
          <w:p>
            <w:pPr>
              <w:jc w:val="right"/>
              <w:ind w:right="200"/>
              <w:spacing w:after="0"/>
              <w:rPr>
                <w:sz w:val="20"/>
                <w:szCs w:val="20"/>
                <w:color w:val="auto"/>
              </w:rPr>
            </w:pPr>
            <w:r>
              <w:rPr>
                <w:rFonts w:ascii="Arial" w:cs="Arial" w:eastAsia="Arial" w:hAnsi="Arial"/>
                <w:sz w:val="18"/>
                <w:szCs w:val="18"/>
                <w:color w:val="auto"/>
              </w:rPr>
              <w:t>(3.8)</w:t>
            </w: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0.1</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color w:val="auto"/>
              </w:rPr>
              <w:t>Net proceeds of short-term borrowings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168.3</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172.4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tcPr>
          <w:p>
            <w:pPr>
              <w:spacing w:after="0"/>
              <w:rPr>
                <w:sz w:val="20"/>
                <w:szCs w:val="20"/>
                <w:color w:val="auto"/>
              </w:rPr>
            </w:pPr>
            <w:r>
              <w:rPr>
                <w:rFonts w:ascii="Arial" w:cs="Arial" w:eastAsia="Arial" w:hAnsi="Arial"/>
                <w:sz w:val="18"/>
                <w:szCs w:val="18"/>
                <w:color w:val="auto"/>
              </w:rPr>
              <w:t>Capital received from (dividends paid to) parent</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35.0</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00"/>
              <w:spacing w:after="0"/>
              <w:rPr>
                <w:sz w:val="20"/>
                <w:szCs w:val="20"/>
                <w:color w:val="auto"/>
              </w:rPr>
            </w:pPr>
            <w:r>
              <w:rPr>
                <w:rFonts w:ascii="Arial" w:cs="Arial" w:eastAsia="Arial" w:hAnsi="Arial"/>
                <w:sz w:val="18"/>
                <w:szCs w:val="18"/>
                <w:color w:val="auto"/>
              </w:rPr>
              <w:t>(24.7)</w:t>
            </w:r>
          </w:p>
        </w:tc>
        <w:tc>
          <w:tcPr>
            <w:tcW w:w="14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(10.3)</w:t>
            </w:r>
          </w:p>
        </w:tc>
        <w:tc>
          <w:tcPr>
            <w:tcW w:w="12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color w:val="auto"/>
              </w:rPr>
              <w:t>Investment contract deposits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4,072.6</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4,072.6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tcPr>
          <w:p>
            <w:pPr>
              <w:spacing w:after="0"/>
              <w:rPr>
                <w:sz w:val="20"/>
                <w:szCs w:val="20"/>
                <w:color w:val="auto"/>
              </w:rPr>
            </w:pPr>
            <w:r>
              <w:rPr>
                <w:rFonts w:ascii="Arial" w:cs="Arial" w:eastAsia="Arial" w:hAnsi="Arial"/>
                <w:sz w:val="18"/>
                <w:szCs w:val="18"/>
                <w:color w:val="auto"/>
              </w:rPr>
              <w:t>Investment contract withdrawals</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(3,319.5)</w:t>
            </w:r>
          </w:p>
        </w:tc>
        <w:tc>
          <w:tcPr>
            <w:tcW w:w="12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(3,319.5)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color w:val="auto"/>
              </w:rPr>
              <w:t>Net increase in banking operation deposits</w:t>
            </w:r>
          </w:p>
        </w:tc>
        <w:tc>
          <w:tcPr>
            <w:tcW w:w="2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22.7</w:t>
            </w:r>
          </w:p>
        </w:tc>
        <w:tc>
          <w:tcPr>
            <w:tcW w:w="2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40" w:type="dxa"/>
            <w:vAlign w:val="bottom"/>
          </w:tcPr>
          <w:p>
            <w:pPr>
              <w:spacing w:after="0"/>
              <w:rPr>
                <w:sz w:val="20"/>
                <w:szCs w:val="20"/>
                <w:color w:val="auto"/>
              </w:rPr>
            </w:pPr>
            <w:r>
              <w:rPr>
                <w:rFonts w:ascii="Arial" w:cs="Arial" w:eastAsia="Arial" w:hAnsi="Arial"/>
                <w:sz w:val="18"/>
                <w:szCs w:val="18"/>
                <w:color w:val="auto"/>
              </w:rPr>
              <w:t>Net cash provided by (used in) financing activities</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8"/>
                <w:szCs w:val="18"/>
                <w:color w:val="auto"/>
              </w:rPr>
              <w:t>(300.6)</w:t>
            </w: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877.4</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246.1</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(147.2)</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675.7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Discontinued operations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tcPr>
          <w:p>
            <w:pPr>
              <w:spacing w:after="0"/>
              <w:rPr>
                <w:sz w:val="20"/>
                <w:szCs w:val="20"/>
                <w:color w:val="auto"/>
              </w:rPr>
            </w:pPr>
            <w:r>
              <w:rPr>
                <w:rFonts w:ascii="Arial" w:cs="Arial" w:eastAsia="Arial" w:hAnsi="Arial"/>
                <w:sz w:val="18"/>
                <w:szCs w:val="18"/>
                <w:color w:val="auto"/>
              </w:rPr>
              <w:t>Net cash used in operating activities</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investing activites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¾</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(0.1)</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40" w:type="dxa"/>
            <w:vAlign w:val="bottom"/>
            <w:vMerge w:val="restart"/>
          </w:tcPr>
          <w:p>
            <w:pPr>
              <w:spacing w:after="0"/>
              <w:rPr>
                <w:sz w:val="20"/>
                <w:szCs w:val="20"/>
                <w:color w:val="auto"/>
              </w:rPr>
            </w:pPr>
            <w:r>
              <w:rPr>
                <w:rFonts w:ascii="Arial" w:cs="Arial" w:eastAsia="Arial" w:hAnsi="Arial"/>
                <w:sz w:val="18"/>
                <w:szCs w:val="18"/>
                <w:color w:val="auto"/>
              </w:rPr>
              <w:t>Net cash used in discontinued operations</w:t>
            </w:r>
          </w:p>
        </w:tc>
        <w:tc>
          <w:tcPr>
            <w:tcW w:w="2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60" w:type="dxa"/>
            <w:vAlign w:val="bottom"/>
            <w:vMerge w:val="restart"/>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80" w:type="dxa"/>
            <w:vAlign w:val="bottom"/>
            <w:vMerge w:val="restart"/>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34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30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34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40" w:type="dxa"/>
            <w:vAlign w:val="bottom"/>
          </w:tcPr>
          <w:p>
            <w:pPr>
              <w:spacing w:after="0"/>
              <w:rPr>
                <w:sz w:val="20"/>
                <w:szCs w:val="20"/>
                <w:color w:val="auto"/>
              </w:rPr>
            </w:pPr>
            <w:r>
              <w:rPr>
                <w:rFonts w:ascii="Arial" w:cs="Arial" w:eastAsia="Arial" w:hAnsi="Arial"/>
                <w:sz w:val="18"/>
                <w:szCs w:val="18"/>
                <w:color w:val="auto"/>
              </w:rPr>
              <w:t>Net increase (decrease) in cash and cash equivalents</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8"/>
                <w:szCs w:val="18"/>
                <w:color w:val="auto"/>
              </w:rPr>
              <w:t>(52.1)</w:t>
            </w: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870.5</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00"/>
              <w:spacing w:after="0"/>
              <w:rPr>
                <w:sz w:val="20"/>
                <w:szCs w:val="20"/>
                <w:color w:val="auto"/>
              </w:rPr>
            </w:pPr>
            <w:r>
              <w:rPr>
                <w:rFonts w:ascii="Arial" w:cs="Arial" w:eastAsia="Arial" w:hAnsi="Arial"/>
                <w:sz w:val="18"/>
                <w:szCs w:val="18"/>
                <w:color w:val="auto"/>
              </w:rPr>
              <w:t>(35.9)</w:t>
            </w:r>
          </w:p>
        </w:tc>
        <w:tc>
          <w:tcPr>
            <w:tcW w:w="14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(63.4)</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719.1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3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4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75.4</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31.9</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410.0</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(64.8)</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452.5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4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Cash and cash equivalents at end of period</w:t>
            </w:r>
          </w:p>
        </w:tc>
        <w:tc>
          <w:tcPr>
            <w:tcW w:w="240" w:type="dxa"/>
            <w:vAlign w:val="bottom"/>
            <w:vMerge w:val="restart"/>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340" w:type="dxa"/>
            <w:vAlign w:val="bottom"/>
            <w:vMerge w:val="continue"/>
            <w:shd w:val="clear" w:color="auto" w:fill="CCEEFF"/>
          </w:tcPr>
          <w:p>
            <w:pPr>
              <w:spacing w:after="0"/>
              <w:rPr>
                <w:sz w:val="18"/>
                <w:szCs w:val="18"/>
                <w:color w:val="auto"/>
              </w:rPr>
            </w:pPr>
          </w:p>
        </w:tc>
        <w:tc>
          <w:tcPr>
            <w:tcW w:w="24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23.3</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902.4</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374.1</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(128.2)</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1,171.6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40" w:type="dxa"/>
            <w:vAlign w:val="bottom"/>
            <w:tcBorders>
              <w:top w:val="single" w:sz="8" w:color="CCEEFF"/>
              <w:bottom w:val="single" w:sz="8" w:color="CCEEFF"/>
            </w:tcBorders>
            <w:vMerge w:val="restart"/>
          </w:tcPr>
          <w:p>
            <w:pPr>
              <w:spacing w:after="0" w:line="191" w:lineRule="exact"/>
              <w:rPr>
                <w:sz w:val="20"/>
                <w:szCs w:val="20"/>
                <w:color w:val="auto"/>
              </w:rPr>
            </w:pPr>
            <w:r>
              <w:rPr>
                <w:rFonts w:ascii="Arial" w:cs="Arial" w:eastAsia="Arial" w:hAnsi="Arial"/>
                <w:sz w:val="18"/>
                <w:szCs w:val="18"/>
                <w:b w:val="1"/>
                <w:bCs w:val="1"/>
                <w:color w:val="auto"/>
                <w:w w:val="92"/>
              </w:rPr>
              <w:t>Cash and cash equivalents of discontinued operations</w:t>
            </w:r>
          </w:p>
        </w:tc>
        <w:tc>
          <w:tcPr>
            <w:tcW w:w="2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20" w:type="dxa"/>
            <w:vAlign w:val="bottom"/>
          </w:tcPr>
          <w:p>
            <w:pPr>
              <w:spacing w:after="0"/>
              <w:rPr>
                <w:sz w:val="13"/>
                <w:szCs w:val="13"/>
                <w:color w:val="auto"/>
              </w:rPr>
            </w:pPr>
          </w:p>
        </w:tc>
        <w:tc>
          <w:tcPr>
            <w:tcW w:w="4340" w:type="dxa"/>
            <w:vAlign w:val="bottom"/>
            <w:vMerge w:val="continue"/>
          </w:tcPr>
          <w:p>
            <w:pPr>
              <w:spacing w:after="0"/>
              <w:rPr>
                <w:sz w:val="13"/>
                <w:szCs w:val="13"/>
                <w:color w:val="auto"/>
              </w:rPr>
            </w:pPr>
          </w:p>
        </w:tc>
        <w:tc>
          <w:tcPr>
            <w:tcW w:w="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340" w:type="dxa"/>
            <w:vAlign w:val="bottom"/>
          </w:tcPr>
          <w:p>
            <w:pPr>
              <w:ind w:left="160"/>
              <w:spacing w:after="0"/>
              <w:rPr>
                <w:sz w:val="20"/>
                <w:szCs w:val="20"/>
                <w:color w:val="auto"/>
              </w:rPr>
            </w:pPr>
            <w:r>
              <w:rPr>
                <w:rFonts w:ascii="Arial" w:cs="Arial" w:eastAsia="Arial" w:hAnsi="Arial"/>
                <w:sz w:val="18"/>
                <w:szCs w:val="18"/>
                <w:b w:val="1"/>
                <w:bCs w:val="1"/>
                <w:color w:val="auto"/>
              </w:rPr>
              <w:t>included above</w:t>
            </w: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At beginning of period</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40" w:top="121" w:right="199" w:bottom="0" w:gutter="0" w:footer="0" w:header="0"/>
        </w:sectPr>
      </w:pPr>
    </w:p>
    <w:bookmarkStart w:id="21" w:name="page22"/>
    <w:bookmarkEnd w:id="21"/>
    <w:p>
      <w:pPr>
        <w:ind w:left="180"/>
        <w:spacing w:after="0"/>
        <w:tabs>
          <w:tab w:leader="none" w:pos="4580" w:val="left"/>
          <w:tab w:leader="none" w:pos="5540" w:val="left"/>
          <w:tab w:leader="none" w:pos="6020" w:val="left"/>
          <w:tab w:leader="none" w:pos="6900" w:val="left"/>
          <w:tab w:leader="none" w:pos="7420" w:val="left"/>
          <w:tab w:leader="none" w:pos="8340" w:val="left"/>
          <w:tab w:leader="none" w:pos="8800" w:val="left"/>
          <w:tab w:leader="none" w:pos="9740" w:val="left"/>
          <w:tab w:leader="none" w:pos="10200" w:val="left"/>
          <w:tab w:leader="none" w:pos="11080" w:val="left"/>
        </w:tabs>
        <w:rPr>
          <w:sz w:val="20"/>
          <w:szCs w:val="20"/>
          <w:color w:val="auto"/>
        </w:rPr>
      </w:pPr>
      <w:r>
        <w:rPr>
          <w:rFonts w:ascii="Arial" w:cs="Arial" w:eastAsia="Arial" w:hAnsi="Arial"/>
          <w:sz w:val="18"/>
          <w:szCs w:val="18"/>
          <w:color w:val="auto"/>
        </w:rPr>
        <w:t>At end of period</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1.7</w:t>
        <w:tab/>
        <w:t>$</w:t>
      </w:r>
      <w:r>
        <w:rPr>
          <w:sz w:val="20"/>
          <w:szCs w:val="20"/>
          <w:color w:val="auto"/>
        </w:rPr>
        <w:tab/>
      </w:r>
      <w:r>
        <w:rPr>
          <w:rFonts w:ascii="Arial" w:cs="Arial" w:eastAsia="Arial" w:hAnsi="Arial"/>
          <w:sz w:val="18"/>
          <w:szCs w:val="18"/>
          <w:color w:val="auto"/>
        </w:rPr>
        <w:t>—</w:t>
        <w:tab/>
        <w:t>$</w:t>
      </w:r>
      <w:r>
        <w:rPr>
          <w:sz w:val="20"/>
          <w:szCs w:val="20"/>
          <w:color w:val="auto"/>
        </w:rPr>
        <w:tab/>
      </w:r>
      <w:r>
        <w:rPr>
          <w:rFonts w:ascii="Arial" w:cs="Arial" w:eastAsia="Arial" w:hAnsi="Arial"/>
          <w:sz w:val="18"/>
          <w:szCs w:val="18"/>
          <w:color w:val="auto"/>
        </w:rPr>
        <w:t>—</w:t>
        <w:tab/>
        <w:t>$</w:t>
      </w:r>
      <w:r>
        <w:rPr>
          <w:sz w:val="20"/>
          <w:szCs w:val="20"/>
          <w:color w:val="auto"/>
        </w:rPr>
        <w:tab/>
      </w:r>
      <w:r>
        <w:rPr>
          <w:rFonts w:ascii="Arial" w:cs="Arial" w:eastAsia="Arial" w:hAnsi="Arial"/>
          <w:sz w:val="15"/>
          <w:szCs w:val="15"/>
          <w:color w:val="auto"/>
        </w:rPr>
        <w:t>1.7</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pacing w:after="0" w:line="229" w:lineRule="exact"/>
        <w:rPr>
          <w:sz w:val="20"/>
          <w:szCs w:val="20"/>
          <w:color w:val="auto"/>
        </w:rPr>
      </w:pPr>
    </w:p>
    <w:p>
      <w:pPr>
        <w:ind w:right="160" w:firstLine="648"/>
        <w:spacing w:after="0" w:line="293" w:lineRule="auto"/>
        <w:rPr>
          <w:sz w:val="20"/>
          <w:szCs w:val="20"/>
          <w:color w:val="auto"/>
        </w:rPr>
      </w:pPr>
      <w:r>
        <w:rPr>
          <w:rFonts w:ascii="Arial" w:cs="Arial" w:eastAsia="Arial" w:hAnsi="Arial"/>
          <w:sz w:val="16"/>
          <w:szCs w:val="16"/>
          <w:color w:val="auto"/>
        </w:rPr>
        <w:t>On June 30, 2004, our shelf registration statement with the SEC was declared effective. Following our June 2005 issuance of perpetual preferred stock under the shelf registration, we now have the ability to issue up to $2.45 billion of debt securities, preferred stock, common stock, warrants, stock purchase contracts and stock purchase units of PFG and trust preferred securities of three subsidiary trusts. If we issue additional securities, we intend to use the proceeds from the sale of the securities for general corporate purposes, including working capital, capital expenditures, investments in subsidiaries, share repurchase, acquisitions and refinancing of debt, including commercial paper and other short-term indebtedness. Principal Financial Services, Inc. unconditionally guarantees our obligations with respect to one or more series of debt securities described in the shelf registration statement.</w:t>
      </w:r>
    </w:p>
    <w:p>
      <w:pPr>
        <w:spacing w:after="0" w:line="165" w:lineRule="exact"/>
        <w:rPr>
          <w:sz w:val="20"/>
          <w:szCs w:val="20"/>
          <w:color w:val="auto"/>
        </w:rPr>
      </w:pPr>
    </w:p>
    <w:p>
      <w:pPr>
        <w:ind w:right="520" w:firstLine="630"/>
        <w:spacing w:after="0" w:line="277" w:lineRule="auto"/>
        <w:rPr>
          <w:sz w:val="20"/>
          <w:szCs w:val="20"/>
          <w:color w:val="auto"/>
        </w:rPr>
      </w:pPr>
      <w:r>
        <w:rPr>
          <w:rFonts w:ascii="Arial" w:cs="Arial" w:eastAsia="Arial" w:hAnsi="Arial"/>
          <w:sz w:val="18"/>
          <w:szCs w:val="18"/>
          <w:color w:val="auto"/>
        </w:rPr>
        <w:t>The following tables set forth condensed consolidating financial information of Principal Financial Services, Inc. and PFG as of June 30, 2006 and December 31, 2005, and for the six months ended June 30, 2006 and 2005.</w:t>
      </w:r>
    </w:p>
    <w:p>
      <w:pPr>
        <w:spacing w:after="0" w:line="16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Financial Position</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jc w:val="center"/>
              <w:ind w:right="35"/>
              <w:spacing w:after="0"/>
              <w:rPr>
                <w:sz w:val="20"/>
                <w:szCs w:val="20"/>
                <w:color w:val="auto"/>
              </w:rPr>
            </w:pPr>
            <w:r>
              <w:rPr>
                <w:rFonts w:ascii="Arial" w:cs="Arial" w:eastAsia="Arial" w:hAnsi="Arial"/>
                <w:sz w:val="14"/>
                <w:szCs w:val="14"/>
                <w:b w:val="1"/>
                <w:bCs w:val="1"/>
                <w:color w:val="auto"/>
                <w:w w:val="95"/>
              </w:rPr>
              <w:t>Principal Life</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4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00" w:type="dxa"/>
            <w:vAlign w:val="bottom"/>
            <w:gridSpan w:val="2"/>
            <w:vMerge w:val="restart"/>
          </w:tcPr>
          <w:p>
            <w:pPr>
              <w:jc w:val="center"/>
              <w:ind w:right="440"/>
              <w:spacing w:after="0"/>
              <w:rPr>
                <w:sz w:val="20"/>
                <w:szCs w:val="20"/>
                <w:color w:val="auto"/>
              </w:rPr>
            </w:pPr>
            <w:r>
              <w:rPr>
                <w:rFonts w:ascii="Arial" w:cs="Arial" w:eastAsia="Arial" w:hAnsi="Arial"/>
                <w:sz w:val="14"/>
                <w:szCs w:val="14"/>
                <w:b w:val="1"/>
                <w:bCs w:val="1"/>
                <w:color w:val="auto"/>
                <w:w w:val="97"/>
              </w:rPr>
              <w:t>Principal</w:t>
            </w:r>
          </w:p>
        </w:tc>
        <w:tc>
          <w:tcPr>
            <w:tcW w:w="120" w:type="dxa"/>
            <w:vAlign w:val="bottom"/>
          </w:tcPr>
          <w:p>
            <w:pPr>
              <w:spacing w:after="0"/>
              <w:rPr>
                <w:sz w:val="11"/>
                <w:szCs w:val="11"/>
                <w:color w:val="auto"/>
              </w:rPr>
            </w:pPr>
          </w:p>
        </w:tc>
        <w:tc>
          <w:tcPr>
            <w:tcW w:w="1000" w:type="dxa"/>
            <w:vAlign w:val="bottom"/>
            <w:vMerge w:val="restart"/>
          </w:tcPr>
          <w:p>
            <w:pPr>
              <w:jc w:val="center"/>
              <w:ind w:right="73"/>
              <w:spacing w:after="0"/>
              <w:rPr>
                <w:sz w:val="20"/>
                <w:szCs w:val="20"/>
                <w:color w:val="auto"/>
              </w:rPr>
            </w:pPr>
            <w:r>
              <w:rPr>
                <w:rFonts w:ascii="Arial" w:cs="Arial" w:eastAsia="Arial" w:hAnsi="Arial"/>
                <w:sz w:val="14"/>
                <w:szCs w:val="14"/>
                <w:b w:val="1"/>
                <w:bCs w:val="1"/>
                <w:color w:val="auto"/>
                <w:w w:val="94"/>
              </w:rPr>
              <w:t>Principal</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jc w:val="center"/>
              <w:ind w:right="55"/>
              <w:spacing w:after="0" w:line="135" w:lineRule="exact"/>
              <w:rPr>
                <w:sz w:val="20"/>
                <w:szCs w:val="20"/>
                <w:color w:val="auto"/>
              </w:rPr>
            </w:pPr>
            <w:r>
              <w:rPr>
                <w:rFonts w:ascii="Arial" w:cs="Arial" w:eastAsia="Arial" w:hAnsi="Arial"/>
                <w:sz w:val="14"/>
                <w:szCs w:val="14"/>
                <w:b w:val="1"/>
                <w:bCs w:val="1"/>
                <w:color w:val="auto"/>
                <w:w w:val="93"/>
              </w:rPr>
              <w:t>Insurance</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4"/>
              </w:rPr>
              <w:t>Principal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0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vMerge w:val="continue"/>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jc w:val="center"/>
              <w:ind w:right="35"/>
              <w:spacing w:after="0" w:line="135" w:lineRule="exact"/>
              <w:rPr>
                <w:sz w:val="20"/>
                <w:szCs w:val="20"/>
                <w:color w:val="auto"/>
              </w:rPr>
            </w:pPr>
            <w:r>
              <w:rPr>
                <w:rFonts w:ascii="Arial" w:cs="Arial" w:eastAsia="Arial" w:hAnsi="Arial"/>
                <w:sz w:val="14"/>
                <w:szCs w:val="14"/>
                <w:b w:val="1"/>
                <w:bCs w:val="1"/>
                <w:color w:val="auto"/>
                <w:w w:val="95"/>
              </w:rPr>
              <w:t>Company and</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0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5"/>
              </w:rPr>
              <w:t>Financial</w:t>
            </w:r>
          </w:p>
        </w:tc>
        <w:tc>
          <w:tcPr>
            <w:tcW w:w="120" w:type="dxa"/>
            <w:vAlign w:val="bottom"/>
          </w:tcPr>
          <w:p>
            <w:pPr>
              <w:spacing w:after="0"/>
              <w:rPr>
                <w:sz w:val="11"/>
                <w:szCs w:val="11"/>
                <w:color w:val="auto"/>
              </w:rPr>
            </w:pPr>
          </w:p>
        </w:tc>
        <w:tc>
          <w:tcPr>
            <w:tcW w:w="1000" w:type="dxa"/>
            <w:vAlign w:val="bottom"/>
          </w:tcPr>
          <w:p>
            <w:pPr>
              <w:jc w:val="center"/>
              <w:ind w:right="53"/>
              <w:spacing w:after="0" w:line="135" w:lineRule="exact"/>
              <w:rPr>
                <w:sz w:val="20"/>
                <w:szCs w:val="20"/>
                <w:color w:val="auto"/>
              </w:rPr>
            </w:pPr>
            <w:r>
              <w:rPr>
                <w:rFonts w:ascii="Arial" w:cs="Arial" w:eastAsia="Arial" w:hAnsi="Arial"/>
                <w:sz w:val="14"/>
                <w:szCs w:val="14"/>
                <w:b w:val="1"/>
                <w:bCs w:val="1"/>
                <w:color w:val="auto"/>
                <w:w w:val="95"/>
              </w:rPr>
              <w:t>Financial</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jc w:val="center"/>
              <w:ind w:right="35"/>
              <w:spacing w:after="0" w:line="135" w:lineRule="exact"/>
              <w:rPr>
                <w:sz w:val="20"/>
                <w:szCs w:val="20"/>
                <w:color w:val="auto"/>
              </w:rPr>
            </w:pPr>
            <w:r>
              <w:rPr>
                <w:rFonts w:ascii="Arial" w:cs="Arial" w:eastAsia="Arial" w:hAnsi="Arial"/>
                <w:sz w:val="14"/>
                <w:szCs w:val="14"/>
                <w:b w:val="1"/>
                <w:bCs w:val="1"/>
                <w:color w:val="auto"/>
                <w:w w:val="96"/>
              </w:rPr>
              <w:t>Other</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5"/>
              </w:rPr>
              <w:t>Financial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0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4"/>
              </w:rPr>
              <w:t>Group, Inc.</w:t>
            </w:r>
          </w:p>
        </w:tc>
        <w:tc>
          <w:tcPr>
            <w:tcW w:w="120" w:type="dxa"/>
            <w:vAlign w:val="bottom"/>
          </w:tcPr>
          <w:p>
            <w:pPr>
              <w:spacing w:after="0"/>
              <w:rPr>
                <w:sz w:val="11"/>
                <w:szCs w:val="11"/>
                <w:color w:val="auto"/>
              </w:rPr>
            </w:pPr>
          </w:p>
        </w:tc>
        <w:tc>
          <w:tcPr>
            <w:tcW w:w="1000" w:type="dxa"/>
            <w:vAlign w:val="bottom"/>
          </w:tcPr>
          <w:p>
            <w:pPr>
              <w:jc w:val="center"/>
              <w:ind w:right="53"/>
              <w:spacing w:after="0" w:line="135" w:lineRule="exact"/>
              <w:rPr>
                <w:sz w:val="20"/>
                <w:szCs w:val="20"/>
                <w:color w:val="auto"/>
              </w:rPr>
            </w:pPr>
            <w:r>
              <w:rPr>
                <w:rFonts w:ascii="Arial" w:cs="Arial" w:eastAsia="Arial" w:hAnsi="Arial"/>
                <w:sz w:val="14"/>
                <w:szCs w:val="14"/>
                <w:b w:val="1"/>
                <w:bCs w:val="1"/>
                <w:color w:val="auto"/>
                <w:w w:val="91"/>
              </w:rPr>
              <w:t>Services, Inc.</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jc w:val="center"/>
              <w:ind w:right="35"/>
              <w:spacing w:after="0" w:line="135" w:lineRule="exact"/>
              <w:rPr>
                <w:sz w:val="20"/>
                <w:szCs w:val="20"/>
                <w:color w:val="auto"/>
              </w:rPr>
            </w:pPr>
            <w:r>
              <w:rPr>
                <w:rFonts w:ascii="Arial" w:cs="Arial" w:eastAsia="Arial" w:hAnsi="Arial"/>
                <w:sz w:val="14"/>
                <w:szCs w:val="14"/>
                <w:b w:val="1"/>
                <w:bCs w:val="1"/>
                <w:color w:val="auto"/>
                <w:w w:val="91"/>
              </w:rPr>
              <w:t>Subsidiaries</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w w:val="96"/>
              </w:rPr>
              <w:t>Eliminations</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7"/>
              </w:rPr>
              <w:t>Group, Inc.</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4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0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4"/>
              </w:rPr>
              <w:t>Parent Only</w:t>
            </w:r>
          </w:p>
        </w:tc>
        <w:tc>
          <w:tcPr>
            <w:tcW w:w="120" w:type="dxa"/>
            <w:vAlign w:val="bottom"/>
          </w:tcPr>
          <w:p>
            <w:pPr>
              <w:spacing w:after="0"/>
              <w:rPr>
                <w:sz w:val="14"/>
                <w:szCs w:val="14"/>
                <w:color w:val="auto"/>
              </w:rPr>
            </w:pPr>
          </w:p>
        </w:tc>
        <w:tc>
          <w:tcPr>
            <w:tcW w:w="1000" w:type="dxa"/>
            <w:vAlign w:val="bottom"/>
          </w:tcPr>
          <w:p>
            <w:pPr>
              <w:jc w:val="center"/>
              <w:ind w:right="53"/>
              <w:spacing w:after="0"/>
              <w:rPr>
                <w:sz w:val="20"/>
                <w:szCs w:val="20"/>
                <w:color w:val="auto"/>
              </w:rPr>
            </w:pPr>
            <w:r>
              <w:rPr>
                <w:rFonts w:ascii="Arial" w:cs="Arial" w:eastAsia="Arial" w:hAnsi="Arial"/>
                <w:sz w:val="14"/>
                <w:szCs w:val="14"/>
                <w:b w:val="1"/>
                <w:bCs w:val="1"/>
                <w:color w:val="auto"/>
                <w:w w:val="96"/>
              </w:rPr>
              <w:t>Only</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jc w:val="center"/>
              <w:ind w:right="35"/>
              <w:spacing w:after="0"/>
              <w:rPr>
                <w:sz w:val="20"/>
                <w:szCs w:val="20"/>
                <w:color w:val="auto"/>
              </w:rPr>
            </w:pPr>
            <w:r>
              <w:rPr>
                <w:rFonts w:ascii="Arial" w:cs="Arial" w:eastAsia="Arial" w:hAnsi="Arial"/>
                <w:sz w:val="14"/>
                <w:szCs w:val="14"/>
                <w:b w:val="1"/>
                <w:bCs w:val="1"/>
                <w:color w:val="auto"/>
                <w:w w:val="93"/>
              </w:rPr>
              <w:t>Combined</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46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jc w:val="right"/>
              <w:ind w:right="155"/>
              <w:spacing w:after="0" w:line="129" w:lineRule="exact"/>
              <w:rPr>
                <w:sz w:val="20"/>
                <w:szCs w:val="20"/>
                <w:color w:val="auto"/>
              </w:rPr>
            </w:pPr>
            <w:r>
              <w:rPr>
                <w:rFonts w:ascii="Arial" w:cs="Arial" w:eastAsia="Arial" w:hAnsi="Arial"/>
                <w:sz w:val="14"/>
                <w:szCs w:val="14"/>
                <w:b w:val="1"/>
                <w:bCs w:val="1"/>
                <w:color w:val="auto"/>
                <w:w w:val="94"/>
              </w:rPr>
              <w:t>(in millions)</w:t>
            </w:r>
          </w:p>
        </w:tc>
        <w:tc>
          <w:tcPr>
            <w:tcW w:w="2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30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14.9</w:t>
            </w:r>
          </w:p>
        </w:tc>
        <w:tc>
          <w:tcPr>
            <w:tcW w:w="4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42,278.5</w:t>
            </w:r>
          </w:p>
        </w:tc>
        <w:tc>
          <w:tcPr>
            <w:tcW w:w="4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42,293.4</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trading</w:t>
            </w:r>
          </w:p>
        </w:tc>
        <w:tc>
          <w:tcPr>
            <w:tcW w:w="1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252.0</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252.0</w:t>
            </w:r>
          </w:p>
        </w:tc>
        <w:tc>
          <w:tcPr>
            <w:tcW w:w="1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Equity securities, available-for-sale</w:t>
            </w:r>
          </w:p>
        </w:tc>
        <w:tc>
          <w:tcPr>
            <w:tcW w:w="120" w:type="dxa"/>
            <w:vAlign w:val="bottom"/>
          </w:tcPr>
          <w:p>
            <w:pPr>
              <w:spacing w:after="0"/>
              <w:rPr>
                <w:sz w:val="18"/>
                <w:szCs w:val="18"/>
                <w:color w:val="auto"/>
              </w:rPr>
            </w:pPr>
          </w:p>
        </w:tc>
        <w:tc>
          <w:tcPr>
            <w:tcW w:w="130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1.1</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676.1</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677.2</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 trading</w:t>
            </w:r>
          </w:p>
        </w:tc>
        <w:tc>
          <w:tcPr>
            <w:tcW w:w="1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148.3</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148.3</w:t>
            </w:r>
          </w:p>
        </w:tc>
        <w:tc>
          <w:tcPr>
            <w:tcW w:w="1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Mortgage loans</w:t>
            </w:r>
          </w:p>
        </w:tc>
        <w:tc>
          <w:tcPr>
            <w:tcW w:w="120" w:type="dxa"/>
            <w:vAlign w:val="bottom"/>
          </w:tcPr>
          <w:p>
            <w:pPr>
              <w:spacing w:after="0"/>
              <w:rPr>
                <w:sz w:val="18"/>
                <w:szCs w:val="18"/>
                <w:color w:val="auto"/>
              </w:rPr>
            </w:pPr>
          </w:p>
        </w:tc>
        <w:tc>
          <w:tcPr>
            <w:tcW w:w="130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11,543.9</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11,543.9</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Real estate</w:t>
            </w:r>
          </w:p>
        </w:tc>
        <w:tc>
          <w:tcPr>
            <w:tcW w:w="1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997.2</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997.2</w:t>
            </w:r>
          </w:p>
        </w:tc>
        <w:tc>
          <w:tcPr>
            <w:tcW w:w="1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Policy loans</w:t>
            </w:r>
          </w:p>
        </w:tc>
        <w:tc>
          <w:tcPr>
            <w:tcW w:w="120" w:type="dxa"/>
            <w:vAlign w:val="bottom"/>
          </w:tcPr>
          <w:p>
            <w:pPr>
              <w:spacing w:after="0"/>
              <w:rPr>
                <w:sz w:val="18"/>
                <w:szCs w:val="18"/>
                <w:color w:val="auto"/>
              </w:rPr>
            </w:pPr>
          </w:p>
        </w:tc>
        <w:tc>
          <w:tcPr>
            <w:tcW w:w="130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843.2</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843.2</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Investment in unconsolidated entities</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6,664.0</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6,935.8</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257.6</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(13,599.7)</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257.7</w:t>
            </w:r>
          </w:p>
        </w:tc>
        <w:tc>
          <w:tcPr>
            <w:tcW w:w="1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Other investments</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19.2</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19.0</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1,092.3</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(19.4)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1,111.1</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166.7</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774.1</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1,113.1</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(837.0)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1,216.9</w:t>
            </w:r>
          </w:p>
        </w:tc>
        <w:tc>
          <w:tcPr>
            <w:tcW w:w="1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Accrued investment income</w:t>
            </w:r>
          </w:p>
        </w:tc>
        <w:tc>
          <w:tcPr>
            <w:tcW w:w="120" w:type="dxa"/>
            <w:vAlign w:val="bottom"/>
          </w:tcPr>
          <w:p>
            <w:pPr>
              <w:spacing w:after="0"/>
              <w:rPr>
                <w:sz w:val="18"/>
                <w:szCs w:val="18"/>
                <w:color w:val="auto"/>
              </w:rPr>
            </w:pPr>
          </w:p>
        </w:tc>
        <w:tc>
          <w:tcPr>
            <w:tcW w:w="130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0.2</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665.8</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666.0</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Premiums due and other receivables</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¾</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625.0</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¾</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626.8</w:t>
            </w:r>
          </w:p>
        </w:tc>
        <w:tc>
          <w:tcPr>
            <w:tcW w:w="1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Deferred policy acquisition cost</w:t>
            </w:r>
          </w:p>
        </w:tc>
        <w:tc>
          <w:tcPr>
            <w:tcW w:w="120" w:type="dxa"/>
            <w:vAlign w:val="bottom"/>
          </w:tcPr>
          <w:p>
            <w:pPr>
              <w:spacing w:after="0"/>
              <w:rPr>
                <w:sz w:val="18"/>
                <w:szCs w:val="18"/>
                <w:color w:val="auto"/>
              </w:rPr>
            </w:pPr>
          </w:p>
        </w:tc>
        <w:tc>
          <w:tcPr>
            <w:tcW w:w="130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2,455.6</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2,455.6</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Property and equipment</w:t>
            </w:r>
          </w:p>
        </w:tc>
        <w:tc>
          <w:tcPr>
            <w:tcW w:w="1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420.2</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420.2</w:t>
            </w:r>
          </w:p>
        </w:tc>
        <w:tc>
          <w:tcPr>
            <w:tcW w:w="1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Goodwill</w:t>
            </w:r>
          </w:p>
        </w:tc>
        <w:tc>
          <w:tcPr>
            <w:tcW w:w="120" w:type="dxa"/>
            <w:vAlign w:val="bottom"/>
          </w:tcPr>
          <w:p>
            <w:pPr>
              <w:spacing w:after="0"/>
              <w:rPr>
                <w:sz w:val="18"/>
                <w:szCs w:val="18"/>
                <w:color w:val="auto"/>
              </w:rPr>
            </w:pPr>
          </w:p>
        </w:tc>
        <w:tc>
          <w:tcPr>
            <w:tcW w:w="130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297.8</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297.8</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Other intangibles</w:t>
            </w:r>
          </w:p>
        </w:tc>
        <w:tc>
          <w:tcPr>
            <w:tcW w:w="1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199.3</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199.3</w:t>
            </w:r>
          </w:p>
        </w:tc>
        <w:tc>
          <w:tcPr>
            <w:tcW w:w="1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Separate account assets</w:t>
            </w:r>
          </w:p>
        </w:tc>
        <w:tc>
          <w:tcPr>
            <w:tcW w:w="120" w:type="dxa"/>
            <w:vAlign w:val="bottom"/>
          </w:tcPr>
          <w:p>
            <w:pPr>
              <w:spacing w:after="0"/>
              <w:rPr>
                <w:sz w:val="18"/>
                <w:szCs w:val="18"/>
                <w:color w:val="auto"/>
              </w:rPr>
            </w:pPr>
          </w:p>
        </w:tc>
        <w:tc>
          <w:tcPr>
            <w:tcW w:w="130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65,620.2</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65,620.2</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1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1,803.4</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(2.0)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1,802.6</w:t>
            </w:r>
          </w:p>
        </w:tc>
        <w:tc>
          <w:tcPr>
            <w:tcW w:w="1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620" w:type="dxa"/>
            <w:vAlign w:val="bottom"/>
          </w:tcPr>
          <w:p>
            <w:pPr>
              <w:ind w:left="180"/>
              <w:spacing w:after="0"/>
              <w:rPr>
                <w:sz w:val="20"/>
                <w:szCs w:val="20"/>
                <w:color w:val="auto"/>
              </w:rPr>
            </w:pPr>
            <w:r>
              <w:rPr>
                <w:rFonts w:ascii="Arial" w:cs="Arial" w:eastAsia="Arial" w:hAnsi="Arial"/>
                <w:sz w:val="18"/>
                <w:szCs w:val="18"/>
                <w:color w:val="auto"/>
              </w:rPr>
              <w:t>Total assets</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6,849.9</w:t>
            </w:r>
          </w:p>
        </w:tc>
        <w:tc>
          <w:tcPr>
            <w:tcW w:w="30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7,748.1</w:t>
            </w:r>
          </w:p>
        </w:tc>
        <w:tc>
          <w:tcPr>
            <w:tcW w:w="28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131,289.5</w:t>
            </w:r>
          </w:p>
        </w:tc>
        <w:tc>
          <w:tcPr>
            <w:tcW w:w="28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(14,458.1</w:t>
            </w:r>
          </w:p>
        </w:tc>
        <w:tc>
          <w:tcPr>
            <w:tcW w:w="160" w:type="dxa"/>
            <w:vAlign w:val="bottom"/>
          </w:tcPr>
          <w:p>
            <w:pPr>
              <w:jc w:val="right"/>
              <w:ind w:right="20"/>
              <w:spacing w:after="0"/>
              <w:rPr>
                <w:sz w:val="20"/>
                <w:szCs w:val="20"/>
                <w:color w:val="auto"/>
              </w:rPr>
            </w:pPr>
            <w:r>
              <w:rPr>
                <w:rFonts w:ascii="Arial" w:cs="Arial" w:eastAsia="Arial" w:hAnsi="Arial"/>
                <w:sz w:val="16"/>
                <w:szCs w:val="16"/>
                <w:b w:val="1"/>
                <w:bCs w:val="1"/>
                <w:color w:val="auto"/>
                <w:w w:val="74"/>
              </w:rPr>
              <w:t>)</w:t>
            </w:r>
          </w:p>
        </w:tc>
        <w:tc>
          <w:tcPr>
            <w:tcW w:w="10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131,429.4</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6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4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8"/>
                <w:szCs w:val="18"/>
                <w:color w:val="auto"/>
              </w:rPr>
              <w:t>32</w:t>
            </w: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462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000" w:type="dxa"/>
            <w:vAlign w:val="bottom"/>
            <w:tcBorders>
              <w:bottom w:val="single" w:sz="8" w:color="010101"/>
            </w:tcBorders>
          </w:tcPr>
          <w:p>
            <w:pPr>
              <w:spacing w:after="0"/>
              <w:rPr>
                <w:sz w:val="24"/>
                <w:szCs w:val="24"/>
                <w:color w:val="auto"/>
              </w:rPr>
            </w:pPr>
          </w:p>
        </w:tc>
        <w:tc>
          <w:tcPr>
            <w:tcW w:w="30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00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00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98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98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Financial Position (continued)</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June 30, 2006</w:t>
      </w:r>
    </w:p>
    <w:p>
      <w:pPr>
        <w:sectPr>
          <w:pgSz w:w="11900" w:h="16838" w:orient="portrait"/>
          <w:cols w:equalWidth="0" w:num="1">
            <w:col w:w="11460"/>
          </w:cols>
          <w:pgMar w:left="240" w:top="125" w:right="199" w:bottom="450" w:gutter="0" w:footer="0" w:header="0"/>
        </w:sectPr>
      </w:pPr>
    </w:p>
    <w:bookmarkStart w:id="22" w:name="page23"/>
    <w:bookmarkEnd w:id="22"/>
    <w:tbl>
      <w:tblPr>
        <w:tblLayout w:type="fixed"/>
        <w:tblInd w:w="0" w:type="dxa"/>
        <w:tblCellMar>
          <w:top w:w="0" w:type="dxa"/>
          <w:left w:w="0" w:type="dxa"/>
          <w:bottom w:w="0" w:type="dxa"/>
          <w:right w:w="0" w:type="dxa"/>
        </w:tblCellMar>
      </w:tblPr>
      <w:tr>
        <w:trPr>
          <w:trHeight w:val="161"/>
        </w:trPr>
        <w:tc>
          <w:tcPr>
            <w:tcW w:w="4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5"/>
              </w:rPr>
              <w:t>Principal Life</w:t>
            </w: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4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94"/>
              </w:rPr>
              <w:t>Principal</w:t>
            </w:r>
          </w:p>
        </w:tc>
        <w:tc>
          <w:tcPr>
            <w:tcW w:w="120" w:type="dxa"/>
            <w:vAlign w:val="bottom"/>
          </w:tcPr>
          <w:p>
            <w:pPr>
              <w:spacing w:after="0"/>
              <w:rPr>
                <w:sz w:val="11"/>
                <w:szCs w:val="11"/>
                <w:color w:val="auto"/>
              </w:rPr>
            </w:pPr>
          </w:p>
        </w:tc>
        <w:tc>
          <w:tcPr>
            <w:tcW w:w="114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4"/>
              </w:rPr>
              <w:t>Principal</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gridSpan w:val="2"/>
          </w:tcPr>
          <w:p>
            <w:pPr>
              <w:jc w:val="center"/>
              <w:ind w:right="400"/>
              <w:spacing w:after="0" w:line="135" w:lineRule="exact"/>
              <w:rPr>
                <w:sz w:val="20"/>
                <w:szCs w:val="20"/>
                <w:color w:val="auto"/>
              </w:rPr>
            </w:pPr>
            <w:r>
              <w:rPr>
                <w:rFonts w:ascii="Arial" w:cs="Arial" w:eastAsia="Arial" w:hAnsi="Arial"/>
                <w:sz w:val="14"/>
                <w:szCs w:val="14"/>
                <w:b w:val="1"/>
                <w:bCs w:val="1"/>
                <w:color w:val="auto"/>
                <w:w w:val="93"/>
              </w:rPr>
              <w:t>Insurance</w:t>
            </w: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4"/>
              </w:rPr>
              <w:t>Principal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5"/>
              </w:rPr>
              <w:t>Company and</w:t>
            </w: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5"/>
              </w:rPr>
              <w:t>Financial</w:t>
            </w:r>
          </w:p>
        </w:tc>
        <w:tc>
          <w:tcPr>
            <w:tcW w:w="120" w:type="dxa"/>
            <w:vAlign w:val="bottom"/>
          </w:tcPr>
          <w:p>
            <w:pPr>
              <w:spacing w:after="0"/>
              <w:rPr>
                <w:sz w:val="11"/>
                <w:szCs w:val="11"/>
                <w:color w:val="auto"/>
              </w:rPr>
            </w:pPr>
          </w:p>
        </w:tc>
        <w:tc>
          <w:tcPr>
            <w:tcW w:w="114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5"/>
              </w:rPr>
              <w:t>Financial</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6"/>
              </w:rPr>
              <w:t>Other</w:t>
            </w: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2"/>
              </w:rPr>
              <w:t>Financial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jc w:val="center"/>
              <w:ind w:right="400"/>
              <w:spacing w:after="0" w:line="135" w:lineRule="exact"/>
              <w:rPr>
                <w:sz w:val="20"/>
                <w:szCs w:val="20"/>
                <w:color w:val="auto"/>
              </w:rPr>
            </w:pPr>
            <w:r>
              <w:rPr>
                <w:rFonts w:ascii="Arial" w:cs="Arial" w:eastAsia="Arial" w:hAnsi="Arial"/>
                <w:sz w:val="14"/>
                <w:szCs w:val="14"/>
                <w:b w:val="1"/>
                <w:bCs w:val="1"/>
                <w:color w:val="auto"/>
                <w:w w:val="97"/>
              </w:rPr>
              <w:t>Group, Inc.</w:t>
            </w:r>
          </w:p>
        </w:tc>
        <w:tc>
          <w:tcPr>
            <w:tcW w:w="120" w:type="dxa"/>
            <w:vAlign w:val="bottom"/>
          </w:tcPr>
          <w:p>
            <w:pPr>
              <w:spacing w:after="0"/>
              <w:rPr>
                <w:sz w:val="11"/>
                <w:szCs w:val="11"/>
                <w:color w:val="auto"/>
              </w:rPr>
            </w:pPr>
          </w:p>
        </w:tc>
        <w:tc>
          <w:tcPr>
            <w:tcW w:w="114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1"/>
              </w:rPr>
              <w:t>Services, Inc.</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1"/>
              </w:rPr>
              <w:t>Subsidiaries</w:t>
            </w:r>
          </w:p>
        </w:tc>
        <w:tc>
          <w:tcPr>
            <w:tcW w:w="120" w:type="dxa"/>
            <w:vAlign w:val="bottom"/>
          </w:tcPr>
          <w:p>
            <w:pPr>
              <w:spacing w:after="0"/>
              <w:rPr>
                <w:sz w:val="11"/>
                <w:szCs w:val="11"/>
                <w:color w:val="auto"/>
              </w:rPr>
            </w:pPr>
          </w:p>
        </w:tc>
        <w:tc>
          <w:tcPr>
            <w:tcW w:w="1160" w:type="dxa"/>
            <w:vAlign w:val="bottom"/>
            <w:gridSpan w:val="2"/>
            <w:vMerge w:val="restart"/>
          </w:tcPr>
          <w:p>
            <w:pPr>
              <w:jc w:val="right"/>
              <w:ind w:right="260"/>
              <w:spacing w:after="0"/>
              <w:rPr>
                <w:sz w:val="20"/>
                <w:szCs w:val="20"/>
                <w:color w:val="auto"/>
              </w:rPr>
            </w:pPr>
            <w:r>
              <w:rPr>
                <w:rFonts w:ascii="Arial" w:cs="Arial" w:eastAsia="Arial" w:hAnsi="Arial"/>
                <w:sz w:val="14"/>
                <w:szCs w:val="14"/>
                <w:b w:val="1"/>
                <w:bCs w:val="1"/>
                <w:color w:val="auto"/>
                <w:w w:val="96"/>
              </w:rPr>
              <w:t>Eliminations</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7"/>
              </w:rPr>
              <w:t>Group, Inc.</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4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6"/>
              </w:rPr>
              <w:t>Parent Only</w:t>
            </w:r>
          </w:p>
        </w:tc>
        <w:tc>
          <w:tcPr>
            <w:tcW w:w="120" w:type="dxa"/>
            <w:vAlign w:val="bottom"/>
          </w:tcPr>
          <w:p>
            <w:pPr>
              <w:spacing w:after="0"/>
              <w:rPr>
                <w:sz w:val="14"/>
                <w:szCs w:val="14"/>
                <w:color w:val="auto"/>
              </w:rPr>
            </w:pPr>
          </w:p>
        </w:tc>
        <w:tc>
          <w:tcPr>
            <w:tcW w:w="11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6"/>
              </w:rPr>
              <w:t>Only</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3"/>
              </w:rPr>
              <w:t>Combined</w:t>
            </w:r>
          </w:p>
        </w:tc>
        <w:tc>
          <w:tcPr>
            <w:tcW w:w="120" w:type="dxa"/>
            <w:vAlign w:val="bottom"/>
          </w:tcPr>
          <w:p>
            <w:pPr>
              <w:spacing w:after="0"/>
              <w:rPr>
                <w:sz w:val="14"/>
                <w:szCs w:val="14"/>
                <w:color w:val="auto"/>
              </w:rPr>
            </w:pPr>
          </w:p>
        </w:tc>
        <w:tc>
          <w:tcPr>
            <w:tcW w:w="11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47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260" w:type="dxa"/>
            <w:vAlign w:val="bottom"/>
            <w:tcBorders>
              <w:top w:val="single" w:sz="8" w:color="auto"/>
            </w:tcBorders>
            <w:gridSpan w:val="2"/>
          </w:tcPr>
          <w:p>
            <w:pPr>
              <w:jc w:val="center"/>
              <w:ind w:right="360"/>
              <w:spacing w:after="0" w:line="129" w:lineRule="exact"/>
              <w:rPr>
                <w:sz w:val="20"/>
                <w:szCs w:val="20"/>
                <w:color w:val="auto"/>
              </w:rPr>
            </w:pPr>
            <w:r>
              <w:rPr>
                <w:rFonts w:ascii="Arial" w:cs="Arial" w:eastAsia="Arial" w:hAnsi="Arial"/>
                <w:sz w:val="14"/>
                <w:szCs w:val="14"/>
                <w:b w:val="1"/>
                <w:bCs w:val="1"/>
                <w:color w:val="auto"/>
                <w:w w:val="94"/>
              </w:rPr>
              <w:t>(in millions)</w:t>
            </w:r>
          </w:p>
        </w:tc>
        <w:tc>
          <w:tcPr>
            <w:tcW w:w="12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Liabilities</w:t>
            </w: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Contractholder funds</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2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35,512.6</w:t>
            </w:r>
          </w:p>
        </w:tc>
        <w:tc>
          <w:tcPr>
            <w:tcW w:w="2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35,512.6</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Future policy benefits and claims</w:t>
            </w: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17,006.6</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17,006.6</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Other policyholder funds</w:t>
            </w:r>
          </w:p>
        </w:tc>
        <w:tc>
          <w:tcPr>
            <w:tcW w:w="1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636.3</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636.3</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Short-term debt</w:t>
            </w: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¾</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777.1</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(352.7)</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424.4</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Long-term debt</w:t>
            </w:r>
          </w:p>
        </w:tc>
        <w:tc>
          <w:tcPr>
            <w:tcW w:w="1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464.4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429.8</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894.2</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Income taxes currently payable</w:t>
            </w: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(2.0)</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(3.3)</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0.5</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Deferred income taxes</w:t>
            </w: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5.4</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5.2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600.3</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¾</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610.9</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Separate account liabilities</w:t>
            </w: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65,620.2</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65,620.2</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Other liabilities</w:t>
            </w: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1.8</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617.8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3,768.3</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(508.9)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3,879.0</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720" w:type="dxa"/>
            <w:vAlign w:val="bottom"/>
            <w:vMerge w:val="restart"/>
            <w:shd w:val="clear" w:color="auto" w:fill="CCEEFF"/>
          </w:tcPr>
          <w:p>
            <w:pPr>
              <w:ind w:left="180"/>
              <w:spacing w:after="0"/>
              <w:rPr>
                <w:sz w:val="20"/>
                <w:szCs w:val="20"/>
                <w:color w:val="auto"/>
              </w:rPr>
            </w:pPr>
            <w:r>
              <w:rPr>
                <w:rFonts w:ascii="Arial" w:cs="Arial" w:eastAsia="Arial" w:hAnsi="Arial"/>
                <w:sz w:val="18"/>
                <w:szCs w:val="18"/>
                <w:color w:val="auto"/>
              </w:rPr>
              <w:t>Total liabilities</w:t>
            </w:r>
          </w:p>
        </w:tc>
        <w:tc>
          <w:tcPr>
            <w:tcW w:w="1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72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5.2</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1,084.1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124,353.7</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(858.3)</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124,584.7</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b w:val="1"/>
                <w:bCs w:val="1"/>
                <w:color w:val="auto"/>
              </w:rPr>
              <w:t>Stockholders’ equity</w:t>
            </w: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Series A preferred stock</w:t>
            </w: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Series B preferred stock</w:t>
            </w: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Common stock</w:t>
            </w: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16.8</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(16.8)</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Additional paid-in capital</w:t>
            </w: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8,068.8</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7,099.1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6,142.9</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(13,242.0)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8,068.8</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Retained earnings (deficit)</w:t>
            </w: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2,504.8</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(641.1)</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571.4</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69.7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2,504.8</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Accumulated other comprehensive income</w:t>
            </w: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218.5</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206.0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206.7</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(412.7)</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218.5</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Treasury stock, at cost</w:t>
            </w: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(3,951.3)</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(2.0)</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(3,951.3)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72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Total stockholders’ equity</w:t>
            </w:r>
          </w:p>
        </w:tc>
        <w:tc>
          <w:tcPr>
            <w:tcW w:w="12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6,844.7</w:t>
            </w:r>
          </w:p>
        </w:tc>
        <w:tc>
          <w:tcPr>
            <w:tcW w:w="26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6,664.0</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6,935.8</w:t>
            </w:r>
          </w:p>
        </w:tc>
        <w:tc>
          <w:tcPr>
            <w:tcW w:w="26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(13,599.8)</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6,844.7</w:t>
            </w:r>
          </w:p>
        </w:tc>
        <w:tc>
          <w:tcPr>
            <w:tcW w:w="10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7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liabilities and stockholders’ equity</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6,849.9</w:t>
            </w:r>
          </w:p>
        </w:tc>
        <w:tc>
          <w:tcPr>
            <w:tcW w:w="2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7,748.1</w:t>
            </w:r>
          </w:p>
        </w:tc>
        <w:tc>
          <w:tcPr>
            <w:tcW w:w="1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131,289.5</w:t>
            </w:r>
          </w:p>
        </w:tc>
        <w:tc>
          <w:tcPr>
            <w:tcW w:w="2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(14,458.1</w:t>
            </w:r>
          </w:p>
        </w:tc>
        <w:tc>
          <w:tcPr>
            <w:tcW w:w="1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b w:val="1"/>
                <w:bCs w:val="1"/>
                <w:color w:val="auto"/>
                <w:w w:val="74"/>
              </w:rPr>
              <w:t>)</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131,429.4</w:t>
            </w:r>
          </w:p>
        </w:tc>
        <w:tc>
          <w:tcPr>
            <w:tcW w:w="100" w:type="dxa"/>
            <w:vAlign w:val="bottom"/>
            <w:tcBorders>
              <w:bottom w:val="single" w:sz="8" w:color="CCEEFF"/>
            </w:tcBorders>
            <w:shd w:val="clear" w:color="auto" w:fill="CCEEFF"/>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7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83"/>
        </w:trPr>
        <w:tc>
          <w:tcPr>
            <w:tcW w:w="4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33</w:t>
            </w: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472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98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98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00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00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00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ind w:left="520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Consolidating Statements of Financial Position</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December 31, 2005</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5"/>
              </w:rPr>
              <w:t>Principal Life</w:t>
            </w:r>
          </w:p>
        </w:tc>
        <w:tc>
          <w:tcPr>
            <w:tcW w:w="1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4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vMerge w:val="restart"/>
          </w:tcPr>
          <w:p>
            <w:pPr>
              <w:jc w:val="center"/>
              <w:ind w:right="420"/>
              <w:spacing w:after="0"/>
              <w:rPr>
                <w:sz w:val="20"/>
                <w:szCs w:val="20"/>
                <w:color w:val="auto"/>
              </w:rPr>
            </w:pPr>
            <w:r>
              <w:rPr>
                <w:rFonts w:ascii="Arial" w:cs="Arial" w:eastAsia="Arial" w:hAnsi="Arial"/>
                <w:sz w:val="14"/>
                <w:szCs w:val="14"/>
                <w:b w:val="1"/>
                <w:bCs w:val="1"/>
                <w:color w:val="auto"/>
                <w:w w:val="94"/>
              </w:rPr>
              <w:t>Principal</w:t>
            </w:r>
          </w:p>
        </w:tc>
        <w:tc>
          <w:tcPr>
            <w:tcW w:w="120" w:type="dxa"/>
            <w:vAlign w:val="bottom"/>
          </w:tcPr>
          <w:p>
            <w:pPr>
              <w:spacing w:after="0"/>
              <w:rPr>
                <w:sz w:val="11"/>
                <w:szCs w:val="11"/>
                <w:color w:val="auto"/>
              </w:rPr>
            </w:pPr>
          </w:p>
        </w:tc>
        <w:tc>
          <w:tcPr>
            <w:tcW w:w="128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94"/>
              </w:rPr>
              <w:t>Principal</w:t>
            </w:r>
          </w:p>
        </w:tc>
        <w:tc>
          <w:tcPr>
            <w:tcW w:w="100" w:type="dxa"/>
            <w:vAlign w:val="bottom"/>
          </w:tcPr>
          <w:p>
            <w:pPr>
              <w:spacing w:after="0"/>
              <w:rPr>
                <w:sz w:val="11"/>
                <w:szCs w:val="11"/>
                <w:color w:val="auto"/>
              </w:rPr>
            </w:pPr>
          </w:p>
        </w:tc>
        <w:tc>
          <w:tcPr>
            <w:tcW w:w="126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0"/>
              </w:rPr>
              <w:t>Insurance</w:t>
            </w:r>
          </w:p>
        </w:tc>
        <w:tc>
          <w:tcPr>
            <w:tcW w:w="1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4"/>
              </w:rPr>
              <w:t>Principal</w:t>
            </w:r>
          </w:p>
        </w:tc>
        <w:tc>
          <w:tcPr>
            <w:tcW w:w="0" w:type="dxa"/>
            <w:vAlign w:val="bottom"/>
          </w:tcPr>
          <w:p>
            <w:pPr>
              <w:spacing w:after="0"/>
              <w:rPr>
                <w:sz w:val="1"/>
                <w:szCs w:val="1"/>
                <w:color w:val="auto"/>
              </w:rPr>
            </w:pPr>
          </w:p>
        </w:tc>
      </w:tr>
      <w:tr>
        <w:trPr>
          <w:trHeight w:val="135"/>
        </w:trPr>
        <w:tc>
          <w:tcPr>
            <w:tcW w:w="4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5"/>
              </w:rPr>
              <w:t>Company and</w:t>
            </w:r>
          </w:p>
        </w:tc>
        <w:tc>
          <w:tcPr>
            <w:tcW w:w="1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5"/>
              </w:rPr>
              <w:t>Financial</w:t>
            </w:r>
          </w:p>
        </w:tc>
        <w:tc>
          <w:tcPr>
            <w:tcW w:w="120" w:type="dxa"/>
            <w:vAlign w:val="bottom"/>
          </w:tcPr>
          <w:p>
            <w:pPr>
              <w:spacing w:after="0"/>
              <w:rPr>
                <w:sz w:val="11"/>
                <w:szCs w:val="11"/>
                <w:color w:val="auto"/>
              </w:rPr>
            </w:pPr>
          </w:p>
        </w:tc>
        <w:tc>
          <w:tcPr>
            <w:tcW w:w="1280" w:type="dxa"/>
            <w:vAlign w:val="bottom"/>
            <w:gridSpan w:val="2"/>
          </w:tcPr>
          <w:p>
            <w:pPr>
              <w:jc w:val="center"/>
              <w:ind w:right="400"/>
              <w:spacing w:after="0" w:line="135" w:lineRule="exact"/>
              <w:rPr>
                <w:sz w:val="20"/>
                <w:szCs w:val="20"/>
                <w:color w:val="auto"/>
              </w:rPr>
            </w:pPr>
            <w:r>
              <w:rPr>
                <w:rFonts w:ascii="Arial" w:cs="Arial" w:eastAsia="Arial" w:hAnsi="Arial"/>
                <w:sz w:val="14"/>
                <w:szCs w:val="14"/>
                <w:b w:val="1"/>
                <w:bCs w:val="1"/>
                <w:color w:val="auto"/>
                <w:w w:val="92"/>
              </w:rPr>
              <w:t>Financial</w:t>
            </w:r>
          </w:p>
        </w:tc>
        <w:tc>
          <w:tcPr>
            <w:tcW w:w="100" w:type="dxa"/>
            <w:vAlign w:val="bottom"/>
          </w:tcPr>
          <w:p>
            <w:pPr>
              <w:spacing w:after="0"/>
              <w:rPr>
                <w:sz w:val="11"/>
                <w:szCs w:val="11"/>
                <w:color w:val="auto"/>
              </w:rPr>
            </w:pPr>
          </w:p>
        </w:tc>
        <w:tc>
          <w:tcPr>
            <w:tcW w:w="126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6"/>
              </w:rPr>
              <w:t>Other</w:t>
            </w:r>
          </w:p>
        </w:tc>
        <w:tc>
          <w:tcPr>
            <w:tcW w:w="1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95"/>
              </w:rPr>
              <w:t>Financial</w:t>
            </w:r>
          </w:p>
        </w:tc>
        <w:tc>
          <w:tcPr>
            <w:tcW w:w="0" w:type="dxa"/>
            <w:vAlign w:val="bottom"/>
          </w:tcPr>
          <w:p>
            <w:pPr>
              <w:spacing w:after="0"/>
              <w:rPr>
                <w:sz w:val="1"/>
                <w:szCs w:val="1"/>
                <w:color w:val="auto"/>
              </w:rPr>
            </w:pPr>
          </w:p>
        </w:tc>
      </w:tr>
      <w:tr>
        <w:trPr>
          <w:trHeight w:val="135"/>
        </w:trPr>
        <w:tc>
          <w:tcPr>
            <w:tcW w:w="4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tcPr>
          <w:p>
            <w:pPr>
              <w:jc w:val="center"/>
              <w:ind w:right="420"/>
              <w:spacing w:after="0" w:line="135" w:lineRule="exact"/>
              <w:rPr>
                <w:sz w:val="20"/>
                <w:szCs w:val="20"/>
                <w:color w:val="auto"/>
              </w:rPr>
            </w:pPr>
            <w:r>
              <w:rPr>
                <w:rFonts w:ascii="Arial" w:cs="Arial" w:eastAsia="Arial" w:hAnsi="Arial"/>
                <w:sz w:val="14"/>
                <w:szCs w:val="14"/>
                <w:b w:val="1"/>
                <w:bCs w:val="1"/>
                <w:color w:val="auto"/>
                <w:w w:val="97"/>
              </w:rPr>
              <w:t>Group, Inc.</w:t>
            </w:r>
          </w:p>
        </w:tc>
        <w:tc>
          <w:tcPr>
            <w:tcW w:w="120" w:type="dxa"/>
            <w:vAlign w:val="bottom"/>
          </w:tcPr>
          <w:p>
            <w:pPr>
              <w:spacing w:after="0"/>
              <w:rPr>
                <w:sz w:val="11"/>
                <w:szCs w:val="11"/>
                <w:color w:val="auto"/>
              </w:rPr>
            </w:pPr>
          </w:p>
        </w:tc>
        <w:tc>
          <w:tcPr>
            <w:tcW w:w="1280" w:type="dxa"/>
            <w:vAlign w:val="bottom"/>
            <w:gridSpan w:val="2"/>
          </w:tcPr>
          <w:p>
            <w:pPr>
              <w:jc w:val="center"/>
              <w:ind w:right="400"/>
              <w:spacing w:after="0" w:line="135" w:lineRule="exact"/>
              <w:rPr>
                <w:sz w:val="20"/>
                <w:szCs w:val="20"/>
                <w:color w:val="auto"/>
              </w:rPr>
            </w:pPr>
            <w:r>
              <w:rPr>
                <w:rFonts w:ascii="Arial" w:cs="Arial" w:eastAsia="Arial" w:hAnsi="Arial"/>
                <w:sz w:val="14"/>
                <w:szCs w:val="14"/>
                <w:b w:val="1"/>
                <w:bCs w:val="1"/>
                <w:color w:val="auto"/>
                <w:w w:val="89"/>
              </w:rPr>
              <w:t>Services, Inc.</w:t>
            </w:r>
          </w:p>
        </w:tc>
        <w:tc>
          <w:tcPr>
            <w:tcW w:w="100" w:type="dxa"/>
            <w:vAlign w:val="bottom"/>
          </w:tcPr>
          <w:p>
            <w:pPr>
              <w:spacing w:after="0"/>
              <w:rPr>
                <w:sz w:val="11"/>
                <w:szCs w:val="11"/>
                <w:color w:val="auto"/>
              </w:rPr>
            </w:pPr>
          </w:p>
        </w:tc>
        <w:tc>
          <w:tcPr>
            <w:tcW w:w="126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1"/>
              </w:rPr>
              <w:t>Subsidiaries</w:t>
            </w:r>
          </w:p>
        </w:tc>
        <w:tc>
          <w:tcPr>
            <w:tcW w:w="120" w:type="dxa"/>
            <w:vAlign w:val="bottom"/>
          </w:tcPr>
          <w:p>
            <w:pPr>
              <w:spacing w:after="0"/>
              <w:rPr>
                <w:sz w:val="11"/>
                <w:szCs w:val="11"/>
                <w:color w:val="auto"/>
              </w:rPr>
            </w:pPr>
          </w:p>
        </w:tc>
        <w:tc>
          <w:tcPr>
            <w:tcW w:w="114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w w:val="96"/>
              </w:rPr>
              <w:t>Eliminations</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7"/>
              </w:rPr>
              <w:t>Group, Inc.</w:t>
            </w:r>
          </w:p>
        </w:tc>
        <w:tc>
          <w:tcPr>
            <w:tcW w:w="0" w:type="dxa"/>
            <w:vAlign w:val="bottom"/>
          </w:tcPr>
          <w:p>
            <w:pPr>
              <w:spacing w:after="0"/>
              <w:rPr>
                <w:sz w:val="1"/>
                <w:szCs w:val="1"/>
                <w:color w:val="auto"/>
              </w:rPr>
            </w:pPr>
          </w:p>
        </w:tc>
      </w:tr>
      <w:tr>
        <w:trPr>
          <w:trHeight w:val="162"/>
        </w:trPr>
        <w:tc>
          <w:tcPr>
            <w:tcW w:w="47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6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6"/>
              </w:rPr>
              <w:t>Parent Only</w:t>
            </w:r>
          </w:p>
        </w:tc>
        <w:tc>
          <w:tcPr>
            <w:tcW w:w="120" w:type="dxa"/>
            <w:vAlign w:val="bottom"/>
          </w:tcPr>
          <w:p>
            <w:pPr>
              <w:spacing w:after="0"/>
              <w:rPr>
                <w:sz w:val="14"/>
                <w:szCs w:val="14"/>
                <w:color w:val="auto"/>
              </w:rPr>
            </w:pPr>
          </w:p>
        </w:tc>
        <w:tc>
          <w:tcPr>
            <w:tcW w:w="128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rPr>
              <w:t>Only</w:t>
            </w:r>
          </w:p>
        </w:tc>
        <w:tc>
          <w:tcPr>
            <w:tcW w:w="100" w:type="dxa"/>
            <w:vAlign w:val="bottom"/>
          </w:tcPr>
          <w:p>
            <w:pPr>
              <w:spacing w:after="0"/>
              <w:rPr>
                <w:sz w:val="14"/>
                <w:szCs w:val="14"/>
                <w:color w:val="auto"/>
              </w:rPr>
            </w:pPr>
          </w:p>
        </w:tc>
        <w:tc>
          <w:tcPr>
            <w:tcW w:w="12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3"/>
              </w:rPr>
              <w:t>Combined</w:t>
            </w:r>
          </w:p>
        </w:tc>
        <w:tc>
          <w:tcPr>
            <w:tcW w:w="120" w:type="dxa"/>
            <w:vAlign w:val="bottom"/>
          </w:tcPr>
          <w:p>
            <w:pPr>
              <w:spacing w:after="0"/>
              <w:rPr>
                <w:sz w:val="14"/>
                <w:szCs w:val="14"/>
                <w:color w:val="auto"/>
              </w:rPr>
            </w:pPr>
          </w:p>
        </w:tc>
        <w:tc>
          <w:tcPr>
            <w:tcW w:w="11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Consolidated</w:t>
            </w:r>
          </w:p>
        </w:tc>
        <w:tc>
          <w:tcPr>
            <w:tcW w:w="0" w:type="dxa"/>
            <w:vAlign w:val="bottom"/>
          </w:tcPr>
          <w:p>
            <w:pPr>
              <w:spacing w:after="0"/>
              <w:rPr>
                <w:sz w:val="1"/>
                <w:szCs w:val="1"/>
                <w:color w:val="auto"/>
              </w:rPr>
            </w:pPr>
          </w:p>
        </w:tc>
      </w:tr>
      <w:tr>
        <w:trPr>
          <w:trHeight w:val="129"/>
        </w:trPr>
        <w:tc>
          <w:tcPr>
            <w:tcW w:w="472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60" w:type="dxa"/>
            <w:vAlign w:val="bottom"/>
            <w:tcBorders>
              <w:top w:val="single" w:sz="8" w:color="auto"/>
            </w:tcBorders>
            <w:gridSpan w:val="2"/>
          </w:tcPr>
          <w:p>
            <w:pPr>
              <w:ind w:left="40"/>
              <w:spacing w:after="0" w:line="129" w:lineRule="exact"/>
              <w:rPr>
                <w:sz w:val="20"/>
                <w:szCs w:val="20"/>
                <w:color w:val="auto"/>
              </w:rPr>
            </w:pPr>
            <w:r>
              <w:rPr>
                <w:rFonts w:ascii="Arial" w:cs="Arial" w:eastAsia="Arial" w:hAnsi="Arial"/>
                <w:sz w:val="14"/>
                <w:szCs w:val="14"/>
                <w:b w:val="1"/>
                <w:bCs w:val="1"/>
                <w:color w:val="auto"/>
              </w:rPr>
              <w:t>(in millions)</w:t>
            </w:r>
          </w:p>
        </w:tc>
        <w:tc>
          <w:tcPr>
            <w:tcW w:w="1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Fixed maturities, available-for-sale</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14.7</w:t>
            </w:r>
          </w:p>
        </w:tc>
        <w:tc>
          <w:tcPr>
            <w:tcW w:w="2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42,102.5</w:t>
            </w:r>
          </w:p>
        </w:tc>
        <w:tc>
          <w:tcPr>
            <w:tcW w:w="2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42,117.2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Fixed maturities, trading</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113.2</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Equity securities, available-for-sale</w:t>
            </w:r>
          </w:p>
        </w:tc>
        <w:tc>
          <w:tcPr>
            <w:tcW w:w="140" w:type="dxa"/>
            <w:vAlign w:val="bottom"/>
          </w:tcPr>
          <w:p>
            <w:pPr>
              <w:spacing w:after="0"/>
              <w:rPr>
                <w:sz w:val="18"/>
                <w:szCs w:val="18"/>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1.0</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723.4</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724.4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 trading</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90.3</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Mortgage loans</w:t>
            </w:r>
          </w:p>
        </w:tc>
        <w:tc>
          <w:tcPr>
            <w:tcW w:w="140" w:type="dxa"/>
            <w:vAlign w:val="bottom"/>
          </w:tcPr>
          <w:p>
            <w:pPr>
              <w:spacing w:after="0"/>
              <w:rPr>
                <w:sz w:val="18"/>
                <w:szCs w:val="18"/>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11,484.3</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11,484.3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Real estate</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999.4</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999.4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Policy loans</w:t>
            </w:r>
          </w:p>
        </w:tc>
        <w:tc>
          <w:tcPr>
            <w:tcW w:w="140" w:type="dxa"/>
            <w:vAlign w:val="bottom"/>
          </w:tcPr>
          <w:p>
            <w:pPr>
              <w:spacing w:after="0"/>
              <w:rPr>
                <w:sz w:val="18"/>
                <w:szCs w:val="18"/>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827.7</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827.7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Investment in unconsolidated entities</w:t>
            </w: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7,784.2</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8,168.9</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263.8</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(15,953.0)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263.9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Other investments</w:t>
            </w:r>
          </w:p>
        </w:tc>
        <w:tc>
          <w:tcPr>
            <w:tcW w:w="140" w:type="dxa"/>
            <w:vAlign w:val="bottom"/>
          </w:tcPr>
          <w:p>
            <w:pPr>
              <w:spacing w:after="0"/>
              <w:rPr>
                <w:sz w:val="18"/>
                <w:szCs w:val="18"/>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8.4</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841.2</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849.6</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21.6</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701.3</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1,822.4</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(904.0)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1,641.3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Accrued investment income</w:t>
            </w:r>
          </w:p>
        </w:tc>
        <w:tc>
          <w:tcPr>
            <w:tcW w:w="140" w:type="dxa"/>
            <w:vAlign w:val="bottom"/>
          </w:tcPr>
          <w:p>
            <w:pPr>
              <w:spacing w:after="0"/>
              <w:rPr>
                <w:sz w:val="18"/>
                <w:szCs w:val="18"/>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0.2</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682.5</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682.7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Premiums due and other receivables</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590.4</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592.7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Deferred policy acquisition cost</w:t>
            </w:r>
          </w:p>
        </w:tc>
        <w:tc>
          <w:tcPr>
            <w:tcW w:w="140" w:type="dxa"/>
            <w:vAlign w:val="bottom"/>
          </w:tcPr>
          <w:p>
            <w:pPr>
              <w:spacing w:after="0"/>
              <w:rPr>
                <w:sz w:val="18"/>
                <w:szCs w:val="18"/>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2,174.1</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2,174.1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Property and equipment</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419.8</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419.8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Goodwill</w:t>
            </w:r>
          </w:p>
        </w:tc>
        <w:tc>
          <w:tcPr>
            <w:tcW w:w="140" w:type="dxa"/>
            <w:vAlign w:val="bottom"/>
          </w:tcPr>
          <w:p>
            <w:pPr>
              <w:spacing w:after="0"/>
              <w:rPr>
                <w:sz w:val="18"/>
                <w:szCs w:val="18"/>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282.3</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282.3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Other intangibles</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202.6</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Separate account assets</w:t>
            </w:r>
          </w:p>
        </w:tc>
        <w:tc>
          <w:tcPr>
            <w:tcW w:w="140" w:type="dxa"/>
            <w:vAlign w:val="bottom"/>
          </w:tcPr>
          <w:p>
            <w:pPr>
              <w:spacing w:after="0"/>
              <w:rPr>
                <w:sz w:val="18"/>
                <w:szCs w:val="18"/>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62,070.0</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62,070.0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1,499.9</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(18.5)</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1,499.9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472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Total assets</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7,809.3</w:t>
            </w:r>
          </w:p>
        </w:tc>
        <w:tc>
          <w:tcPr>
            <w:tcW w:w="28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8,911.8</w:t>
            </w:r>
          </w:p>
        </w:tc>
        <w:tc>
          <w:tcPr>
            <w:tcW w:w="28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127,189.8</w:t>
            </w:r>
          </w:p>
        </w:tc>
        <w:tc>
          <w:tcPr>
            <w:tcW w:w="26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(16,875.5</w:t>
            </w:r>
          </w:p>
        </w:tc>
        <w:tc>
          <w:tcPr>
            <w:tcW w:w="160" w:type="dxa"/>
            <w:vAlign w:val="bottom"/>
            <w:tcBorders>
              <w:bottom w:val="single" w:sz="8" w:color="CCEEFF"/>
            </w:tcBorders>
          </w:tcPr>
          <w:p>
            <w:pPr>
              <w:jc w:val="right"/>
              <w:ind w:right="20"/>
              <w:spacing w:after="0"/>
              <w:rPr>
                <w:sz w:val="20"/>
                <w:szCs w:val="20"/>
                <w:color w:val="auto"/>
              </w:rPr>
            </w:pPr>
            <w:r>
              <w:rPr>
                <w:rFonts w:ascii="Arial" w:cs="Arial" w:eastAsia="Arial" w:hAnsi="Arial"/>
                <w:sz w:val="16"/>
                <w:szCs w:val="16"/>
                <w:color w:val="auto"/>
                <w:w w:val="74"/>
              </w:rPr>
              <w:t>)</w:t>
            </w:r>
          </w:p>
        </w:tc>
        <w:tc>
          <w:tcPr>
            <w:tcW w:w="10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127,035.4</w:t>
            </w:r>
          </w:p>
        </w:tc>
        <w:tc>
          <w:tcPr>
            <w:tcW w:w="8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4720" w:type="dxa"/>
            <w:vAlign w:val="bottom"/>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Liabilities</w:t>
            </w:r>
          </w:p>
        </w:tc>
        <w:tc>
          <w:tcPr>
            <w:tcW w:w="14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Contractholder funds</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33,612.1</w:t>
            </w:r>
          </w:p>
        </w:tc>
        <w:tc>
          <w:tcPr>
            <w:tcW w:w="2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33,612.1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Future policy benefits and claims</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16,825.5</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16,825.5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Other policyholder funds</w:t>
            </w:r>
          </w:p>
        </w:tc>
        <w:tc>
          <w:tcPr>
            <w:tcW w:w="140" w:type="dxa"/>
            <w:vAlign w:val="bottom"/>
          </w:tcPr>
          <w:p>
            <w:pPr>
              <w:spacing w:after="0"/>
              <w:rPr>
                <w:sz w:val="18"/>
                <w:szCs w:val="18"/>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657.1</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657.1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Short-term debt</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349.9</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774.1</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(647.6)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476.4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Long-term debt</w:t>
            </w:r>
          </w:p>
        </w:tc>
        <w:tc>
          <w:tcPr>
            <w:tcW w:w="140" w:type="dxa"/>
            <w:vAlign w:val="bottom"/>
          </w:tcPr>
          <w:p>
            <w:pPr>
              <w:spacing w:after="0"/>
              <w:rPr>
                <w:sz w:val="18"/>
                <w:szCs w:val="18"/>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464.3</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434.5</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898.8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Deferred income taxes</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983.8</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(16.0)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974.8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720" w:type="dxa"/>
            <w:vAlign w:val="bottom"/>
          </w:tcPr>
          <w:p>
            <w:pPr>
              <w:spacing w:after="0"/>
              <w:rPr>
                <w:sz w:val="20"/>
                <w:szCs w:val="20"/>
                <w:color w:val="auto"/>
              </w:rPr>
            </w:pPr>
            <w:r>
              <w:rPr>
                <w:rFonts w:ascii="Arial" w:cs="Arial" w:eastAsia="Arial" w:hAnsi="Arial"/>
                <w:sz w:val="18"/>
                <w:szCs w:val="18"/>
                <w:color w:val="auto"/>
              </w:rPr>
              <w:t>Separate account liabilities</w:t>
            </w:r>
          </w:p>
        </w:tc>
        <w:tc>
          <w:tcPr>
            <w:tcW w:w="140" w:type="dxa"/>
            <w:vAlign w:val="bottom"/>
          </w:tcPr>
          <w:p>
            <w:pPr>
              <w:spacing w:after="0"/>
              <w:rPr>
                <w:sz w:val="20"/>
                <w:szCs w:val="20"/>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62,070.0</w:t>
            </w:r>
          </w:p>
        </w:tc>
        <w:tc>
          <w:tcPr>
            <w:tcW w:w="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62,070.0</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40" w:top="87" w:right="199" w:bottom="0" w:gutter="0" w:footer="0" w:header="0"/>
        </w:sectPr>
      </w:pPr>
    </w:p>
    <w:bookmarkStart w:id="23" w:name="page24"/>
    <w:bookmarkEnd w:id="2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Other liabilities</w:t>
            </w: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306.4</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3,663.8</w:t>
            </w: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(258.8)</w:t>
            </w: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3,713.5</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720" w:type="dxa"/>
            <w:vAlign w:val="bottom"/>
            <w:vMerge w:val="restart"/>
          </w:tcPr>
          <w:p>
            <w:pPr>
              <w:ind w:left="180"/>
              <w:spacing w:after="0"/>
              <w:rPr>
                <w:sz w:val="20"/>
                <w:szCs w:val="20"/>
                <w:color w:val="auto"/>
              </w:rPr>
            </w:pPr>
            <w:r>
              <w:rPr>
                <w:rFonts w:ascii="Arial" w:cs="Arial" w:eastAsia="Arial" w:hAnsi="Arial"/>
                <w:sz w:val="18"/>
                <w:szCs w:val="18"/>
                <w:color w:val="auto"/>
              </w:rPr>
              <w:t>Total liabilities</w:t>
            </w:r>
          </w:p>
        </w:tc>
        <w:tc>
          <w:tcPr>
            <w:tcW w:w="3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72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2.1</w:t>
            </w: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1,127.6</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119,020.9</w:t>
            </w: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(922.4)</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119,228.2</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Series A preferred stock</w:t>
            </w:r>
          </w:p>
        </w:tc>
        <w:tc>
          <w:tcPr>
            <w:tcW w:w="3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¾</w:t>
            </w: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1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360" w:type="dxa"/>
            <w:vAlign w:val="bottom"/>
            <w:gridSpan w:val="3"/>
          </w:tcPr>
          <w:p>
            <w:pPr>
              <w:jc w:val="right"/>
              <w:ind w:right="43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Series B preferred stock</w:t>
            </w: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360" w:type="dxa"/>
            <w:vAlign w:val="bottom"/>
            <w:gridSpan w:val="3"/>
            <w:shd w:val="clear" w:color="auto" w:fill="CCEEFF"/>
          </w:tcPr>
          <w:p>
            <w:pPr>
              <w:jc w:val="right"/>
              <w:ind w:right="43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Common stock</w:t>
            </w:r>
          </w:p>
        </w:tc>
        <w:tc>
          <w:tcPr>
            <w:tcW w:w="3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3.8</w:t>
            </w: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16.8</w:t>
            </w: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(16.8)</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3.8</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8,000.0</w:t>
            </w: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7,071.3</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6,108.7</w:t>
            </w: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(13,180.0)</w:t>
            </w: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8,000.0</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Retained earnings (deficit)</w:t>
            </w:r>
          </w:p>
        </w:tc>
        <w:tc>
          <w:tcPr>
            <w:tcW w:w="3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2,008.6</w:t>
            </w: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(281.9)</w:t>
            </w:r>
          </w:p>
        </w:tc>
        <w:tc>
          <w:tcPr>
            <w:tcW w:w="2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1,050.1</w:t>
            </w: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(768.2)</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2,008.6</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Accumulated other comprehensive income</w:t>
            </w: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994.8</w:t>
            </w: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994.8</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995.3</w:t>
            </w: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(1,990.1)</w:t>
            </w: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994.8</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Treasury stock, at cost</w:t>
            </w:r>
          </w:p>
        </w:tc>
        <w:tc>
          <w:tcPr>
            <w:tcW w:w="30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(3,200.1)</w:t>
            </w:r>
          </w:p>
        </w:tc>
        <w:tc>
          <w:tcPr>
            <w:tcW w:w="340" w:type="dxa"/>
            <w:vAlign w:val="bottom"/>
          </w:tcPr>
          <w:p>
            <w:pPr>
              <w:spacing w:after="0"/>
              <w:rPr>
                <w:sz w:val="18"/>
                <w:szCs w:val="18"/>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(2.0)</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2.0</w:t>
            </w: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(3,200.1)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72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stockholders’ equity</w:t>
            </w:r>
          </w:p>
        </w:tc>
        <w:tc>
          <w:tcPr>
            <w:tcW w:w="300" w:type="dxa"/>
            <w:vAlign w:val="bottom"/>
            <w:tcBorders>
              <w:top w:val="single" w:sz="8" w:color="auto"/>
              <w:bottom w:val="single" w:sz="8" w:color="auto"/>
            </w:tcBorders>
            <w:shd w:val="clear" w:color="auto" w:fill="CCEEFF"/>
          </w:tcPr>
          <w:p>
            <w:pPr>
              <w:spacing w:after="0"/>
              <w:rPr>
                <w:sz w:val="18"/>
                <w:szCs w:val="18"/>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7,807.2</w:t>
            </w:r>
          </w:p>
        </w:tc>
        <w:tc>
          <w:tcPr>
            <w:tcW w:w="28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7,784.2</w:t>
            </w:r>
          </w:p>
        </w:tc>
        <w:tc>
          <w:tcPr>
            <w:tcW w:w="2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8,168.9</w:t>
            </w:r>
          </w:p>
        </w:tc>
        <w:tc>
          <w:tcPr>
            <w:tcW w:w="2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18"/>
                <w:szCs w:val="18"/>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(15,953.1)</w:t>
            </w:r>
          </w:p>
        </w:tc>
        <w:tc>
          <w:tcPr>
            <w:tcW w:w="2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18"/>
                <w:szCs w:val="18"/>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7,807.2</w:t>
            </w:r>
          </w:p>
        </w:tc>
        <w:tc>
          <w:tcPr>
            <w:tcW w:w="8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720" w:type="dxa"/>
            <w:vAlign w:val="bottom"/>
          </w:tcPr>
          <w:p>
            <w:pPr>
              <w:ind w:left="180"/>
              <w:spacing w:after="0"/>
              <w:rPr>
                <w:sz w:val="20"/>
                <w:szCs w:val="20"/>
                <w:color w:val="auto"/>
              </w:rPr>
            </w:pPr>
            <w:r>
              <w:rPr>
                <w:rFonts w:ascii="Arial" w:cs="Arial" w:eastAsia="Arial" w:hAnsi="Arial"/>
                <w:sz w:val="18"/>
                <w:szCs w:val="18"/>
                <w:color w:val="auto"/>
              </w:rPr>
              <w:t>Total liabilities and stockholders’ equity</w:t>
            </w:r>
          </w:p>
        </w:tc>
        <w:tc>
          <w:tcPr>
            <w:tcW w:w="3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7,809.3</w:t>
            </w:r>
          </w:p>
        </w:tc>
        <w:tc>
          <w:tcPr>
            <w:tcW w:w="280" w:type="dxa"/>
            <w:vAlign w:val="bottom"/>
          </w:tcPr>
          <w:p>
            <w:pPr>
              <w:spacing w:after="0"/>
              <w:rPr>
                <w:sz w:val="19"/>
                <w:szCs w:val="19"/>
                <w:color w:val="auto"/>
              </w:rPr>
            </w:pP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8,911.8</w:t>
            </w:r>
          </w:p>
        </w:tc>
        <w:tc>
          <w:tcPr>
            <w:tcW w:w="280" w:type="dxa"/>
            <w:vAlign w:val="bottom"/>
          </w:tcPr>
          <w:p>
            <w:pPr>
              <w:spacing w:after="0"/>
              <w:rPr>
                <w:sz w:val="19"/>
                <w:szCs w:val="19"/>
                <w:color w:val="auto"/>
              </w:rPr>
            </w:pPr>
          </w:p>
        </w:tc>
        <w:tc>
          <w:tcPr>
            <w:tcW w:w="220" w:type="dxa"/>
            <w:vAlign w:val="bottom"/>
            <w:tcBorders>
              <w:bottom w:val="single" w:sz="8" w:color="auto"/>
            </w:tcBorders>
          </w:tcPr>
          <w:p>
            <w:pPr>
              <w:jc w:val="right"/>
              <w:ind w:right="65"/>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127,189.8</w:t>
            </w:r>
          </w:p>
        </w:tc>
        <w:tc>
          <w:tcPr>
            <w:tcW w:w="26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(16,875.5</w:t>
            </w:r>
          </w:p>
        </w:tc>
        <w:tc>
          <w:tcPr>
            <w:tcW w:w="260" w:type="dxa"/>
            <w:vAlign w:val="bottom"/>
          </w:tcPr>
          <w:p>
            <w:pPr>
              <w:jc w:val="right"/>
              <w:ind w:right="120"/>
              <w:spacing w:after="0"/>
              <w:rPr>
                <w:sz w:val="20"/>
                <w:szCs w:val="20"/>
                <w:color w:val="auto"/>
              </w:rPr>
            </w:pPr>
            <w:r>
              <w:rPr>
                <w:rFonts w:ascii="Arial" w:cs="Arial" w:eastAsia="Arial" w:hAnsi="Arial"/>
                <w:sz w:val="16"/>
                <w:szCs w:val="16"/>
                <w:color w:val="auto"/>
                <w:w w:val="74"/>
              </w:rPr>
              <w:t>)</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127,035.4</w:t>
            </w: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7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47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34</w:t>
            </w: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4720" w:type="dxa"/>
            <w:vAlign w:val="bottom"/>
            <w:tcBorders>
              <w:bottom w:val="single" w:sz="8" w:color="010101"/>
            </w:tcBorders>
          </w:tcPr>
          <w:p>
            <w:pPr>
              <w:spacing w:after="0"/>
              <w:rPr>
                <w:sz w:val="24"/>
                <w:szCs w:val="24"/>
                <w:color w:val="auto"/>
              </w:rPr>
            </w:pPr>
          </w:p>
        </w:tc>
        <w:tc>
          <w:tcPr>
            <w:tcW w:w="300" w:type="dxa"/>
            <w:vAlign w:val="bottom"/>
            <w:tcBorders>
              <w:bottom w:val="single" w:sz="8" w:color="010101"/>
            </w:tcBorders>
          </w:tcPr>
          <w:p>
            <w:pPr>
              <w:spacing w:after="0"/>
              <w:rPr>
                <w:sz w:val="24"/>
                <w:szCs w:val="24"/>
                <w:color w:val="auto"/>
              </w:rPr>
            </w:pPr>
          </w:p>
        </w:tc>
        <w:tc>
          <w:tcPr>
            <w:tcW w:w="82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340" w:type="dxa"/>
            <w:vAlign w:val="bottom"/>
            <w:tcBorders>
              <w:bottom w:val="single" w:sz="8" w:color="010101"/>
            </w:tcBorders>
          </w:tcPr>
          <w:p>
            <w:pPr>
              <w:spacing w:after="0"/>
              <w:rPr>
                <w:sz w:val="24"/>
                <w:szCs w:val="24"/>
                <w:color w:val="auto"/>
              </w:rPr>
            </w:pPr>
          </w:p>
        </w:tc>
        <w:tc>
          <w:tcPr>
            <w:tcW w:w="78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88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86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86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ind w:left="520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Operations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six months ended June 30, 2006</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4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tcPr>
          <w:p>
            <w:pPr>
              <w:jc w:val="center"/>
              <w:ind w:right="16"/>
              <w:spacing w:after="0"/>
              <w:rPr>
                <w:sz w:val="20"/>
                <w:szCs w:val="20"/>
                <w:color w:val="auto"/>
              </w:rPr>
            </w:pPr>
            <w:r>
              <w:rPr>
                <w:rFonts w:ascii="Arial" w:cs="Arial" w:eastAsia="Arial" w:hAnsi="Arial"/>
                <w:sz w:val="14"/>
                <w:szCs w:val="14"/>
                <w:b w:val="1"/>
                <w:bCs w:val="1"/>
                <w:color w:val="auto"/>
                <w:w w:val="97"/>
              </w:rPr>
              <w:t>Principal Life</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4"/>
              </w:rPr>
              <w:t>Principal</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Principal</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tcPr>
          <w:p>
            <w:pPr>
              <w:jc w:val="center"/>
              <w:ind w:right="16"/>
              <w:spacing w:after="0" w:line="135" w:lineRule="exact"/>
              <w:rPr>
                <w:sz w:val="20"/>
                <w:szCs w:val="20"/>
                <w:color w:val="auto"/>
              </w:rPr>
            </w:pPr>
            <w:r>
              <w:rPr>
                <w:rFonts w:ascii="Arial" w:cs="Arial" w:eastAsia="Arial" w:hAnsi="Arial"/>
                <w:sz w:val="14"/>
                <w:szCs w:val="14"/>
                <w:b w:val="1"/>
                <w:bCs w:val="1"/>
                <w:color w:val="auto"/>
                <w:w w:val="93"/>
              </w:rPr>
              <w:t>Insurance</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vMerge w:val="restart"/>
          </w:tcPr>
          <w:p>
            <w:pPr>
              <w:jc w:val="center"/>
              <w:ind w:right="54"/>
              <w:spacing w:after="0"/>
              <w:rPr>
                <w:sz w:val="20"/>
                <w:szCs w:val="20"/>
                <w:color w:val="auto"/>
              </w:rPr>
            </w:pPr>
            <w:r>
              <w:rPr>
                <w:rFonts w:ascii="Arial" w:cs="Arial" w:eastAsia="Arial" w:hAnsi="Arial"/>
                <w:sz w:val="14"/>
                <w:szCs w:val="14"/>
                <w:b w:val="1"/>
                <w:bCs w:val="1"/>
                <w:color w:val="auto"/>
                <w:w w:val="94"/>
              </w:rPr>
              <w:t>Principal</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tcPr>
          <w:p>
            <w:pPr>
              <w:jc w:val="center"/>
              <w:ind w:right="16"/>
              <w:spacing w:after="0" w:line="135" w:lineRule="exact"/>
              <w:rPr>
                <w:sz w:val="20"/>
                <w:szCs w:val="20"/>
                <w:color w:val="auto"/>
              </w:rPr>
            </w:pPr>
            <w:r>
              <w:rPr>
                <w:rFonts w:ascii="Arial" w:cs="Arial" w:eastAsia="Arial" w:hAnsi="Arial"/>
                <w:sz w:val="14"/>
                <w:szCs w:val="14"/>
                <w:b w:val="1"/>
                <w:bCs w:val="1"/>
                <w:color w:val="auto"/>
                <w:w w:val="92"/>
              </w:rPr>
              <w:t>Company and</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5"/>
              </w:rPr>
              <w:t>Financial</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5"/>
              </w:rPr>
              <w:t>Financial</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tcPr>
          <w:p>
            <w:pPr>
              <w:jc w:val="center"/>
              <w:ind w:right="16"/>
              <w:spacing w:after="0" w:line="135" w:lineRule="exact"/>
              <w:rPr>
                <w:sz w:val="20"/>
                <w:szCs w:val="20"/>
                <w:color w:val="auto"/>
              </w:rPr>
            </w:pPr>
            <w:r>
              <w:rPr>
                <w:rFonts w:ascii="Arial" w:cs="Arial" w:eastAsia="Arial" w:hAnsi="Arial"/>
                <w:sz w:val="14"/>
                <w:szCs w:val="14"/>
                <w:b w:val="1"/>
                <w:bCs w:val="1"/>
                <w:color w:val="auto"/>
              </w:rPr>
              <w:t>Other</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tcPr>
          <w:p>
            <w:pPr>
              <w:jc w:val="center"/>
              <w:ind w:right="54"/>
              <w:spacing w:after="0" w:line="135" w:lineRule="exact"/>
              <w:rPr>
                <w:sz w:val="20"/>
                <w:szCs w:val="20"/>
                <w:color w:val="auto"/>
              </w:rPr>
            </w:pPr>
            <w:r>
              <w:rPr>
                <w:rFonts w:ascii="Arial" w:cs="Arial" w:eastAsia="Arial" w:hAnsi="Arial"/>
                <w:sz w:val="14"/>
                <w:szCs w:val="14"/>
                <w:b w:val="1"/>
                <w:bCs w:val="1"/>
                <w:color w:val="auto"/>
                <w:w w:val="92"/>
              </w:rPr>
              <w:t>Financial</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tcPr>
          <w:p>
            <w:pPr>
              <w:jc w:val="center"/>
              <w:ind w:right="320"/>
              <w:spacing w:after="0" w:line="135" w:lineRule="exact"/>
              <w:rPr>
                <w:sz w:val="20"/>
                <w:szCs w:val="20"/>
                <w:color w:val="auto"/>
              </w:rPr>
            </w:pPr>
            <w:r>
              <w:rPr>
                <w:rFonts w:ascii="Arial" w:cs="Arial" w:eastAsia="Arial" w:hAnsi="Arial"/>
                <w:sz w:val="14"/>
                <w:szCs w:val="14"/>
                <w:b w:val="1"/>
                <w:bCs w:val="1"/>
                <w:color w:val="auto"/>
                <w:w w:val="97"/>
              </w:rPr>
              <w:t>Group, Inc.</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1"/>
              </w:rPr>
              <w:t>Services, Inc.</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tcPr>
          <w:p>
            <w:pPr>
              <w:jc w:val="center"/>
              <w:ind w:right="16"/>
              <w:spacing w:after="0" w:line="135" w:lineRule="exact"/>
              <w:rPr>
                <w:sz w:val="20"/>
                <w:szCs w:val="20"/>
                <w:color w:val="auto"/>
              </w:rPr>
            </w:pPr>
            <w:r>
              <w:rPr>
                <w:rFonts w:ascii="Arial" w:cs="Arial" w:eastAsia="Arial" w:hAnsi="Arial"/>
                <w:sz w:val="14"/>
                <w:szCs w:val="14"/>
                <w:b w:val="1"/>
                <w:bCs w:val="1"/>
                <w:color w:val="auto"/>
                <w:w w:val="88"/>
              </w:rPr>
              <w:t>Subsidiaries</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w w:val="93"/>
              </w:rPr>
              <w:t>Eliminations</w:t>
            </w:r>
          </w:p>
        </w:tc>
        <w:tc>
          <w:tcPr>
            <w:tcW w:w="120" w:type="dxa"/>
            <w:vAlign w:val="bottom"/>
          </w:tcPr>
          <w:p>
            <w:pPr>
              <w:spacing w:after="0"/>
              <w:rPr>
                <w:sz w:val="11"/>
                <w:szCs w:val="11"/>
                <w:color w:val="auto"/>
              </w:rPr>
            </w:pPr>
          </w:p>
        </w:tc>
        <w:tc>
          <w:tcPr>
            <w:tcW w:w="980" w:type="dxa"/>
            <w:vAlign w:val="bottom"/>
          </w:tcPr>
          <w:p>
            <w:pPr>
              <w:jc w:val="center"/>
              <w:ind w:right="54"/>
              <w:spacing w:after="0" w:line="135" w:lineRule="exact"/>
              <w:rPr>
                <w:sz w:val="20"/>
                <w:szCs w:val="20"/>
                <w:color w:val="auto"/>
              </w:rPr>
            </w:pPr>
            <w:r>
              <w:rPr>
                <w:rFonts w:ascii="Arial" w:cs="Arial" w:eastAsia="Arial" w:hAnsi="Arial"/>
                <w:sz w:val="14"/>
                <w:szCs w:val="14"/>
                <w:b w:val="1"/>
                <w:bCs w:val="1"/>
                <w:color w:val="auto"/>
                <w:w w:val="97"/>
              </w:rPr>
              <w:t>Group, Inc.</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4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6"/>
              </w:rPr>
              <w:t>Parent Only</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6"/>
              </w:rPr>
              <w:t>Only</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93"/>
              </w:rPr>
              <w:t>Combined</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tcPr>
          <w:p>
            <w:pPr>
              <w:jc w:val="center"/>
              <w:ind w:right="54"/>
              <w:spacing w:after="0"/>
              <w:rPr>
                <w:sz w:val="20"/>
                <w:szCs w:val="20"/>
                <w:color w:val="auto"/>
              </w:rPr>
            </w:pPr>
            <w:r>
              <w:rPr>
                <w:rFonts w:ascii="Arial" w:cs="Arial" w:eastAsia="Arial" w:hAnsi="Arial"/>
                <w:sz w:val="14"/>
                <w:szCs w:val="14"/>
                <w:b w:val="1"/>
                <w:bCs w:val="1"/>
                <w:color w:val="auto"/>
                <w:w w:val="90"/>
              </w:rPr>
              <w:t>Consolidated</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jc w:val="center"/>
              <w:ind w:right="56"/>
              <w:spacing w:after="0" w:line="129" w:lineRule="exact"/>
              <w:rPr>
                <w:sz w:val="20"/>
                <w:szCs w:val="20"/>
                <w:color w:val="auto"/>
              </w:rPr>
            </w:pPr>
            <w:r>
              <w:rPr>
                <w:rFonts w:ascii="Arial" w:cs="Arial" w:eastAsia="Arial" w:hAnsi="Arial"/>
                <w:sz w:val="14"/>
                <w:szCs w:val="14"/>
                <w:b w:val="1"/>
                <w:bCs w:val="1"/>
                <w:color w:val="auto"/>
                <w:w w:val="94"/>
              </w:rPr>
              <w:t>(in millions)</w:t>
            </w:r>
          </w:p>
        </w:tc>
        <w:tc>
          <w:tcPr>
            <w:tcW w:w="2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tcPr>
          <w:p>
            <w:pPr>
              <w:spacing w:after="0"/>
              <w:rPr>
                <w:sz w:val="20"/>
                <w:szCs w:val="20"/>
                <w:color w:val="auto"/>
              </w:rPr>
            </w:pPr>
            <w:r>
              <w:rPr>
                <w:rFonts w:ascii="Arial" w:cs="Arial" w:eastAsia="Arial" w:hAnsi="Arial"/>
                <w:sz w:val="18"/>
                <w:szCs w:val="18"/>
                <w:color w:val="auto"/>
              </w:rPr>
              <w:t>Premiums and other considerations</w:t>
            </w:r>
          </w:p>
        </w:tc>
        <w:tc>
          <w:tcPr>
            <w:tcW w:w="48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1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1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2,146.4</w:t>
            </w:r>
          </w:p>
        </w:tc>
        <w:tc>
          <w:tcPr>
            <w:tcW w:w="4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2,146.4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Fees and other revenues</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900.3</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(0.2)</w:t>
            </w: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900.1</w:t>
            </w:r>
          </w:p>
        </w:tc>
        <w:tc>
          <w:tcPr>
            <w:tcW w:w="1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tcPr>
          <w:p>
            <w:pPr>
              <w:spacing w:after="0"/>
              <w:rPr>
                <w:sz w:val="20"/>
                <w:szCs w:val="20"/>
                <w:color w:val="auto"/>
              </w:rPr>
            </w:pPr>
            <w:r>
              <w:rPr>
                <w:rFonts w:ascii="Arial" w:cs="Arial" w:eastAsia="Arial" w:hAnsi="Arial"/>
                <w:sz w:val="18"/>
                <w:szCs w:val="18"/>
                <w:color w:val="auto"/>
              </w:rPr>
              <w:t>Net investment income</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1.8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6.4</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1,755.6</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1,763.8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Net realized/unrealized capital gains (losses)</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(0.5)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30.3</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29.8</w:t>
            </w:r>
          </w:p>
        </w:tc>
        <w:tc>
          <w:tcPr>
            <w:tcW w:w="1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00" w:type="dxa"/>
            <w:vAlign w:val="bottom"/>
            <w:vMerge w:val="restart"/>
          </w:tcPr>
          <w:p>
            <w:pPr>
              <w:ind w:left="160"/>
              <w:spacing w:after="0"/>
              <w:rPr>
                <w:sz w:val="20"/>
                <w:szCs w:val="20"/>
                <w:color w:val="auto"/>
              </w:rPr>
            </w:pPr>
            <w:r>
              <w:rPr>
                <w:rFonts w:ascii="Arial" w:cs="Arial" w:eastAsia="Arial" w:hAnsi="Arial"/>
                <w:sz w:val="18"/>
                <w:szCs w:val="18"/>
                <w:color w:val="auto"/>
              </w:rPr>
              <w:t>Total revenues</w:t>
            </w:r>
          </w:p>
        </w:tc>
        <w:tc>
          <w:tcPr>
            <w:tcW w:w="3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00" w:type="dxa"/>
            <w:vAlign w:val="bottom"/>
            <w:vMerge w:val="continue"/>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1.8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5.9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4,832.6</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(0.2)</w:t>
            </w: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4,840.1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tcPr>
          <w:p>
            <w:pPr>
              <w:spacing w:after="0"/>
              <w:rPr>
                <w:sz w:val="20"/>
                <w:szCs w:val="20"/>
                <w:color w:val="auto"/>
              </w:rPr>
            </w:pPr>
            <w:r>
              <w:rPr>
                <w:rFonts w:ascii="Arial" w:cs="Arial" w:eastAsia="Arial" w:hAnsi="Arial"/>
                <w:sz w:val="18"/>
                <w:szCs w:val="18"/>
                <w:color w:val="auto"/>
              </w:rPr>
              <w:t>Benefits, claims, and settlement expenses</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2,801.4</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2,801.4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Dividends to policyholders</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144.4</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144.4</w:t>
            </w:r>
          </w:p>
        </w:tc>
        <w:tc>
          <w:tcPr>
            <w:tcW w:w="1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tcPr>
          <w:p>
            <w:pPr>
              <w:spacing w:after="0"/>
              <w:rPr>
                <w:sz w:val="20"/>
                <w:szCs w:val="20"/>
                <w:color w:val="auto"/>
              </w:rPr>
            </w:pPr>
            <w:r>
              <w:rPr>
                <w:rFonts w:ascii="Arial" w:cs="Arial" w:eastAsia="Arial" w:hAnsi="Arial"/>
                <w:sz w:val="18"/>
                <w:szCs w:val="18"/>
                <w:color w:val="auto"/>
              </w:rPr>
              <w:t>Operating expenses</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6.9</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22.8</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1,194.7</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(0.2)</w:t>
            </w: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1,224.2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00" w:type="dxa"/>
            <w:vAlign w:val="bottom"/>
            <w:vMerge w:val="restart"/>
            <w:shd w:val="clear" w:color="auto" w:fill="CCEEFF"/>
          </w:tcPr>
          <w:p>
            <w:pPr>
              <w:ind w:left="160"/>
              <w:spacing w:after="0"/>
              <w:rPr>
                <w:sz w:val="20"/>
                <w:szCs w:val="20"/>
                <w:color w:val="auto"/>
              </w:rPr>
            </w:pPr>
            <w:r>
              <w:rPr>
                <w:rFonts w:ascii="Arial" w:cs="Arial" w:eastAsia="Arial" w:hAnsi="Arial"/>
                <w:sz w:val="18"/>
                <w:szCs w:val="18"/>
                <w:color w:val="auto"/>
              </w:rPr>
              <w:t>Total expenses</w:t>
            </w:r>
          </w:p>
        </w:tc>
        <w:tc>
          <w:tcPr>
            <w:tcW w:w="34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tcBorders>
              <w:left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00" w:type="dxa"/>
            <w:vAlign w:val="bottom"/>
            <w:vMerge w:val="continue"/>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6.9</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4,140.5</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(0.2)</w:t>
            </w: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4,170.0</w:t>
            </w:r>
          </w:p>
        </w:tc>
        <w:tc>
          <w:tcPr>
            <w:tcW w:w="1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44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8"/>
              </w:rPr>
              <w:t>Income (loss) from continuing operations before income</w:t>
            </w:r>
          </w:p>
        </w:tc>
        <w:tc>
          <w:tcPr>
            <w:tcW w:w="3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6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(5.1)</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4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(16.9)</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692.1</w:t>
            </w: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4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7"/>
                <w:szCs w:val="17"/>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670.1</w:t>
            </w:r>
          </w:p>
        </w:tc>
        <w:tc>
          <w:tcPr>
            <w:tcW w:w="100" w:type="dxa"/>
            <w:vAlign w:val="bottom"/>
            <w:tcBorders>
              <w:left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4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taxes</w:t>
            </w:r>
          </w:p>
        </w:tc>
        <w:tc>
          <w:tcPr>
            <w:tcW w:w="3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160" w:type="dxa"/>
            <w:vAlign w:val="bottom"/>
            <w:gridSpan w:val="2"/>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40" w:type="dxa"/>
            <w:vAlign w:val="bottom"/>
            <w:gridSpan w:val="2"/>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0" w:type="dxa"/>
            <w:vAlign w:val="bottom"/>
            <w:vMerge w:val="continue"/>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240" w:type="dxa"/>
            <w:vAlign w:val="bottom"/>
            <w:gridSpan w:val="2"/>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80" w:type="dxa"/>
            <w:vAlign w:val="bottom"/>
            <w:vMerge w:val="continue"/>
            <w:shd w:val="clear" w:color="auto" w:fill="CCEEFF"/>
          </w:tcPr>
          <w:p>
            <w:pPr>
              <w:spacing w:after="0"/>
              <w:rPr>
                <w:sz w:val="20"/>
                <w:szCs w:val="20"/>
                <w:color w:val="auto"/>
              </w:rPr>
            </w:pPr>
          </w:p>
        </w:tc>
        <w:tc>
          <w:tcPr>
            <w:tcW w:w="100" w:type="dxa"/>
            <w:vAlign w:val="bottom"/>
            <w:tcBorders>
              <w:left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Income taxes (benefits)</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(2.0)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(5.5)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164.9</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157.4</w:t>
            </w:r>
          </w:p>
        </w:tc>
        <w:tc>
          <w:tcPr>
            <w:tcW w:w="1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tcPr>
          <w:p>
            <w:pPr>
              <w:spacing w:after="0"/>
              <w:rPr>
                <w:sz w:val="20"/>
                <w:szCs w:val="20"/>
                <w:color w:val="auto"/>
              </w:rPr>
            </w:pPr>
            <w:r>
              <w:rPr>
                <w:rFonts w:ascii="Arial" w:cs="Arial" w:eastAsia="Arial" w:hAnsi="Arial"/>
                <w:sz w:val="18"/>
                <w:szCs w:val="18"/>
                <w:color w:val="auto"/>
              </w:rPr>
              <w:t>Equity in the net income of subsidiaries</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515.8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527.2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(1,043.0)</w:t>
            </w: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income</w:t>
            </w:r>
          </w:p>
        </w:tc>
        <w:tc>
          <w:tcPr>
            <w:tcW w:w="3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512.7</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515.8</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527.2</w:t>
            </w:r>
          </w:p>
        </w:tc>
        <w:tc>
          <w:tcPr>
            <w:tcW w:w="2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(1,043.0)</w:t>
            </w:r>
          </w:p>
        </w:tc>
        <w:tc>
          <w:tcPr>
            <w:tcW w:w="2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512.7</w:t>
            </w:r>
          </w:p>
        </w:tc>
        <w:tc>
          <w:tcPr>
            <w:tcW w:w="1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tcPr>
          <w:p>
            <w:pPr>
              <w:spacing w:after="0"/>
              <w:rPr>
                <w:sz w:val="20"/>
                <w:szCs w:val="20"/>
                <w:color w:val="auto"/>
              </w:rPr>
            </w:pPr>
            <w:r>
              <w:rPr>
                <w:rFonts w:ascii="Arial" w:cs="Arial" w:eastAsia="Arial" w:hAnsi="Arial"/>
                <w:sz w:val="18"/>
                <w:szCs w:val="18"/>
                <w:color w:val="auto"/>
              </w:rPr>
              <w:t>Preferred stock dividends</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16.5</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16.5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4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income available to common stockholders</w:t>
            </w:r>
          </w:p>
        </w:tc>
        <w:tc>
          <w:tcPr>
            <w:tcW w:w="34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496.2</w:t>
            </w: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515.8</w:t>
            </w: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527.2</w:t>
            </w:r>
          </w:p>
        </w:tc>
        <w:tc>
          <w:tcPr>
            <w:tcW w:w="28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(1,043.0</w:t>
            </w:r>
          </w:p>
        </w:tc>
        <w:tc>
          <w:tcPr>
            <w:tcW w:w="280" w:type="dxa"/>
            <w:vAlign w:val="bottom"/>
            <w:tcBorders>
              <w:top w:val="single" w:sz="8" w:color="CCEEFF"/>
              <w:bottom w:val="single" w:sz="8" w:color="CCEEFF"/>
            </w:tcBorders>
            <w:shd w:val="clear" w:color="auto" w:fill="CCEEFF"/>
          </w:tcPr>
          <w:p>
            <w:pPr>
              <w:jc w:val="right"/>
              <w:ind w:right="140"/>
              <w:spacing w:after="0"/>
              <w:rPr>
                <w:sz w:val="20"/>
                <w:szCs w:val="20"/>
                <w:color w:val="auto"/>
              </w:rPr>
            </w:pPr>
            <w:r>
              <w:rPr>
                <w:rFonts w:ascii="Arial" w:cs="Arial" w:eastAsia="Arial" w:hAnsi="Arial"/>
                <w:sz w:val="16"/>
                <w:szCs w:val="16"/>
                <w:b w:val="1"/>
                <w:bCs w:val="1"/>
                <w:color w:val="auto"/>
                <w:w w:val="74"/>
              </w:rPr>
              <w:t>)</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496.2</w:t>
            </w:r>
          </w:p>
        </w:tc>
        <w:tc>
          <w:tcPr>
            <w:tcW w:w="100" w:type="dxa"/>
            <w:vAlign w:val="bottom"/>
            <w:tcBorders>
              <w:left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20" w:type="dxa"/>
            <w:vAlign w:val="bottom"/>
          </w:tcPr>
          <w:p>
            <w:pPr>
              <w:spacing w:after="0"/>
              <w:rPr>
                <w:sz w:val="24"/>
                <w:szCs w:val="24"/>
                <w:color w:val="auto"/>
              </w:rPr>
            </w:pPr>
          </w:p>
        </w:tc>
        <w:tc>
          <w:tcPr>
            <w:tcW w:w="4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35</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20" w:type="dxa"/>
            <w:vAlign w:val="bottom"/>
            <w:tcBorders>
              <w:bottom w:val="single" w:sz="8" w:color="010101"/>
            </w:tcBorders>
          </w:tcPr>
          <w:p>
            <w:pPr>
              <w:spacing w:after="0"/>
              <w:rPr>
                <w:sz w:val="24"/>
                <w:szCs w:val="24"/>
                <w:color w:val="auto"/>
              </w:rPr>
            </w:pPr>
          </w:p>
        </w:tc>
        <w:tc>
          <w:tcPr>
            <w:tcW w:w="4400" w:type="dxa"/>
            <w:vAlign w:val="bottom"/>
            <w:tcBorders>
              <w:bottom w:val="single" w:sz="8" w:color="010101"/>
            </w:tcBorders>
          </w:tcPr>
          <w:p>
            <w:pPr>
              <w:spacing w:after="0"/>
              <w:rPr>
                <w:sz w:val="24"/>
                <w:szCs w:val="24"/>
                <w:color w:val="auto"/>
              </w:rPr>
            </w:pPr>
          </w:p>
        </w:tc>
        <w:tc>
          <w:tcPr>
            <w:tcW w:w="34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98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98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100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96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98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ind w:left="520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Operations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six months ended June 30, 2005</w:t>
      </w:r>
    </w:p>
    <w:p>
      <w:pPr>
        <w:sectPr>
          <w:pgSz w:w="11900" w:h="16838" w:orient="portrait"/>
          <w:cols w:equalWidth="0" w:num="1">
            <w:col w:w="11460"/>
          </w:cols>
          <w:pgMar w:left="240" w:top="140" w:right="199" w:bottom="301" w:gutter="0" w:footer="0" w:header="0"/>
        </w:sectPr>
      </w:pPr>
    </w:p>
    <w:bookmarkStart w:id="24" w:name="page25"/>
    <w:bookmarkEnd w:id="24"/>
    <w:p>
      <w:pPr>
        <w:spacing w:after="0" w:line="2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tcPr>
          <w:p>
            <w:pPr>
              <w:jc w:val="center"/>
              <w:ind w:right="16"/>
              <w:spacing w:after="0"/>
              <w:rPr>
                <w:sz w:val="20"/>
                <w:szCs w:val="20"/>
                <w:color w:val="auto"/>
              </w:rPr>
            </w:pPr>
            <w:r>
              <w:rPr>
                <w:rFonts w:ascii="Arial" w:cs="Arial" w:eastAsia="Arial" w:hAnsi="Arial"/>
                <w:sz w:val="14"/>
                <w:szCs w:val="14"/>
                <w:b w:val="1"/>
                <w:bCs w:val="1"/>
                <w:color w:val="auto"/>
                <w:w w:val="97"/>
              </w:rPr>
              <w:t>Principal Life</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5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4"/>
              </w:rPr>
              <w:t>Principal</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Principal</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tcPr>
          <w:p>
            <w:pPr>
              <w:jc w:val="center"/>
              <w:ind w:right="16"/>
              <w:spacing w:after="0" w:line="135" w:lineRule="exact"/>
              <w:rPr>
                <w:sz w:val="20"/>
                <w:szCs w:val="20"/>
                <w:color w:val="auto"/>
              </w:rPr>
            </w:pPr>
            <w:r>
              <w:rPr>
                <w:rFonts w:ascii="Arial" w:cs="Arial" w:eastAsia="Arial" w:hAnsi="Arial"/>
                <w:sz w:val="14"/>
                <w:szCs w:val="14"/>
                <w:b w:val="1"/>
                <w:bCs w:val="1"/>
                <w:color w:val="auto"/>
                <w:w w:val="93"/>
              </w:rPr>
              <w:t>Insurance</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vMerge w:val="restart"/>
          </w:tcPr>
          <w:p>
            <w:pPr>
              <w:jc w:val="center"/>
              <w:ind w:right="114"/>
              <w:spacing w:after="0"/>
              <w:rPr>
                <w:sz w:val="20"/>
                <w:szCs w:val="20"/>
                <w:color w:val="auto"/>
              </w:rPr>
            </w:pPr>
            <w:r>
              <w:rPr>
                <w:rFonts w:ascii="Arial" w:cs="Arial" w:eastAsia="Arial" w:hAnsi="Arial"/>
                <w:sz w:val="14"/>
                <w:szCs w:val="14"/>
                <w:b w:val="1"/>
                <w:bCs w:val="1"/>
                <w:color w:val="auto"/>
                <w:w w:val="94"/>
              </w:rPr>
              <w:t>Principal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5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tcPr>
          <w:p>
            <w:pPr>
              <w:jc w:val="center"/>
              <w:ind w:right="16"/>
              <w:spacing w:after="0" w:line="135" w:lineRule="exact"/>
              <w:rPr>
                <w:sz w:val="20"/>
                <w:szCs w:val="20"/>
                <w:color w:val="auto"/>
              </w:rPr>
            </w:pPr>
            <w:r>
              <w:rPr>
                <w:rFonts w:ascii="Arial" w:cs="Arial" w:eastAsia="Arial" w:hAnsi="Arial"/>
                <w:sz w:val="14"/>
                <w:szCs w:val="14"/>
                <w:b w:val="1"/>
                <w:bCs w:val="1"/>
                <w:color w:val="auto"/>
                <w:w w:val="92"/>
              </w:rPr>
              <w:t>Company and</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5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5"/>
              </w:rPr>
              <w:t>Financial</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5"/>
              </w:rPr>
              <w:t>Financial</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tcPr>
          <w:p>
            <w:pPr>
              <w:jc w:val="center"/>
              <w:ind w:right="16"/>
              <w:spacing w:after="0" w:line="135" w:lineRule="exact"/>
              <w:rPr>
                <w:sz w:val="20"/>
                <w:szCs w:val="20"/>
                <w:color w:val="auto"/>
              </w:rPr>
            </w:pPr>
            <w:r>
              <w:rPr>
                <w:rFonts w:ascii="Arial" w:cs="Arial" w:eastAsia="Arial" w:hAnsi="Arial"/>
                <w:sz w:val="14"/>
                <w:szCs w:val="14"/>
                <w:b w:val="1"/>
                <w:bCs w:val="1"/>
                <w:color w:val="auto"/>
              </w:rPr>
              <w:t>Other</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tcPr>
          <w:p>
            <w:pPr>
              <w:jc w:val="center"/>
              <w:ind w:right="114"/>
              <w:spacing w:after="0" w:line="135" w:lineRule="exact"/>
              <w:rPr>
                <w:sz w:val="20"/>
                <w:szCs w:val="20"/>
                <w:color w:val="auto"/>
              </w:rPr>
            </w:pPr>
            <w:r>
              <w:rPr>
                <w:rFonts w:ascii="Arial" w:cs="Arial" w:eastAsia="Arial" w:hAnsi="Arial"/>
                <w:sz w:val="14"/>
                <w:szCs w:val="14"/>
                <w:b w:val="1"/>
                <w:bCs w:val="1"/>
                <w:color w:val="auto"/>
                <w:w w:val="92"/>
              </w:rPr>
              <w:t>Financial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5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tcPr>
          <w:p>
            <w:pPr>
              <w:jc w:val="center"/>
              <w:ind w:right="320"/>
              <w:spacing w:after="0" w:line="135" w:lineRule="exact"/>
              <w:rPr>
                <w:sz w:val="20"/>
                <w:szCs w:val="20"/>
                <w:color w:val="auto"/>
              </w:rPr>
            </w:pPr>
            <w:r>
              <w:rPr>
                <w:rFonts w:ascii="Arial" w:cs="Arial" w:eastAsia="Arial" w:hAnsi="Arial"/>
                <w:sz w:val="14"/>
                <w:szCs w:val="14"/>
                <w:b w:val="1"/>
                <w:bCs w:val="1"/>
                <w:color w:val="auto"/>
                <w:w w:val="97"/>
              </w:rPr>
              <w:t>Group, Inc.</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1"/>
              </w:rPr>
              <w:t>Services, Inc.</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tcPr>
          <w:p>
            <w:pPr>
              <w:jc w:val="center"/>
              <w:ind w:right="16"/>
              <w:spacing w:after="0" w:line="135" w:lineRule="exact"/>
              <w:rPr>
                <w:sz w:val="20"/>
                <w:szCs w:val="20"/>
                <w:color w:val="auto"/>
              </w:rPr>
            </w:pPr>
            <w:r>
              <w:rPr>
                <w:rFonts w:ascii="Arial" w:cs="Arial" w:eastAsia="Arial" w:hAnsi="Arial"/>
                <w:sz w:val="14"/>
                <w:szCs w:val="14"/>
                <w:b w:val="1"/>
                <w:bCs w:val="1"/>
                <w:color w:val="auto"/>
                <w:w w:val="88"/>
              </w:rPr>
              <w:t>Subsidiaries</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w w:val="93"/>
              </w:rPr>
              <w:t>Eliminations</w:t>
            </w:r>
          </w:p>
        </w:tc>
        <w:tc>
          <w:tcPr>
            <w:tcW w:w="120" w:type="dxa"/>
            <w:vAlign w:val="bottom"/>
          </w:tcPr>
          <w:p>
            <w:pPr>
              <w:spacing w:after="0"/>
              <w:rPr>
                <w:sz w:val="11"/>
                <w:szCs w:val="11"/>
                <w:color w:val="auto"/>
              </w:rPr>
            </w:pPr>
          </w:p>
        </w:tc>
        <w:tc>
          <w:tcPr>
            <w:tcW w:w="1040" w:type="dxa"/>
            <w:vAlign w:val="bottom"/>
          </w:tcPr>
          <w:p>
            <w:pPr>
              <w:jc w:val="center"/>
              <w:ind w:right="114"/>
              <w:spacing w:after="0" w:line="135" w:lineRule="exact"/>
              <w:rPr>
                <w:sz w:val="20"/>
                <w:szCs w:val="20"/>
                <w:color w:val="auto"/>
              </w:rPr>
            </w:pPr>
            <w:r>
              <w:rPr>
                <w:rFonts w:ascii="Arial" w:cs="Arial" w:eastAsia="Arial" w:hAnsi="Arial"/>
                <w:sz w:val="14"/>
                <w:szCs w:val="14"/>
                <w:b w:val="1"/>
                <w:bCs w:val="1"/>
                <w:color w:val="auto"/>
                <w:w w:val="97"/>
              </w:rPr>
              <w:t>Group, Inc.</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6"/>
              </w:rPr>
              <w:t>Parent Only</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6"/>
              </w:rPr>
              <w:t>Only</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93"/>
              </w:rPr>
              <w:t>Combined</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jc w:val="center"/>
              <w:ind w:right="114"/>
              <w:spacing w:after="0"/>
              <w:rPr>
                <w:sz w:val="20"/>
                <w:szCs w:val="20"/>
                <w:color w:val="auto"/>
              </w:rPr>
            </w:pPr>
            <w:r>
              <w:rPr>
                <w:rFonts w:ascii="Arial" w:cs="Arial" w:eastAsia="Arial" w:hAnsi="Arial"/>
                <w:sz w:val="14"/>
                <w:szCs w:val="14"/>
                <w:b w:val="1"/>
                <w:bCs w:val="1"/>
                <w:color w:val="auto"/>
                <w:w w:val="90"/>
              </w:rPr>
              <w:t>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5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jc w:val="center"/>
              <w:ind w:right="56"/>
              <w:spacing w:after="0" w:line="129" w:lineRule="exact"/>
              <w:rPr>
                <w:sz w:val="20"/>
                <w:szCs w:val="20"/>
                <w:color w:val="auto"/>
              </w:rPr>
            </w:pPr>
            <w:r>
              <w:rPr>
                <w:rFonts w:ascii="Arial" w:cs="Arial" w:eastAsia="Arial" w:hAnsi="Arial"/>
                <w:sz w:val="14"/>
                <w:szCs w:val="14"/>
                <w:b w:val="1"/>
                <w:bCs w:val="1"/>
                <w:color w:val="auto"/>
                <w:w w:val="94"/>
              </w:rPr>
              <w:t>(in millions)</w:t>
            </w:r>
          </w:p>
        </w:tc>
        <w:tc>
          <w:tcPr>
            <w:tcW w:w="2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40" w:type="dxa"/>
            <w:vAlign w:val="bottom"/>
            <w:tcBorders>
              <w:top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Premiums and other considerations</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1,883.0</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1,883.0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Fees and other revenues</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822.6</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(0.1)</w:t>
            </w:r>
          </w:p>
        </w:tc>
        <w:tc>
          <w:tcPr>
            <w:tcW w:w="12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822.5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Net investment income</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1,624.3</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1,629.9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Net realized/unrealized capital gains</w:t>
            </w:r>
          </w:p>
        </w:tc>
        <w:tc>
          <w:tcPr>
            <w:tcW w:w="2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2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20" w:type="dxa"/>
            <w:vAlign w:val="bottom"/>
          </w:tcPr>
          <w:p>
            <w:pPr>
              <w:ind w:left="160"/>
              <w:spacing w:after="0"/>
              <w:rPr>
                <w:sz w:val="20"/>
                <w:szCs w:val="20"/>
                <w:color w:val="auto"/>
              </w:rPr>
            </w:pPr>
            <w:r>
              <w:rPr>
                <w:rFonts w:ascii="Arial" w:cs="Arial" w:eastAsia="Arial" w:hAnsi="Arial"/>
                <w:sz w:val="18"/>
                <w:szCs w:val="18"/>
                <w:color w:val="auto"/>
              </w:rPr>
              <w:t>Total revenues</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4,338.4</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4,344.1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Benefits, claims, and settlement expenses</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2,498.8</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2,498.8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Dividends to policyholders</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145.1</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145.1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Operating expenses</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5.4</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23.2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1,109.2</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1,137.7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20" w:type="dxa"/>
            <w:vAlign w:val="bottom"/>
            <w:vMerge w:val="restart"/>
            <w:shd w:val="clear" w:color="auto" w:fill="CCEEFF"/>
          </w:tcPr>
          <w:p>
            <w:pPr>
              <w:ind w:left="160"/>
              <w:spacing w:after="0"/>
              <w:rPr>
                <w:sz w:val="20"/>
                <w:szCs w:val="20"/>
                <w:color w:val="auto"/>
              </w:rPr>
            </w:pPr>
            <w:r>
              <w:rPr>
                <w:rFonts w:ascii="Arial" w:cs="Arial" w:eastAsia="Arial" w:hAnsi="Arial"/>
                <w:sz w:val="18"/>
                <w:szCs w:val="18"/>
                <w:color w:val="auto"/>
              </w:rPr>
              <w:t>Total expenses</w:t>
            </w:r>
          </w:p>
        </w:tc>
        <w:tc>
          <w:tcPr>
            <w:tcW w:w="22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40" w:type="dxa"/>
            <w:vAlign w:val="bottom"/>
            <w:tcBorders>
              <w:right w:val="single" w:sz="8" w:color="CCEEFF"/>
            </w:tcBorders>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520" w:type="dxa"/>
            <w:vAlign w:val="bottom"/>
            <w:vMerge w:val="continue"/>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23.2</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3,753.1</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(0.1)</w:t>
            </w:r>
          </w:p>
        </w:tc>
        <w:tc>
          <w:tcPr>
            <w:tcW w:w="12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3,781.6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5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45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Income (loss) from continuing operations before income</w:t>
            </w:r>
          </w:p>
        </w:tc>
        <w:tc>
          <w:tcPr>
            <w:tcW w:w="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40" w:type="dxa"/>
            <w:vAlign w:val="bottom"/>
            <w:tcBorders>
              <w:right w:val="single" w:sz="8" w:color="CCEEFF"/>
            </w:tcBorders>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taxes</w:t>
            </w:r>
          </w:p>
        </w:tc>
        <w:tc>
          <w:tcPr>
            <w:tcW w:w="2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(4.3)</w:t>
            </w: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(18.5)</w:t>
            </w:r>
          </w:p>
        </w:tc>
        <w:tc>
          <w:tcPr>
            <w:tcW w:w="1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585.3</w:t>
            </w:r>
          </w:p>
        </w:tc>
        <w:tc>
          <w:tcPr>
            <w:tcW w:w="2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562.5</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5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Income taxes (benefits)</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(2.1)</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138.2</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134.0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520" w:type="dxa"/>
            <w:vAlign w:val="bottom"/>
          </w:tcPr>
          <w:p>
            <w:pPr>
              <w:spacing w:after="0" w:line="201" w:lineRule="exact"/>
              <w:rPr>
                <w:sz w:val="20"/>
                <w:szCs w:val="20"/>
                <w:color w:val="auto"/>
              </w:rPr>
            </w:pPr>
            <w:r>
              <w:rPr>
                <w:rFonts w:ascii="Arial" w:cs="Arial" w:eastAsia="Arial" w:hAnsi="Arial"/>
                <w:sz w:val="18"/>
                <w:szCs w:val="18"/>
                <w:color w:val="auto"/>
              </w:rPr>
              <w:t>Equity in the net income of subsidiaries, excluding</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20" w:type="dxa"/>
            <w:vAlign w:val="bottom"/>
          </w:tcPr>
          <w:p>
            <w:pPr>
              <w:ind w:left="160"/>
              <w:spacing w:after="0"/>
              <w:rPr>
                <w:sz w:val="20"/>
                <w:szCs w:val="20"/>
                <w:color w:val="auto"/>
              </w:rPr>
            </w:pPr>
            <w:r>
              <w:rPr>
                <w:rFonts w:ascii="Arial" w:cs="Arial" w:eastAsia="Arial" w:hAnsi="Arial"/>
                <w:sz w:val="18"/>
                <w:szCs w:val="18"/>
                <w:color w:val="auto"/>
              </w:rPr>
              <w:t>discontinued operations</w:t>
            </w: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430.7</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447.1</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¾</w:t>
            </w: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(877.8)</w:t>
            </w:r>
          </w:p>
        </w:tc>
        <w:tc>
          <w:tcPr>
            <w:tcW w:w="1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4520" w:type="dxa"/>
            <w:vAlign w:val="bottom"/>
            <w:tcBorders>
              <w:top w:val="single" w:sz="8" w:color="CCEEFF"/>
            </w:tcBorders>
            <w:shd w:val="clear" w:color="auto" w:fill="CCEEFF"/>
          </w:tcPr>
          <w:p>
            <w:pPr>
              <w:spacing w:after="0" w:line="182" w:lineRule="exact"/>
              <w:rPr>
                <w:sz w:val="20"/>
                <w:szCs w:val="20"/>
                <w:color w:val="auto"/>
              </w:rPr>
            </w:pPr>
            <w:r>
              <w:rPr>
                <w:rFonts w:ascii="Arial" w:cs="Arial" w:eastAsia="Arial" w:hAnsi="Arial"/>
                <w:sz w:val="18"/>
                <w:szCs w:val="18"/>
                <w:color w:val="auto"/>
              </w:rPr>
              <w:t>Income (loss) from continuing operations, net of related</w:t>
            </w:r>
          </w:p>
        </w:tc>
        <w:tc>
          <w:tcPr>
            <w:tcW w:w="2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spacing w:after="0"/>
              <w:rPr>
                <w:sz w:val="15"/>
                <w:szCs w:val="15"/>
                <w:color w:val="auto"/>
              </w:rPr>
            </w:pPr>
          </w:p>
        </w:tc>
        <w:tc>
          <w:tcPr>
            <w:tcW w:w="98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98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100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96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1040" w:type="dxa"/>
            <w:vAlign w:val="bottom"/>
            <w:tcBorders>
              <w:top w:val="single" w:sz="8" w:color="auto"/>
              <w:right w:val="single" w:sz="8" w:color="CCEEFF"/>
            </w:tcBorders>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income taxes</w:t>
            </w:r>
          </w:p>
        </w:tc>
        <w:tc>
          <w:tcPr>
            <w:tcW w:w="2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428.5</w:t>
            </w:r>
          </w:p>
        </w:tc>
        <w:tc>
          <w:tcPr>
            <w:tcW w:w="1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430.7</w:t>
            </w:r>
          </w:p>
        </w:tc>
        <w:tc>
          <w:tcPr>
            <w:tcW w:w="1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447.1</w:t>
            </w:r>
          </w:p>
        </w:tc>
        <w:tc>
          <w:tcPr>
            <w:tcW w:w="2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2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(877.8)</w:t>
            </w:r>
          </w:p>
        </w:tc>
        <w:tc>
          <w:tcPr>
            <w:tcW w:w="120" w:type="dxa"/>
            <w:vAlign w:val="bottom"/>
            <w:shd w:val="clear" w:color="auto" w:fill="CCEEFF"/>
          </w:tcPr>
          <w:p>
            <w:pPr>
              <w:spacing w:after="0"/>
              <w:rPr>
                <w:sz w:val="20"/>
                <w:szCs w:val="20"/>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428.5</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520" w:type="dxa"/>
            <w:vAlign w:val="bottom"/>
          </w:tcPr>
          <w:p>
            <w:pPr>
              <w:spacing w:after="0" w:line="201" w:lineRule="exact"/>
              <w:rPr>
                <w:sz w:val="20"/>
                <w:szCs w:val="20"/>
                <w:color w:val="auto"/>
              </w:rPr>
            </w:pPr>
            <w:r>
              <w:rPr>
                <w:rFonts w:ascii="Arial" w:cs="Arial" w:eastAsia="Arial" w:hAnsi="Arial"/>
                <w:sz w:val="18"/>
                <w:szCs w:val="18"/>
                <w:color w:val="auto"/>
                <w:w w:val="95"/>
              </w:rPr>
              <w:t>Income from discontinued operations, net of related income</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20" w:type="dxa"/>
            <w:vAlign w:val="bottom"/>
          </w:tcPr>
          <w:p>
            <w:pPr>
              <w:ind w:left="160"/>
              <w:spacing w:after="0"/>
              <w:rPr>
                <w:sz w:val="20"/>
                <w:szCs w:val="20"/>
                <w:color w:val="auto"/>
              </w:rPr>
            </w:pPr>
            <w:r>
              <w:rPr>
                <w:rFonts w:ascii="Arial" w:cs="Arial" w:eastAsia="Arial" w:hAnsi="Arial"/>
                <w:sz w:val="18"/>
                <w:szCs w:val="18"/>
                <w:color w:val="auto"/>
              </w:rPr>
              <w:t>taxes</w:t>
            </w: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15.9</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15.9</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15.9</w:t>
            </w: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(31.8)</w:t>
            </w:r>
          </w:p>
        </w:tc>
        <w:tc>
          <w:tcPr>
            <w:tcW w:w="1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15.9</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5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income</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444.4</w:t>
            </w: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446.6</w:t>
            </w: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463.0</w:t>
            </w:r>
          </w:p>
        </w:tc>
        <w:tc>
          <w:tcPr>
            <w:tcW w:w="28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(909.6</w:t>
            </w:r>
          </w:p>
        </w:tc>
        <w:tc>
          <w:tcPr>
            <w:tcW w:w="280" w:type="dxa"/>
            <w:vAlign w:val="bottom"/>
            <w:tcBorders>
              <w:top w:val="single" w:sz="8" w:color="CCEEFF"/>
              <w:bottom w:val="single" w:sz="8" w:color="CCEEFF"/>
            </w:tcBorders>
            <w:shd w:val="clear" w:color="auto" w:fill="CCEEFF"/>
          </w:tcPr>
          <w:p>
            <w:pPr>
              <w:jc w:val="right"/>
              <w:ind w:right="140"/>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444.4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2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36</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20" w:type="dxa"/>
            <w:vAlign w:val="bottom"/>
            <w:tcBorders>
              <w:bottom w:val="single" w:sz="8" w:color="010101"/>
            </w:tcBorders>
          </w:tcPr>
          <w:p>
            <w:pPr>
              <w:spacing w:after="0"/>
              <w:rPr>
                <w:sz w:val="24"/>
                <w:szCs w:val="24"/>
                <w:color w:val="auto"/>
              </w:rPr>
            </w:pPr>
          </w:p>
        </w:tc>
        <w:tc>
          <w:tcPr>
            <w:tcW w:w="452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98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98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100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96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04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ind w:left="520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Cash Flows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six months ended June 30, 2006</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8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4"/>
              </w:rPr>
              <w:t>Principal</w:t>
            </w:r>
          </w:p>
        </w:tc>
        <w:tc>
          <w:tcPr>
            <w:tcW w:w="100" w:type="dxa"/>
            <w:vAlign w:val="bottom"/>
          </w:tcPr>
          <w:p>
            <w:pPr>
              <w:spacing w:after="0"/>
              <w:rPr>
                <w:sz w:val="14"/>
                <w:szCs w:val="14"/>
                <w:color w:val="auto"/>
              </w:rPr>
            </w:pPr>
          </w:p>
        </w:tc>
        <w:tc>
          <w:tcPr>
            <w:tcW w:w="940" w:type="dxa"/>
            <w:vAlign w:val="bottom"/>
            <w:vMerge w:val="restart"/>
          </w:tcPr>
          <w:p>
            <w:pPr>
              <w:jc w:val="center"/>
              <w:ind w:right="34"/>
              <w:spacing w:after="0"/>
              <w:rPr>
                <w:sz w:val="20"/>
                <w:szCs w:val="20"/>
                <w:color w:val="auto"/>
              </w:rPr>
            </w:pPr>
            <w:r>
              <w:rPr>
                <w:rFonts w:ascii="Arial" w:cs="Arial" w:eastAsia="Arial" w:hAnsi="Arial"/>
                <w:sz w:val="14"/>
                <w:szCs w:val="14"/>
                <w:b w:val="1"/>
                <w:bCs w:val="1"/>
                <w:color w:val="auto"/>
                <w:w w:val="97"/>
              </w:rPr>
              <w:t>Principal</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5"/>
              </w:rPr>
              <w:t>Principal Life</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7"/>
              </w:rPr>
              <w:t>Principal</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4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vMerge w:val="continue"/>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52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3"/>
              </w:rPr>
              <w:t>Insurance</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jc w:val="center"/>
              <w:ind w:right="420"/>
              <w:spacing w:after="0" w:line="135" w:lineRule="exact"/>
              <w:rPr>
                <w:sz w:val="20"/>
                <w:szCs w:val="20"/>
                <w:color w:val="auto"/>
              </w:rPr>
            </w:pPr>
            <w:r>
              <w:rPr>
                <w:rFonts w:ascii="Arial" w:cs="Arial" w:eastAsia="Arial" w:hAnsi="Arial"/>
                <w:sz w:val="14"/>
                <w:szCs w:val="14"/>
                <w:b w:val="1"/>
                <w:bCs w:val="1"/>
                <w:color w:val="auto"/>
                <w:w w:val="92"/>
              </w:rPr>
              <w:t>Financial</w:t>
            </w:r>
          </w:p>
        </w:tc>
        <w:tc>
          <w:tcPr>
            <w:tcW w:w="100" w:type="dxa"/>
            <w:vAlign w:val="bottom"/>
          </w:tcPr>
          <w:p>
            <w:pPr>
              <w:spacing w:after="0"/>
              <w:rPr>
                <w:sz w:val="11"/>
                <w:szCs w:val="11"/>
                <w:color w:val="auto"/>
              </w:rPr>
            </w:pPr>
          </w:p>
        </w:tc>
        <w:tc>
          <w:tcPr>
            <w:tcW w:w="940" w:type="dxa"/>
            <w:vAlign w:val="bottom"/>
          </w:tcPr>
          <w:p>
            <w:pPr>
              <w:jc w:val="center"/>
              <w:ind w:right="74"/>
              <w:spacing w:after="0" w:line="135" w:lineRule="exact"/>
              <w:rPr>
                <w:sz w:val="20"/>
                <w:szCs w:val="20"/>
                <w:color w:val="auto"/>
              </w:rPr>
            </w:pPr>
            <w:r>
              <w:rPr>
                <w:rFonts w:ascii="Arial" w:cs="Arial" w:eastAsia="Arial" w:hAnsi="Arial"/>
                <w:sz w:val="14"/>
                <w:szCs w:val="14"/>
                <w:b w:val="1"/>
                <w:bCs w:val="1"/>
                <w:color w:val="auto"/>
                <w:w w:val="95"/>
              </w:rPr>
              <w:t>Financial</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52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2"/>
              </w:rPr>
              <w:t>Company and</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95"/>
              </w:rPr>
              <w:t>Financial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jc w:val="center"/>
              <w:ind w:right="460"/>
              <w:spacing w:after="0" w:line="135" w:lineRule="exact"/>
              <w:rPr>
                <w:sz w:val="20"/>
                <w:szCs w:val="20"/>
                <w:color w:val="auto"/>
              </w:rPr>
            </w:pPr>
            <w:r>
              <w:rPr>
                <w:rFonts w:ascii="Arial" w:cs="Arial" w:eastAsia="Arial" w:hAnsi="Arial"/>
                <w:sz w:val="14"/>
                <w:szCs w:val="14"/>
                <w:b w:val="1"/>
                <w:bCs w:val="1"/>
                <w:color w:val="auto"/>
                <w:w w:val="97"/>
              </w:rPr>
              <w:t>Group, Inc.</w:t>
            </w:r>
          </w:p>
        </w:tc>
        <w:tc>
          <w:tcPr>
            <w:tcW w:w="100" w:type="dxa"/>
            <w:vAlign w:val="bottom"/>
          </w:tcPr>
          <w:p>
            <w:pPr>
              <w:spacing w:after="0"/>
              <w:rPr>
                <w:sz w:val="11"/>
                <w:szCs w:val="11"/>
                <w:color w:val="auto"/>
              </w:rPr>
            </w:pPr>
          </w:p>
        </w:tc>
        <w:tc>
          <w:tcPr>
            <w:tcW w:w="940" w:type="dxa"/>
            <w:vAlign w:val="bottom"/>
          </w:tcPr>
          <w:p>
            <w:pPr>
              <w:jc w:val="center"/>
              <w:ind w:right="34"/>
              <w:spacing w:after="0" w:line="135" w:lineRule="exact"/>
              <w:rPr>
                <w:sz w:val="20"/>
                <w:szCs w:val="20"/>
                <w:color w:val="auto"/>
              </w:rPr>
            </w:pPr>
            <w:r>
              <w:rPr>
                <w:rFonts w:ascii="Arial" w:cs="Arial" w:eastAsia="Arial" w:hAnsi="Arial"/>
                <w:sz w:val="14"/>
                <w:szCs w:val="14"/>
                <w:b w:val="1"/>
                <w:bCs w:val="1"/>
                <w:color w:val="auto"/>
                <w:w w:val="91"/>
              </w:rPr>
              <w:t>Services, Inc.</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520" w:type="dxa"/>
            <w:vAlign w:val="bottom"/>
            <w:gridSpan w:val="2"/>
          </w:tcPr>
          <w:p>
            <w:pPr>
              <w:jc w:val="center"/>
              <w:ind w:right="320"/>
              <w:spacing w:after="0" w:line="135" w:lineRule="exact"/>
              <w:rPr>
                <w:sz w:val="20"/>
                <w:szCs w:val="20"/>
                <w:color w:val="auto"/>
              </w:rPr>
            </w:pPr>
            <w:r>
              <w:rPr>
                <w:rFonts w:ascii="Arial" w:cs="Arial" w:eastAsia="Arial" w:hAnsi="Arial"/>
                <w:sz w:val="14"/>
                <w:szCs w:val="14"/>
                <w:b w:val="1"/>
                <w:bCs w:val="1"/>
                <w:color w:val="auto"/>
                <w:w w:val="93"/>
              </w:rPr>
              <w:t>Other Subsidiaries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gridSpan w:val="2"/>
            <w:vMerge w:val="restart"/>
          </w:tcPr>
          <w:p>
            <w:pPr>
              <w:jc w:val="right"/>
              <w:ind w:right="300"/>
              <w:spacing w:after="0"/>
              <w:rPr>
                <w:sz w:val="20"/>
                <w:szCs w:val="20"/>
                <w:color w:val="auto"/>
              </w:rPr>
            </w:pPr>
            <w:r>
              <w:rPr>
                <w:rFonts w:ascii="Arial" w:cs="Arial" w:eastAsia="Arial" w:hAnsi="Arial"/>
                <w:sz w:val="14"/>
                <w:szCs w:val="14"/>
                <w:b w:val="1"/>
                <w:bCs w:val="1"/>
                <w:color w:val="auto"/>
                <w:w w:val="91"/>
              </w:rPr>
              <w:t>Eliminations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7"/>
              </w:rPr>
              <w:t>Group, Inc.</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4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8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6"/>
              </w:rPr>
              <w:t>Parent Only</w:t>
            </w:r>
          </w:p>
        </w:tc>
        <w:tc>
          <w:tcPr>
            <w:tcW w:w="100" w:type="dxa"/>
            <w:vAlign w:val="bottom"/>
          </w:tcPr>
          <w:p>
            <w:pPr>
              <w:spacing w:after="0"/>
              <w:rPr>
                <w:sz w:val="14"/>
                <w:szCs w:val="14"/>
                <w:color w:val="auto"/>
              </w:rPr>
            </w:pPr>
          </w:p>
        </w:tc>
        <w:tc>
          <w:tcPr>
            <w:tcW w:w="940" w:type="dxa"/>
            <w:vAlign w:val="bottom"/>
          </w:tcPr>
          <w:p>
            <w:pPr>
              <w:jc w:val="center"/>
              <w:ind w:right="34"/>
              <w:spacing w:after="0"/>
              <w:rPr>
                <w:sz w:val="20"/>
                <w:szCs w:val="20"/>
                <w:color w:val="auto"/>
              </w:rPr>
            </w:pPr>
            <w:r>
              <w:rPr>
                <w:rFonts w:ascii="Arial" w:cs="Arial" w:eastAsia="Arial" w:hAnsi="Arial"/>
                <w:sz w:val="14"/>
                <w:szCs w:val="14"/>
                <w:b w:val="1"/>
                <w:bCs w:val="1"/>
                <w:color w:val="auto"/>
                <w:w w:val="96"/>
              </w:rPr>
              <w:t>Only</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3"/>
              </w:rPr>
              <w:t>Combined</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2"/>
              </w:rPr>
              <w:t>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46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520" w:type="dxa"/>
            <w:vAlign w:val="bottom"/>
            <w:tcBorders>
              <w:top w:val="single" w:sz="8" w:color="auto"/>
            </w:tcBorders>
            <w:gridSpan w:val="2"/>
          </w:tcPr>
          <w:p>
            <w:pPr>
              <w:jc w:val="center"/>
              <w:ind w:right="340"/>
              <w:spacing w:after="0" w:line="129" w:lineRule="exact"/>
              <w:rPr>
                <w:sz w:val="20"/>
                <w:szCs w:val="20"/>
                <w:color w:val="auto"/>
              </w:rPr>
            </w:pPr>
            <w:r>
              <w:rPr>
                <w:rFonts w:ascii="Arial" w:cs="Arial" w:eastAsia="Arial" w:hAnsi="Arial"/>
                <w:sz w:val="14"/>
                <w:szCs w:val="14"/>
                <w:b w:val="1"/>
                <w:bCs w:val="1"/>
                <w:color w:val="auto"/>
                <w:w w:val="94"/>
              </w:rPr>
              <w:t>(in millions)</w:t>
            </w:r>
          </w:p>
        </w:tc>
        <w:tc>
          <w:tcPr>
            <w:tcW w:w="1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Net cash provided by (used in) operating activities</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(1.8)</w:t>
            </w:r>
          </w:p>
        </w:tc>
        <w:tc>
          <w:tcPr>
            <w:tcW w:w="10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220.6</w:t>
            </w:r>
          </w:p>
        </w:tc>
        <w:tc>
          <w:tcPr>
            <w:tcW w:w="4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1,101.0</w:t>
            </w:r>
          </w:p>
        </w:tc>
        <w:tc>
          <w:tcPr>
            <w:tcW w:w="180" w:type="dxa"/>
            <w:vAlign w:val="bottom"/>
          </w:tcPr>
          <w:p>
            <w:pPr>
              <w:spacing w:after="0"/>
              <w:rPr>
                <w:sz w:val="18"/>
                <w:szCs w:val="18"/>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8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(215.0)</w:t>
            </w: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1,104.8</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Available-for-sale securities:</w:t>
            </w: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Purchases</w:t>
            </w: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68.9</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(4,453.3)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(4,384.4)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Pr>
          <w:p>
            <w:pPr>
              <w:ind w:left="180"/>
              <w:spacing w:after="0"/>
              <w:rPr>
                <w:sz w:val="20"/>
                <w:szCs w:val="20"/>
                <w:color w:val="auto"/>
              </w:rPr>
            </w:pPr>
            <w:r>
              <w:rPr>
                <w:rFonts w:ascii="Arial" w:cs="Arial" w:eastAsia="Arial" w:hAnsi="Arial"/>
                <w:sz w:val="18"/>
                <w:szCs w:val="18"/>
                <w:color w:val="auto"/>
              </w:rPr>
              <w:t>Sales</w:t>
            </w:r>
          </w:p>
        </w:tc>
        <w:tc>
          <w:tcPr>
            <w:tcW w:w="120" w:type="dxa"/>
            <w:vAlign w:val="bottom"/>
          </w:tcPr>
          <w:p>
            <w:pPr>
              <w:spacing w:after="0"/>
              <w:rPr>
                <w:sz w:val="18"/>
                <w:szCs w:val="18"/>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2.0</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743.3</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745.3</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Maturities</w:t>
            </w: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1,873.0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1,873.0</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Mortgage loans acquired or originated</w:t>
            </w:r>
          </w:p>
        </w:tc>
        <w:tc>
          <w:tcPr>
            <w:tcW w:w="120" w:type="dxa"/>
            <w:vAlign w:val="bottom"/>
          </w:tcPr>
          <w:p>
            <w:pPr>
              <w:spacing w:after="0"/>
              <w:rPr>
                <w:sz w:val="18"/>
                <w:szCs w:val="18"/>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(1,542.5)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(1,542.5)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Mortgage loans sold or repaid</w:t>
            </w: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1,192.3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1,192.3</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Real estate acquired</w:t>
            </w:r>
          </w:p>
        </w:tc>
        <w:tc>
          <w:tcPr>
            <w:tcW w:w="120" w:type="dxa"/>
            <w:vAlign w:val="bottom"/>
          </w:tcPr>
          <w:p>
            <w:pPr>
              <w:spacing w:after="0"/>
              <w:rPr>
                <w:sz w:val="18"/>
                <w:szCs w:val="18"/>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(18.7)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(18.7)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Real estate sold</w:t>
            </w: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11.4</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11.4</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Net purchases of property and equipment</w:t>
            </w:r>
          </w:p>
        </w:tc>
        <w:tc>
          <w:tcPr>
            <w:tcW w:w="120" w:type="dxa"/>
            <w:vAlign w:val="bottom"/>
          </w:tcPr>
          <w:p>
            <w:pPr>
              <w:spacing w:after="0"/>
              <w:rPr>
                <w:sz w:val="18"/>
                <w:szCs w:val="18"/>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(23.2)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(23.2)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Purchases of interest in subsidiaries, net of cash acquired</w:t>
            </w: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(5.5)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(5.5)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Dividends received from unconsolidated entities</w:t>
            </w:r>
          </w:p>
        </w:tc>
        <w:tc>
          <w:tcPr>
            <w:tcW w:w="1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876.3</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984.7</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(1,861.0)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Net change in other investments</w:t>
            </w: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¾</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22.9</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74.4</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(13.0)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84.3</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660" w:type="dxa"/>
            <w:vAlign w:val="bottom"/>
            <w:vMerge w:val="restart"/>
          </w:tcPr>
          <w:p>
            <w:pPr>
              <w:spacing w:after="0"/>
              <w:rPr>
                <w:sz w:val="20"/>
                <w:szCs w:val="20"/>
                <w:color w:val="auto"/>
              </w:rPr>
            </w:pPr>
            <w:r>
              <w:rPr>
                <w:rFonts w:ascii="Arial" w:cs="Arial" w:eastAsia="Arial" w:hAnsi="Arial"/>
                <w:sz w:val="18"/>
                <w:szCs w:val="18"/>
                <w:color w:val="auto"/>
              </w:rPr>
              <w:t>Net cash provided by (used in) investing activities</w:t>
            </w:r>
          </w:p>
        </w:tc>
        <w:tc>
          <w:tcPr>
            <w:tcW w:w="12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80" w:type="dxa"/>
            <w:vAlign w:val="bottom"/>
            <w:vMerge w:val="restart"/>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8"/>
        </w:trPr>
        <w:tc>
          <w:tcPr>
            <w:tcW w:w="4660" w:type="dxa"/>
            <w:vAlign w:val="bottom"/>
            <w:vMerge w:val="continue"/>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876.3</w:t>
            </w:r>
          </w:p>
        </w:tc>
        <w:tc>
          <w:tcPr>
            <w:tcW w:w="300" w:type="dxa"/>
            <w:vAlign w:val="bottom"/>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1,078.5</w:t>
            </w:r>
          </w:p>
        </w:tc>
        <w:tc>
          <w:tcPr>
            <w:tcW w:w="280" w:type="dxa"/>
            <w:vAlign w:val="bottom"/>
            <w:vMerge w:val="continue"/>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5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(2,148.8)</w:t>
            </w:r>
          </w:p>
        </w:tc>
        <w:tc>
          <w:tcPr>
            <w:tcW w:w="100" w:type="dxa"/>
            <w:vAlign w:val="bottom"/>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08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(1,874.0)</w:t>
            </w:r>
          </w:p>
        </w:tc>
        <w:tc>
          <w:tcPr>
            <w:tcW w:w="100" w:type="dxa"/>
            <w:vAlign w:val="bottom"/>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0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(2,068.0)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46"/>
        </w:trPr>
        <w:tc>
          <w:tcPr>
            <w:tcW w:w="4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37</w:t>
            </w: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466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880" w:type="dxa"/>
            <w:vAlign w:val="bottom"/>
            <w:tcBorders>
              <w:bottom w:val="single" w:sz="8" w:color="010101"/>
            </w:tcBorders>
          </w:tcPr>
          <w:p>
            <w:pPr>
              <w:spacing w:after="0"/>
              <w:rPr>
                <w:sz w:val="24"/>
                <w:szCs w:val="24"/>
                <w:color w:val="auto"/>
              </w:rPr>
            </w:pPr>
          </w:p>
        </w:tc>
        <w:tc>
          <w:tcPr>
            <w:tcW w:w="30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94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34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90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94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67" w:orient="portrait"/>
          <w:cols w:equalWidth="0" w:num="1">
            <w:col w:w="11460"/>
          </w:cols>
          <w:pgMar w:left="240" w:top="87" w:right="199" w:bottom="0" w:gutter="0" w:footer="0" w:header="0"/>
        </w:sectPr>
      </w:pPr>
    </w:p>
    <w:p>
      <w:pPr>
        <w:spacing w:after="0" w:line="200" w:lineRule="exact"/>
        <w:rPr>
          <w:sz w:val="20"/>
          <w:szCs w:val="20"/>
          <w:color w:val="auto"/>
        </w:rPr>
      </w:pPr>
    </w:p>
    <w:p>
      <w:pPr>
        <w:spacing w:after="0" w:line="34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5"/>
          <w:szCs w:val="15"/>
          <w:b w:val="1"/>
          <w:bCs w:val="1"/>
          <w:color w:val="auto"/>
        </w:rPr>
        <w:t>Notes to Consolidated Financial Statements (continued)</w:t>
      </w:r>
    </w:p>
    <w:p>
      <w:pPr>
        <w:sectPr>
          <w:pgSz w:w="11900" w:h="16867" w:orient="portrait"/>
          <w:cols w:equalWidth="0" w:num="1">
            <w:col w:w="11460"/>
          </w:cols>
          <w:pgMar w:left="240" w:top="87" w:right="199" w:bottom="0" w:gutter="0" w:footer="0" w:header="0"/>
          <w:type w:val="continuous"/>
        </w:sectPr>
      </w:pPr>
    </w:p>
    <w:bookmarkStart w:id="25" w:name="page26"/>
    <w:bookmarkEnd w:id="25"/>
    <w:p>
      <w:pPr>
        <w:ind w:left="5200"/>
        <w:spacing w:after="0"/>
        <w:rPr>
          <w:sz w:val="20"/>
          <w:szCs w:val="20"/>
          <w:color w:val="auto"/>
        </w:rPr>
      </w:pPr>
      <w:r>
        <w:rPr>
          <w:rFonts w:ascii="Arial" w:cs="Arial" w:eastAsia="Arial" w:hAnsi="Arial"/>
          <w:sz w:val="18"/>
          <w:szCs w:val="18"/>
          <w:b w:val="1"/>
          <w:bCs w:val="1"/>
          <w:color w:val="auto"/>
        </w:rPr>
        <w:t>June 30, 2006</w:t>
      </w:r>
    </w:p>
    <w:p>
      <w:pPr>
        <w:spacing w:after="0" w:line="27"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Consolidating Statements of Cash Flows (continued)</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six months ended June 30, 2006</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5"/>
              </w:rPr>
              <w:t>Principal Life</w:t>
            </w:r>
          </w:p>
        </w:tc>
        <w:tc>
          <w:tcPr>
            <w:tcW w:w="1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94"/>
              </w:rPr>
              <w:t>Principal</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2"/>
            <w:vMerge w:val="restart"/>
          </w:tcPr>
          <w:p>
            <w:pPr>
              <w:jc w:val="center"/>
              <w:ind w:right="420"/>
              <w:spacing w:after="0"/>
              <w:rPr>
                <w:sz w:val="20"/>
                <w:szCs w:val="20"/>
                <w:color w:val="auto"/>
              </w:rPr>
            </w:pPr>
            <w:r>
              <w:rPr>
                <w:rFonts w:ascii="Arial" w:cs="Arial" w:eastAsia="Arial" w:hAnsi="Arial"/>
                <w:sz w:val="14"/>
                <w:szCs w:val="14"/>
                <w:b w:val="1"/>
                <w:bCs w:val="1"/>
                <w:color w:val="auto"/>
                <w:w w:val="97"/>
              </w:rPr>
              <w:t>Principal</w:t>
            </w:r>
          </w:p>
        </w:tc>
        <w:tc>
          <w:tcPr>
            <w:tcW w:w="100" w:type="dxa"/>
            <w:vAlign w:val="bottom"/>
          </w:tcPr>
          <w:p>
            <w:pPr>
              <w:spacing w:after="0"/>
              <w:rPr>
                <w:sz w:val="11"/>
                <w:szCs w:val="11"/>
                <w:color w:val="auto"/>
              </w:rPr>
            </w:pPr>
          </w:p>
        </w:tc>
        <w:tc>
          <w:tcPr>
            <w:tcW w:w="1260" w:type="dxa"/>
            <w:vAlign w:val="bottom"/>
            <w:gridSpan w:val="2"/>
          </w:tcPr>
          <w:p>
            <w:pPr>
              <w:jc w:val="center"/>
              <w:ind w:right="420"/>
              <w:spacing w:after="0" w:line="135" w:lineRule="exact"/>
              <w:rPr>
                <w:sz w:val="20"/>
                <w:szCs w:val="20"/>
                <w:color w:val="auto"/>
              </w:rPr>
            </w:pPr>
            <w:r>
              <w:rPr>
                <w:rFonts w:ascii="Arial" w:cs="Arial" w:eastAsia="Arial" w:hAnsi="Arial"/>
                <w:sz w:val="14"/>
                <w:szCs w:val="14"/>
                <w:b w:val="1"/>
                <w:bCs w:val="1"/>
                <w:color w:val="auto"/>
                <w:w w:val="90"/>
              </w:rPr>
              <w:t>Insurance</w:t>
            </w:r>
          </w:p>
        </w:tc>
        <w:tc>
          <w:tcPr>
            <w:tcW w:w="1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4"/>
              </w:rPr>
              <w:t>Principal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5"/>
              </w:rPr>
              <w:t>Company and</w:t>
            </w:r>
          </w:p>
        </w:tc>
        <w:tc>
          <w:tcPr>
            <w:tcW w:w="1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tcPr>
          <w:p>
            <w:pPr>
              <w:jc w:val="center"/>
              <w:ind w:right="300"/>
              <w:spacing w:after="0" w:line="135" w:lineRule="exact"/>
              <w:rPr>
                <w:sz w:val="20"/>
                <w:szCs w:val="20"/>
                <w:color w:val="auto"/>
              </w:rPr>
            </w:pPr>
            <w:r>
              <w:rPr>
                <w:rFonts w:ascii="Arial" w:cs="Arial" w:eastAsia="Arial" w:hAnsi="Arial"/>
                <w:sz w:val="14"/>
                <w:szCs w:val="14"/>
                <w:b w:val="1"/>
                <w:bCs w:val="1"/>
                <w:color w:val="auto"/>
                <w:w w:val="95"/>
              </w:rPr>
              <w:t>Financial</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2"/>
          </w:tcPr>
          <w:p>
            <w:pPr>
              <w:jc w:val="center"/>
              <w:ind w:right="460"/>
              <w:spacing w:after="0" w:line="135" w:lineRule="exact"/>
              <w:rPr>
                <w:sz w:val="20"/>
                <w:szCs w:val="20"/>
                <w:color w:val="auto"/>
              </w:rPr>
            </w:pPr>
            <w:r>
              <w:rPr>
                <w:rFonts w:ascii="Arial" w:cs="Arial" w:eastAsia="Arial" w:hAnsi="Arial"/>
                <w:sz w:val="14"/>
                <w:szCs w:val="14"/>
                <w:b w:val="1"/>
                <w:bCs w:val="1"/>
                <w:color w:val="auto"/>
                <w:w w:val="95"/>
              </w:rPr>
              <w:t>Financial</w:t>
            </w:r>
          </w:p>
        </w:tc>
        <w:tc>
          <w:tcPr>
            <w:tcW w:w="100" w:type="dxa"/>
            <w:vAlign w:val="bottom"/>
          </w:tcPr>
          <w:p>
            <w:pPr>
              <w:spacing w:after="0"/>
              <w:rPr>
                <w:sz w:val="11"/>
                <w:szCs w:val="11"/>
                <w:color w:val="auto"/>
              </w:rPr>
            </w:pPr>
          </w:p>
        </w:tc>
        <w:tc>
          <w:tcPr>
            <w:tcW w:w="126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6"/>
              </w:rPr>
              <w:t>Other</w:t>
            </w:r>
          </w:p>
        </w:tc>
        <w:tc>
          <w:tcPr>
            <w:tcW w:w="1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95"/>
              </w:rPr>
              <w:t>Financial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tcPr>
          <w:p>
            <w:pPr>
              <w:jc w:val="center"/>
              <w:ind w:right="360"/>
              <w:spacing w:after="0" w:line="135" w:lineRule="exact"/>
              <w:rPr>
                <w:sz w:val="20"/>
                <w:szCs w:val="20"/>
                <w:color w:val="auto"/>
              </w:rPr>
            </w:pPr>
            <w:r>
              <w:rPr>
                <w:rFonts w:ascii="Arial" w:cs="Arial" w:eastAsia="Arial" w:hAnsi="Arial"/>
                <w:sz w:val="14"/>
                <w:szCs w:val="14"/>
                <w:b w:val="1"/>
                <w:bCs w:val="1"/>
                <w:color w:val="auto"/>
                <w:w w:val="97"/>
              </w:rPr>
              <w:t>Group, Inc.</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2"/>
          </w:tcPr>
          <w:p>
            <w:pPr>
              <w:jc w:val="center"/>
              <w:ind w:right="420"/>
              <w:spacing w:after="0" w:line="135" w:lineRule="exact"/>
              <w:rPr>
                <w:sz w:val="20"/>
                <w:szCs w:val="20"/>
                <w:color w:val="auto"/>
              </w:rPr>
            </w:pPr>
            <w:r>
              <w:rPr>
                <w:rFonts w:ascii="Arial" w:cs="Arial" w:eastAsia="Arial" w:hAnsi="Arial"/>
                <w:sz w:val="14"/>
                <w:szCs w:val="14"/>
                <w:b w:val="1"/>
                <w:bCs w:val="1"/>
                <w:color w:val="auto"/>
                <w:w w:val="91"/>
              </w:rPr>
              <w:t>Services, Inc.</w:t>
            </w:r>
          </w:p>
        </w:tc>
        <w:tc>
          <w:tcPr>
            <w:tcW w:w="100" w:type="dxa"/>
            <w:vAlign w:val="bottom"/>
          </w:tcPr>
          <w:p>
            <w:pPr>
              <w:spacing w:after="0"/>
              <w:rPr>
                <w:sz w:val="11"/>
                <w:szCs w:val="11"/>
                <w:color w:val="auto"/>
              </w:rPr>
            </w:pPr>
          </w:p>
        </w:tc>
        <w:tc>
          <w:tcPr>
            <w:tcW w:w="126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1"/>
              </w:rPr>
              <w:t>Subsidiaries</w:t>
            </w:r>
          </w:p>
        </w:tc>
        <w:tc>
          <w:tcPr>
            <w:tcW w:w="120" w:type="dxa"/>
            <w:vAlign w:val="bottom"/>
          </w:tcPr>
          <w:p>
            <w:pPr>
              <w:spacing w:after="0"/>
              <w:rPr>
                <w:sz w:val="11"/>
                <w:szCs w:val="11"/>
                <w:color w:val="auto"/>
              </w:rPr>
            </w:pPr>
          </w:p>
        </w:tc>
        <w:tc>
          <w:tcPr>
            <w:tcW w:w="114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w w:val="96"/>
              </w:rPr>
              <w:t>Eliminations</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4"/>
              </w:rPr>
              <w:t>Group, Inc.</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6"/>
              </w:rPr>
              <w:t>Parent Only</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8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6"/>
              </w:rPr>
              <w:t>Only</w:t>
            </w:r>
          </w:p>
        </w:tc>
        <w:tc>
          <w:tcPr>
            <w:tcW w:w="100" w:type="dxa"/>
            <w:vAlign w:val="bottom"/>
          </w:tcPr>
          <w:p>
            <w:pPr>
              <w:spacing w:after="0"/>
              <w:rPr>
                <w:sz w:val="14"/>
                <w:szCs w:val="14"/>
                <w:color w:val="auto"/>
              </w:rPr>
            </w:pPr>
          </w:p>
        </w:tc>
        <w:tc>
          <w:tcPr>
            <w:tcW w:w="12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3"/>
              </w:rPr>
              <w:t>Combined</w:t>
            </w:r>
          </w:p>
        </w:tc>
        <w:tc>
          <w:tcPr>
            <w:tcW w:w="120" w:type="dxa"/>
            <w:vAlign w:val="bottom"/>
          </w:tcPr>
          <w:p>
            <w:pPr>
              <w:spacing w:after="0"/>
              <w:rPr>
                <w:sz w:val="14"/>
                <w:szCs w:val="14"/>
                <w:color w:val="auto"/>
              </w:rPr>
            </w:pPr>
          </w:p>
        </w:tc>
        <w:tc>
          <w:tcPr>
            <w:tcW w:w="11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Consolidated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60" w:type="dxa"/>
            <w:vAlign w:val="bottom"/>
            <w:tcBorders>
              <w:top w:val="single" w:sz="8" w:color="auto"/>
            </w:tcBorders>
            <w:gridSpan w:val="2"/>
          </w:tcPr>
          <w:p>
            <w:pPr>
              <w:jc w:val="right"/>
              <w:ind w:right="500"/>
              <w:spacing w:after="0" w:line="129" w:lineRule="exact"/>
              <w:rPr>
                <w:sz w:val="20"/>
                <w:szCs w:val="20"/>
                <w:color w:val="auto"/>
              </w:rPr>
            </w:pPr>
            <w:r>
              <w:rPr>
                <w:rFonts w:ascii="Arial" w:cs="Arial" w:eastAsia="Arial" w:hAnsi="Arial"/>
                <w:sz w:val="14"/>
                <w:szCs w:val="14"/>
                <w:b w:val="1"/>
                <w:bCs w:val="1"/>
                <w:color w:val="auto"/>
                <w:w w:val="94"/>
              </w:rPr>
              <w:t>(in millions)</w:t>
            </w:r>
          </w:p>
        </w:tc>
        <w:tc>
          <w:tcPr>
            <w:tcW w:w="1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Financing activities</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Issuance of common stock</w:t>
            </w:r>
          </w:p>
        </w:tc>
        <w:tc>
          <w:tcPr>
            <w:tcW w:w="3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38.3</w:t>
            </w:r>
          </w:p>
        </w:tc>
        <w:tc>
          <w:tcPr>
            <w:tcW w:w="18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2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38.3</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Acquisition of treasury stock, net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(751.2)</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(751.2)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Proceeds from financing element derivatives</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81.3</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81.3</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Payments for financing element derivatives</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(69.9)</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(69.9)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w w:val="91"/>
              </w:rPr>
              <w:t>Excess tax benefits from share-based payment arrangements</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2.6</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2.6</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Dividends to preferred stockholders</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(16.5)</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(16.5)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Issuance of long-term debt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8.7</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8.7</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Principal repayments of long-term debt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(6.3)</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(6.3)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Net proceeds (repayments) of short-term borrowings</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(350.0)</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5.4</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295.0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(49.6)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Dividends paid to parent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(876.3)</w:t>
            </w: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(984.7)</w:t>
            </w: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1,861.0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Investment contract deposits</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4,835.7</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4,835.7</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Investment contract withdrawals</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(3,609.7)</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(3,609.7)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increase in banking operation deposits</w:t>
            </w:r>
          </w:p>
        </w:tc>
        <w:tc>
          <w:tcPr>
            <w:tcW w:w="16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75.4</w:t>
            </w:r>
          </w:p>
        </w:tc>
        <w:tc>
          <w:tcPr>
            <w:tcW w:w="2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75.4</w:t>
            </w:r>
          </w:p>
        </w:tc>
        <w:tc>
          <w:tcPr>
            <w:tcW w:w="8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(used in) financing activities</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(729.4)</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(1,226.3)</w:t>
            </w: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338.5</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2,156.0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538.8</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Net increase (decrease) in cash and cash equivalents</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145.1</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72.8</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(709.3)</w:t>
            </w: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67.0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(424.4)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beginning of period</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21.6</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701.3</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1,822.4</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(904.0)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1,641.3</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1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166.7</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774.1</w:t>
            </w:r>
          </w:p>
        </w:tc>
        <w:tc>
          <w:tcPr>
            <w:tcW w:w="2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1,113.1</w:t>
            </w:r>
          </w:p>
        </w:tc>
        <w:tc>
          <w:tcPr>
            <w:tcW w:w="26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(837.0</w:t>
            </w:r>
          </w:p>
        </w:tc>
        <w:tc>
          <w:tcPr>
            <w:tcW w:w="160" w:type="dxa"/>
            <w:vAlign w:val="bottom"/>
          </w:tcPr>
          <w:p>
            <w:pPr>
              <w:jc w:val="right"/>
              <w:ind w:right="20"/>
              <w:spacing w:after="0"/>
              <w:rPr>
                <w:sz w:val="20"/>
                <w:szCs w:val="20"/>
                <w:color w:val="auto"/>
              </w:rPr>
            </w:pPr>
            <w:r>
              <w:rPr>
                <w:rFonts w:ascii="Arial" w:cs="Arial" w:eastAsia="Arial" w:hAnsi="Arial"/>
                <w:sz w:val="16"/>
                <w:szCs w:val="16"/>
                <w:b w:val="1"/>
                <w:bCs w:val="1"/>
                <w:color w:val="auto"/>
                <w:w w:val="74"/>
              </w:rPr>
              <w:t>)</w:t>
            </w:r>
          </w:p>
        </w:tc>
        <w:tc>
          <w:tcPr>
            <w:tcW w:w="10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1,216.9</w:t>
            </w: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2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38</w:t>
            </w: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20" w:type="dxa"/>
            <w:vAlign w:val="bottom"/>
            <w:tcBorders>
              <w:bottom w:val="single" w:sz="8" w:color="010101"/>
            </w:tcBorders>
          </w:tcPr>
          <w:p>
            <w:pPr>
              <w:spacing w:after="0"/>
              <w:rPr>
                <w:sz w:val="24"/>
                <w:szCs w:val="24"/>
                <w:color w:val="auto"/>
              </w:rPr>
            </w:pPr>
          </w:p>
        </w:tc>
        <w:tc>
          <w:tcPr>
            <w:tcW w:w="452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98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00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100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98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98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ind w:left="520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Consolidating Statements of Cash Flows – (As Restated – See Note 1)</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six months ended June 30, 2005</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8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7"/>
              </w:rPr>
              <w:t>Principal Life</w:t>
            </w:r>
          </w:p>
        </w:tc>
        <w:tc>
          <w:tcPr>
            <w:tcW w:w="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43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00" w:type="dxa"/>
            <w:vAlign w:val="bottom"/>
            <w:gridSpan w:val="2"/>
            <w:vMerge w:val="restart"/>
          </w:tcPr>
          <w:p>
            <w:pPr>
              <w:jc w:val="center"/>
              <w:ind w:right="480"/>
              <w:spacing w:after="0"/>
              <w:rPr>
                <w:sz w:val="20"/>
                <w:szCs w:val="20"/>
                <w:color w:val="auto"/>
              </w:rPr>
            </w:pPr>
            <w:r>
              <w:rPr>
                <w:rFonts w:ascii="Arial" w:cs="Arial" w:eastAsia="Arial" w:hAnsi="Arial"/>
                <w:sz w:val="14"/>
                <w:szCs w:val="14"/>
                <w:b w:val="1"/>
                <w:bCs w:val="1"/>
                <w:color w:val="auto"/>
                <w:w w:val="97"/>
              </w:rPr>
              <w:t>Principal</w:t>
            </w:r>
          </w:p>
        </w:tc>
        <w:tc>
          <w:tcPr>
            <w:tcW w:w="120" w:type="dxa"/>
            <w:vAlign w:val="bottom"/>
          </w:tcPr>
          <w:p>
            <w:pPr>
              <w:spacing w:after="0"/>
              <w:rPr>
                <w:sz w:val="11"/>
                <w:szCs w:val="11"/>
                <w:color w:val="auto"/>
              </w:rPr>
            </w:pPr>
          </w:p>
        </w:tc>
        <w:tc>
          <w:tcPr>
            <w:tcW w:w="1280" w:type="dxa"/>
            <w:vAlign w:val="bottom"/>
            <w:gridSpan w:val="2"/>
            <w:vMerge w:val="restart"/>
          </w:tcPr>
          <w:p>
            <w:pPr>
              <w:jc w:val="center"/>
              <w:ind w:right="420"/>
              <w:spacing w:after="0"/>
              <w:rPr>
                <w:sz w:val="20"/>
                <w:szCs w:val="20"/>
                <w:color w:val="auto"/>
              </w:rPr>
            </w:pPr>
            <w:r>
              <w:rPr>
                <w:rFonts w:ascii="Arial" w:cs="Arial" w:eastAsia="Arial" w:hAnsi="Arial"/>
                <w:sz w:val="14"/>
                <w:szCs w:val="14"/>
                <w:b w:val="1"/>
                <w:bCs w:val="1"/>
                <w:color w:val="auto"/>
                <w:w w:val="97"/>
              </w:rPr>
              <w:t>Principal</w:t>
            </w:r>
          </w:p>
        </w:tc>
        <w:tc>
          <w:tcPr>
            <w:tcW w:w="100" w:type="dxa"/>
            <w:vAlign w:val="bottom"/>
          </w:tcPr>
          <w:p>
            <w:pPr>
              <w:spacing w:after="0"/>
              <w:rPr>
                <w:sz w:val="11"/>
                <w:szCs w:val="11"/>
                <w:color w:val="auto"/>
              </w:rPr>
            </w:pPr>
          </w:p>
        </w:tc>
        <w:tc>
          <w:tcPr>
            <w:tcW w:w="128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3"/>
              </w:rPr>
              <w:t>Insurance</w:t>
            </w: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8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7"/>
              </w:rPr>
              <w:t>Principal</w:t>
            </w:r>
          </w:p>
        </w:tc>
        <w:tc>
          <w:tcPr>
            <w:tcW w:w="0" w:type="dxa"/>
            <w:vAlign w:val="bottom"/>
          </w:tcPr>
          <w:p>
            <w:pPr>
              <w:spacing w:after="0"/>
              <w:rPr>
                <w:sz w:val="1"/>
                <w:szCs w:val="1"/>
                <w:color w:val="auto"/>
              </w:rPr>
            </w:pPr>
          </w:p>
        </w:tc>
      </w:tr>
      <w:tr>
        <w:trPr>
          <w:trHeight w:val="135"/>
        </w:trPr>
        <w:tc>
          <w:tcPr>
            <w:tcW w:w="43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0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128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2"/>
              </w:rPr>
              <w:t>Company and</w:t>
            </w: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8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3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0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5"/>
              </w:rPr>
              <w:t>Financial</w:t>
            </w:r>
          </w:p>
        </w:tc>
        <w:tc>
          <w:tcPr>
            <w:tcW w:w="120" w:type="dxa"/>
            <w:vAlign w:val="bottom"/>
          </w:tcPr>
          <w:p>
            <w:pPr>
              <w:spacing w:after="0"/>
              <w:rPr>
                <w:sz w:val="11"/>
                <w:szCs w:val="11"/>
                <w:color w:val="auto"/>
              </w:rPr>
            </w:pPr>
          </w:p>
        </w:tc>
        <w:tc>
          <w:tcPr>
            <w:tcW w:w="1280" w:type="dxa"/>
            <w:vAlign w:val="bottom"/>
            <w:gridSpan w:val="2"/>
          </w:tcPr>
          <w:p>
            <w:pPr>
              <w:jc w:val="center"/>
              <w:ind w:right="460"/>
              <w:spacing w:after="0" w:line="135" w:lineRule="exact"/>
              <w:rPr>
                <w:sz w:val="20"/>
                <w:szCs w:val="20"/>
                <w:color w:val="auto"/>
              </w:rPr>
            </w:pPr>
            <w:r>
              <w:rPr>
                <w:rFonts w:ascii="Arial" w:cs="Arial" w:eastAsia="Arial" w:hAnsi="Arial"/>
                <w:sz w:val="14"/>
                <w:szCs w:val="14"/>
                <w:b w:val="1"/>
                <w:bCs w:val="1"/>
                <w:color w:val="auto"/>
                <w:w w:val="95"/>
              </w:rPr>
              <w:t>Financial</w:t>
            </w:r>
          </w:p>
        </w:tc>
        <w:tc>
          <w:tcPr>
            <w:tcW w:w="100" w:type="dxa"/>
            <w:vAlign w:val="bottom"/>
          </w:tcPr>
          <w:p>
            <w:pPr>
              <w:spacing w:after="0"/>
              <w:rPr>
                <w:sz w:val="11"/>
                <w:szCs w:val="11"/>
                <w:color w:val="auto"/>
              </w:rPr>
            </w:pPr>
          </w:p>
        </w:tc>
        <w:tc>
          <w:tcPr>
            <w:tcW w:w="128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rPr>
              <w:t>Other</w:t>
            </w: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8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5"/>
              </w:rPr>
              <w:t>Financial</w:t>
            </w:r>
          </w:p>
        </w:tc>
        <w:tc>
          <w:tcPr>
            <w:tcW w:w="0" w:type="dxa"/>
            <w:vAlign w:val="bottom"/>
          </w:tcPr>
          <w:p>
            <w:pPr>
              <w:spacing w:after="0"/>
              <w:rPr>
                <w:sz w:val="1"/>
                <w:szCs w:val="1"/>
                <w:color w:val="auto"/>
              </w:rPr>
            </w:pPr>
          </w:p>
        </w:tc>
      </w:tr>
      <w:tr>
        <w:trPr>
          <w:trHeight w:val="135"/>
        </w:trPr>
        <w:tc>
          <w:tcPr>
            <w:tcW w:w="43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00" w:type="dxa"/>
            <w:vAlign w:val="bottom"/>
            <w:gridSpan w:val="2"/>
          </w:tcPr>
          <w:p>
            <w:pPr>
              <w:jc w:val="center"/>
              <w:ind w:right="480"/>
              <w:spacing w:after="0" w:line="135" w:lineRule="exact"/>
              <w:rPr>
                <w:sz w:val="20"/>
                <w:szCs w:val="20"/>
                <w:color w:val="auto"/>
              </w:rPr>
            </w:pPr>
            <w:r>
              <w:rPr>
                <w:rFonts w:ascii="Arial" w:cs="Arial" w:eastAsia="Arial" w:hAnsi="Arial"/>
                <w:sz w:val="14"/>
                <w:szCs w:val="14"/>
                <w:b w:val="1"/>
                <w:bCs w:val="1"/>
                <w:color w:val="auto"/>
                <w:w w:val="94"/>
              </w:rPr>
              <w:t>Group, Inc.</w:t>
            </w:r>
          </w:p>
        </w:tc>
        <w:tc>
          <w:tcPr>
            <w:tcW w:w="120" w:type="dxa"/>
            <w:vAlign w:val="bottom"/>
          </w:tcPr>
          <w:p>
            <w:pPr>
              <w:spacing w:after="0"/>
              <w:rPr>
                <w:sz w:val="11"/>
                <w:szCs w:val="11"/>
                <w:color w:val="auto"/>
              </w:rPr>
            </w:pPr>
          </w:p>
        </w:tc>
        <w:tc>
          <w:tcPr>
            <w:tcW w:w="1280" w:type="dxa"/>
            <w:vAlign w:val="bottom"/>
            <w:gridSpan w:val="2"/>
          </w:tcPr>
          <w:p>
            <w:pPr>
              <w:jc w:val="center"/>
              <w:ind w:right="420"/>
              <w:spacing w:after="0" w:line="135" w:lineRule="exact"/>
              <w:rPr>
                <w:sz w:val="20"/>
                <w:szCs w:val="20"/>
                <w:color w:val="auto"/>
              </w:rPr>
            </w:pPr>
            <w:r>
              <w:rPr>
                <w:rFonts w:ascii="Arial" w:cs="Arial" w:eastAsia="Arial" w:hAnsi="Arial"/>
                <w:sz w:val="14"/>
                <w:szCs w:val="14"/>
                <w:b w:val="1"/>
                <w:bCs w:val="1"/>
                <w:color w:val="auto"/>
                <w:w w:val="91"/>
              </w:rPr>
              <w:t>Services, Inc.</w:t>
            </w:r>
          </w:p>
        </w:tc>
        <w:tc>
          <w:tcPr>
            <w:tcW w:w="100" w:type="dxa"/>
            <w:vAlign w:val="bottom"/>
          </w:tcPr>
          <w:p>
            <w:pPr>
              <w:spacing w:after="0"/>
              <w:rPr>
                <w:sz w:val="11"/>
                <w:szCs w:val="11"/>
                <w:color w:val="auto"/>
              </w:rPr>
            </w:pPr>
          </w:p>
        </w:tc>
        <w:tc>
          <w:tcPr>
            <w:tcW w:w="128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88"/>
              </w:rPr>
              <w:t>Subsidiaries</w:t>
            </w:r>
          </w:p>
        </w:tc>
        <w:tc>
          <w:tcPr>
            <w:tcW w:w="140" w:type="dxa"/>
            <w:vAlign w:val="bottom"/>
          </w:tcPr>
          <w:p>
            <w:pPr>
              <w:spacing w:after="0"/>
              <w:rPr>
                <w:sz w:val="11"/>
                <w:szCs w:val="11"/>
                <w:color w:val="auto"/>
              </w:rPr>
            </w:pPr>
          </w:p>
        </w:tc>
        <w:tc>
          <w:tcPr>
            <w:tcW w:w="1260" w:type="dxa"/>
            <w:vAlign w:val="bottom"/>
            <w:gridSpan w:val="2"/>
            <w:vMerge w:val="restart"/>
          </w:tcPr>
          <w:p>
            <w:pPr>
              <w:jc w:val="right"/>
              <w:ind w:right="440"/>
              <w:spacing w:after="0"/>
              <w:rPr>
                <w:sz w:val="20"/>
                <w:szCs w:val="20"/>
                <w:color w:val="auto"/>
              </w:rPr>
            </w:pPr>
            <w:r>
              <w:rPr>
                <w:rFonts w:ascii="Arial" w:cs="Arial" w:eastAsia="Arial" w:hAnsi="Arial"/>
                <w:sz w:val="14"/>
                <w:szCs w:val="14"/>
                <w:b w:val="1"/>
                <w:bCs w:val="1"/>
                <w:color w:val="auto"/>
                <w:w w:val="96"/>
              </w:rPr>
              <w:t>Eliminations</w:t>
            </w:r>
          </w:p>
        </w:tc>
        <w:tc>
          <w:tcPr>
            <w:tcW w:w="120" w:type="dxa"/>
            <w:vAlign w:val="bottom"/>
          </w:tcPr>
          <w:p>
            <w:pPr>
              <w:spacing w:after="0"/>
              <w:rPr>
                <w:sz w:val="11"/>
                <w:szCs w:val="11"/>
                <w:color w:val="auto"/>
              </w:rPr>
            </w:pPr>
          </w:p>
        </w:tc>
        <w:tc>
          <w:tcPr>
            <w:tcW w:w="108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7"/>
              </w:rPr>
              <w:t>Group, Inc.</w:t>
            </w:r>
          </w:p>
        </w:tc>
        <w:tc>
          <w:tcPr>
            <w:tcW w:w="0" w:type="dxa"/>
            <w:vAlign w:val="bottom"/>
          </w:tcPr>
          <w:p>
            <w:pPr>
              <w:spacing w:after="0"/>
              <w:rPr>
                <w:sz w:val="1"/>
                <w:szCs w:val="1"/>
                <w:color w:val="auto"/>
              </w:rPr>
            </w:pPr>
          </w:p>
        </w:tc>
      </w:tr>
      <w:tr>
        <w:trPr>
          <w:trHeight w:val="162"/>
        </w:trPr>
        <w:tc>
          <w:tcPr>
            <w:tcW w:w="43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0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4"/>
              </w:rPr>
              <w:t>Parent Only</w:t>
            </w:r>
          </w:p>
        </w:tc>
        <w:tc>
          <w:tcPr>
            <w:tcW w:w="120" w:type="dxa"/>
            <w:vAlign w:val="bottom"/>
          </w:tcPr>
          <w:p>
            <w:pPr>
              <w:spacing w:after="0"/>
              <w:rPr>
                <w:sz w:val="14"/>
                <w:szCs w:val="14"/>
                <w:color w:val="auto"/>
              </w:rPr>
            </w:pPr>
          </w:p>
        </w:tc>
        <w:tc>
          <w:tcPr>
            <w:tcW w:w="128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6"/>
              </w:rPr>
              <w:t>Only</w:t>
            </w:r>
          </w:p>
        </w:tc>
        <w:tc>
          <w:tcPr>
            <w:tcW w:w="100" w:type="dxa"/>
            <w:vAlign w:val="bottom"/>
          </w:tcPr>
          <w:p>
            <w:pPr>
              <w:spacing w:after="0"/>
              <w:rPr>
                <w:sz w:val="14"/>
                <w:szCs w:val="14"/>
                <w:color w:val="auto"/>
              </w:rPr>
            </w:pPr>
          </w:p>
        </w:tc>
        <w:tc>
          <w:tcPr>
            <w:tcW w:w="128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3"/>
              </w:rPr>
              <w:t>Combined</w:t>
            </w:r>
          </w:p>
        </w:tc>
        <w:tc>
          <w:tcPr>
            <w:tcW w:w="140" w:type="dxa"/>
            <w:vAlign w:val="bottom"/>
          </w:tcPr>
          <w:p>
            <w:pPr>
              <w:spacing w:after="0"/>
              <w:rPr>
                <w:sz w:val="14"/>
                <w:szCs w:val="14"/>
                <w:color w:val="auto"/>
              </w:rPr>
            </w:pPr>
          </w:p>
        </w:tc>
        <w:tc>
          <w:tcPr>
            <w:tcW w:w="126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29"/>
        </w:trPr>
        <w:tc>
          <w:tcPr>
            <w:tcW w:w="43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80" w:type="dxa"/>
            <w:vAlign w:val="bottom"/>
            <w:tcBorders>
              <w:top w:val="single" w:sz="8" w:color="auto"/>
            </w:tcBorders>
            <w:gridSpan w:val="2"/>
          </w:tcPr>
          <w:p>
            <w:pPr>
              <w:jc w:val="center"/>
              <w:ind w:right="420"/>
              <w:spacing w:after="0" w:line="129" w:lineRule="exact"/>
              <w:rPr>
                <w:sz w:val="20"/>
                <w:szCs w:val="20"/>
                <w:color w:val="auto"/>
              </w:rPr>
            </w:pPr>
            <w:r>
              <w:rPr>
                <w:rFonts w:ascii="Arial" w:cs="Arial" w:eastAsia="Arial" w:hAnsi="Arial"/>
                <w:sz w:val="14"/>
                <w:szCs w:val="14"/>
                <w:b w:val="1"/>
                <w:bCs w:val="1"/>
                <w:color w:val="auto"/>
                <w:w w:val="94"/>
              </w:rPr>
              <w:t>(in millions)</w:t>
            </w:r>
          </w:p>
        </w:tc>
        <w:tc>
          <w:tcPr>
            <w:tcW w:w="14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3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60" w:type="dxa"/>
            <w:vAlign w:val="bottom"/>
          </w:tcPr>
          <w:p>
            <w:pPr>
              <w:spacing w:after="0"/>
              <w:rPr>
                <w:sz w:val="20"/>
                <w:szCs w:val="20"/>
                <w:color w:val="auto"/>
              </w:rPr>
            </w:pPr>
            <w:r>
              <w:rPr>
                <w:rFonts w:ascii="Arial" w:cs="Arial" w:eastAsia="Arial" w:hAnsi="Arial"/>
                <w:sz w:val="18"/>
                <w:szCs w:val="18"/>
                <w:color w:val="auto"/>
              </w:rPr>
              <w:t>Net cash provided by (used in) operating activities</w:t>
            </w:r>
          </w:p>
        </w:tc>
        <w:tc>
          <w:tcPr>
            <w:tcW w:w="3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240"/>
              <w:spacing w:after="0"/>
              <w:rPr>
                <w:sz w:val="20"/>
                <w:szCs w:val="20"/>
                <w:color w:val="auto"/>
              </w:rPr>
            </w:pPr>
            <w:r>
              <w:rPr>
                <w:rFonts w:ascii="Arial" w:cs="Arial" w:eastAsia="Arial" w:hAnsi="Arial"/>
                <w:sz w:val="18"/>
                <w:szCs w:val="18"/>
                <w:color w:val="auto"/>
              </w:rPr>
              <w:t>(2.6)</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53.4</w:t>
            </w:r>
          </w:p>
        </w:tc>
        <w:tc>
          <w:tcPr>
            <w:tcW w:w="2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813.7</w:t>
            </w:r>
          </w:p>
        </w:tc>
        <w:tc>
          <w:tcPr>
            <w:tcW w:w="2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(58.1)</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806.4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60" w:type="dxa"/>
            <w:vAlign w:val="bottom"/>
          </w:tcPr>
          <w:p>
            <w:pPr>
              <w:spacing w:after="0"/>
              <w:rPr>
                <w:sz w:val="20"/>
                <w:szCs w:val="20"/>
                <w:color w:val="auto"/>
              </w:rPr>
            </w:pPr>
            <w:r>
              <w:rPr>
                <w:rFonts w:ascii="Arial" w:cs="Arial" w:eastAsia="Arial" w:hAnsi="Arial"/>
                <w:sz w:val="18"/>
                <w:szCs w:val="18"/>
                <w:color w:val="auto"/>
              </w:rPr>
              <w:t>Available-for-sale securities:</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Purchases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139.2</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(4,892.7)</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(4,753.5)</w:t>
            </w:r>
          </w:p>
        </w:tc>
        <w:tc>
          <w:tcPr>
            <w:tcW w:w="0" w:type="dxa"/>
            <w:vAlign w:val="bottom"/>
          </w:tcPr>
          <w:p>
            <w:pPr>
              <w:spacing w:after="0"/>
              <w:rPr>
                <w:sz w:val="1"/>
                <w:szCs w:val="1"/>
                <w:color w:val="auto"/>
              </w:rPr>
            </w:pPr>
          </w:p>
        </w:tc>
      </w:tr>
      <w:tr>
        <w:trPr>
          <w:trHeight w:val="216"/>
        </w:trPr>
        <w:tc>
          <w:tcPr>
            <w:tcW w:w="4360" w:type="dxa"/>
            <w:vAlign w:val="bottom"/>
          </w:tcPr>
          <w:p>
            <w:pPr>
              <w:ind w:left="180"/>
              <w:spacing w:after="0"/>
              <w:rPr>
                <w:sz w:val="20"/>
                <w:szCs w:val="20"/>
                <w:color w:val="auto"/>
              </w:rPr>
            </w:pPr>
            <w:r>
              <w:rPr>
                <w:rFonts w:ascii="Arial" w:cs="Arial" w:eastAsia="Arial" w:hAnsi="Arial"/>
                <w:sz w:val="18"/>
                <w:szCs w:val="18"/>
                <w:color w:val="auto"/>
              </w:rPr>
              <w:t>Sales</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(141.2)</w:t>
            </w: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1,101.3</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960.1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Maturities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3,046.6</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3,046.6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60" w:type="dxa"/>
            <w:vAlign w:val="bottom"/>
          </w:tcPr>
          <w:p>
            <w:pPr>
              <w:spacing w:after="0"/>
              <w:rPr>
                <w:sz w:val="20"/>
                <w:szCs w:val="20"/>
                <w:color w:val="auto"/>
              </w:rPr>
            </w:pPr>
            <w:r>
              <w:rPr>
                <w:rFonts w:ascii="Arial" w:cs="Arial" w:eastAsia="Arial" w:hAnsi="Arial"/>
                <w:sz w:val="18"/>
                <w:szCs w:val="18"/>
                <w:color w:val="auto"/>
              </w:rPr>
              <w:t>Mortgage loans acquired or originated</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(1,272.9)</w:t>
            </w:r>
          </w:p>
        </w:tc>
        <w:tc>
          <w:tcPr>
            <w:tcW w:w="14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(1,272.9)</w:t>
            </w:r>
          </w:p>
        </w:tc>
        <w:tc>
          <w:tcPr>
            <w:tcW w:w="0" w:type="dxa"/>
            <w:vAlign w:val="bottom"/>
          </w:tcPr>
          <w:p>
            <w:pPr>
              <w:spacing w:after="0"/>
              <w:rPr>
                <w:sz w:val="1"/>
                <w:szCs w:val="1"/>
                <w:color w:val="auto"/>
              </w:rPr>
            </w:pPr>
          </w:p>
        </w:tc>
      </w:tr>
      <w:tr>
        <w:trPr>
          <w:trHeight w:val="216"/>
        </w:trPr>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rPr>
              <w:t>Mortgage loans sold or repaid</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1,264.4</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1,264.4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60" w:type="dxa"/>
            <w:vAlign w:val="bottom"/>
          </w:tcPr>
          <w:p>
            <w:pPr>
              <w:spacing w:after="0"/>
              <w:rPr>
                <w:sz w:val="20"/>
                <w:szCs w:val="20"/>
                <w:color w:val="auto"/>
              </w:rPr>
            </w:pPr>
            <w:r>
              <w:rPr>
                <w:rFonts w:ascii="Arial" w:cs="Arial" w:eastAsia="Arial" w:hAnsi="Arial"/>
                <w:sz w:val="18"/>
                <w:szCs w:val="18"/>
                <w:color w:val="auto"/>
              </w:rPr>
              <w:t>Real estate acquired</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(161.0)</w:t>
            </w:r>
          </w:p>
        </w:tc>
        <w:tc>
          <w:tcPr>
            <w:tcW w:w="14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(161.0)</w:t>
            </w:r>
          </w:p>
        </w:tc>
        <w:tc>
          <w:tcPr>
            <w:tcW w:w="0" w:type="dxa"/>
            <w:vAlign w:val="bottom"/>
          </w:tcPr>
          <w:p>
            <w:pPr>
              <w:spacing w:after="0"/>
              <w:rPr>
                <w:sz w:val="1"/>
                <w:szCs w:val="1"/>
                <w:color w:val="auto"/>
              </w:rPr>
            </w:pPr>
          </w:p>
        </w:tc>
      </w:tr>
      <w:tr>
        <w:trPr>
          <w:trHeight w:val="216"/>
        </w:trPr>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rPr>
              <w:t>Real estate sold</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267.2</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60" w:type="dxa"/>
            <w:vAlign w:val="bottom"/>
          </w:tcPr>
          <w:p>
            <w:pPr>
              <w:spacing w:after="0"/>
              <w:rPr>
                <w:sz w:val="20"/>
                <w:szCs w:val="20"/>
                <w:color w:val="auto"/>
              </w:rPr>
            </w:pPr>
            <w:r>
              <w:rPr>
                <w:rFonts w:ascii="Arial" w:cs="Arial" w:eastAsia="Arial" w:hAnsi="Arial"/>
                <w:sz w:val="18"/>
                <w:szCs w:val="18"/>
                <w:color w:val="auto"/>
              </w:rPr>
              <w:t>Net purchases of property and equipment</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(18.1)</w:t>
            </w:r>
          </w:p>
        </w:tc>
        <w:tc>
          <w:tcPr>
            <w:tcW w:w="14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(18.1)</w:t>
            </w:r>
          </w:p>
        </w:tc>
        <w:tc>
          <w:tcPr>
            <w:tcW w:w="0" w:type="dxa"/>
            <w:vAlign w:val="bottom"/>
          </w:tcPr>
          <w:p>
            <w:pPr>
              <w:spacing w:after="0"/>
              <w:rPr>
                <w:sz w:val="1"/>
                <w:szCs w:val="1"/>
                <w:color w:val="auto"/>
              </w:rPr>
            </w:pPr>
          </w:p>
        </w:tc>
      </w:tr>
      <w:tr>
        <w:trPr>
          <w:trHeight w:val="216"/>
        </w:trPr>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w w:val="94"/>
              </w:rPr>
              <w:t>Purchases of interest in subsidiaries, net of cash acquired</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(54.4)</w:t>
            </w:r>
          </w:p>
        </w:tc>
        <w:tc>
          <w:tcPr>
            <w:tcW w:w="1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(54.4)</w:t>
            </w:r>
          </w:p>
        </w:tc>
        <w:tc>
          <w:tcPr>
            <w:tcW w:w="0" w:type="dxa"/>
            <w:vAlign w:val="bottom"/>
          </w:tcPr>
          <w:p>
            <w:pPr>
              <w:spacing w:after="0"/>
              <w:rPr>
                <w:sz w:val="1"/>
                <w:szCs w:val="1"/>
                <w:color w:val="auto"/>
              </w:rPr>
            </w:pPr>
          </w:p>
        </w:tc>
      </w:tr>
      <w:tr>
        <w:trPr>
          <w:trHeight w:val="216"/>
        </w:trPr>
        <w:tc>
          <w:tcPr>
            <w:tcW w:w="4360" w:type="dxa"/>
            <w:vAlign w:val="bottom"/>
          </w:tcPr>
          <w:p>
            <w:pPr>
              <w:spacing w:after="0"/>
              <w:rPr>
                <w:sz w:val="20"/>
                <w:szCs w:val="20"/>
                <w:color w:val="auto"/>
              </w:rPr>
            </w:pPr>
            <w:r>
              <w:rPr>
                <w:rFonts w:ascii="Arial" w:cs="Arial" w:eastAsia="Arial" w:hAnsi="Arial"/>
                <w:sz w:val="18"/>
                <w:szCs w:val="18"/>
                <w:color w:val="auto"/>
              </w:rPr>
              <w:t>Dividends received from unconsolidated entities</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251.1</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19.9</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4.1</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(275.1)</w:t>
            </w:r>
          </w:p>
        </w:tc>
        <w:tc>
          <w:tcPr>
            <w:tcW w:w="12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rPr>
              <w:t>Net change in other investments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(52.2)</w:t>
            </w: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(41.2)</w:t>
            </w:r>
          </w:p>
        </w:tc>
        <w:tc>
          <w:tcPr>
            <w:tcW w:w="0" w:type="dxa"/>
            <w:vAlign w:val="bottom"/>
          </w:tcPr>
          <w:p>
            <w:pPr>
              <w:spacing w:after="0"/>
              <w:rPr>
                <w:sz w:val="1"/>
                <w:szCs w:val="1"/>
                <w:color w:val="auto"/>
              </w:rPr>
            </w:pPr>
          </w:p>
        </w:tc>
      </w:tr>
      <w:tr>
        <w:trPr>
          <w:trHeight w:val="20"/>
        </w:trPr>
        <w:tc>
          <w:tcPr>
            <w:tcW w:w="4360" w:type="dxa"/>
            <w:vAlign w:val="bottom"/>
            <w:vMerge w:val="restart"/>
          </w:tcPr>
          <w:p>
            <w:pPr>
              <w:spacing w:after="0"/>
              <w:rPr>
                <w:sz w:val="20"/>
                <w:szCs w:val="20"/>
                <w:color w:val="auto"/>
              </w:rPr>
            </w:pPr>
            <w:r>
              <w:rPr>
                <w:rFonts w:ascii="Arial" w:cs="Arial" w:eastAsia="Arial" w:hAnsi="Arial"/>
                <w:sz w:val="18"/>
                <w:szCs w:val="18"/>
                <w:color w:val="auto"/>
              </w:rPr>
              <w:t>Net cash provided by (used in) investing activities</w:t>
            </w:r>
          </w:p>
        </w:tc>
        <w:tc>
          <w:tcPr>
            <w:tcW w:w="2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8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36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251.1</w:t>
            </w:r>
          </w:p>
        </w:tc>
        <w:tc>
          <w:tcPr>
            <w:tcW w:w="3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27.4</w:t>
            </w:r>
          </w:p>
        </w:tc>
        <w:tc>
          <w:tcPr>
            <w:tcW w:w="28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(767.7)</w:t>
            </w:r>
          </w:p>
        </w:tc>
        <w:tc>
          <w:tcPr>
            <w:tcW w:w="14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(273.6)</w:t>
            </w:r>
          </w:p>
        </w:tc>
        <w:tc>
          <w:tcPr>
            <w:tcW w:w="12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(762.8)</w:t>
            </w:r>
          </w:p>
        </w:tc>
        <w:tc>
          <w:tcPr>
            <w:tcW w:w="0" w:type="dxa"/>
            <w:vAlign w:val="bottom"/>
          </w:tcPr>
          <w:p>
            <w:pPr>
              <w:spacing w:after="0"/>
              <w:rPr>
                <w:sz w:val="1"/>
                <w:szCs w:val="1"/>
                <w:color w:val="auto"/>
              </w:rPr>
            </w:pPr>
          </w:p>
        </w:tc>
      </w:tr>
      <w:tr>
        <w:trPr>
          <w:trHeight w:val="216"/>
        </w:trPr>
        <w:tc>
          <w:tcPr>
            <w:tcW w:w="43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Financing activities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60" w:type="dxa"/>
            <w:vAlign w:val="bottom"/>
          </w:tcPr>
          <w:p>
            <w:pPr>
              <w:spacing w:after="0"/>
              <w:rPr>
                <w:sz w:val="20"/>
                <w:szCs w:val="20"/>
                <w:color w:val="auto"/>
              </w:rPr>
            </w:pPr>
            <w:r>
              <w:rPr>
                <w:rFonts w:ascii="Arial" w:cs="Arial" w:eastAsia="Arial" w:hAnsi="Arial"/>
                <w:sz w:val="18"/>
                <w:szCs w:val="18"/>
                <w:color w:val="auto"/>
              </w:rPr>
              <w:t>Issuance of common stock</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25.8</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25.8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rPr>
              <w:t>Issuance of preferred stock</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542.0</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542.0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360" w:type="dxa"/>
            <w:vAlign w:val="bottom"/>
          </w:tcPr>
          <w:p>
            <w:pPr>
              <w:spacing w:after="0"/>
              <w:rPr>
                <w:sz w:val="20"/>
                <w:szCs w:val="20"/>
                <w:color w:val="auto"/>
              </w:rPr>
            </w:pPr>
            <w:r>
              <w:rPr>
                <w:rFonts w:ascii="Arial" w:cs="Arial" w:eastAsia="Arial" w:hAnsi="Arial"/>
                <w:sz w:val="18"/>
                <w:szCs w:val="18"/>
                <w:color w:val="auto"/>
              </w:rPr>
              <w:t>Acquisition and sales of treasury stock, net</w:t>
            </w: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8"/>
                <w:szCs w:val="18"/>
                <w:color w:val="auto"/>
              </w:rPr>
              <w:t>(868.4)</w:t>
            </w:r>
          </w:p>
        </w:tc>
        <w:tc>
          <w:tcPr>
            <w:tcW w:w="120" w:type="dxa"/>
            <w:vAlign w:val="bottom"/>
          </w:tcPr>
          <w:p>
            <w:pPr>
              <w:spacing w:after="0"/>
              <w:rPr>
                <w:sz w:val="20"/>
                <w:szCs w:val="20"/>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(868.4)</w:t>
            </w:r>
          </w:p>
        </w:tc>
        <w:tc>
          <w:tcPr>
            <w:tcW w:w="0" w:type="dxa"/>
            <w:vAlign w:val="bottom"/>
          </w:tcPr>
          <w:p>
            <w:pPr>
              <w:spacing w:after="0"/>
              <w:rPr>
                <w:sz w:val="1"/>
                <w:szCs w:val="1"/>
                <w:color w:val="auto"/>
              </w:rPr>
            </w:pPr>
          </w:p>
        </w:tc>
      </w:tr>
    </w:tbl>
    <w:p>
      <w:pPr>
        <w:sectPr>
          <w:pgSz w:w="11900" w:h="16838" w:orient="portrait"/>
          <w:cols w:equalWidth="0" w:num="1">
            <w:col w:w="11460"/>
          </w:cols>
          <w:pgMar w:left="240" w:top="121" w:right="199" w:bottom="0" w:gutter="0" w:footer="0" w:header="0"/>
        </w:sectPr>
      </w:pPr>
    </w:p>
    <w:bookmarkStart w:id="26" w:name="page27"/>
    <w:bookmarkEnd w:id="2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Proceeds from financing element derivatives</w:t>
            </w:r>
          </w:p>
        </w:tc>
        <w:tc>
          <w:tcPr>
            <w:tcW w:w="3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83.0</w:t>
            </w:r>
          </w:p>
        </w:tc>
        <w:tc>
          <w:tcPr>
            <w:tcW w:w="2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83.0</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4600" w:type="dxa"/>
            <w:vAlign w:val="bottom"/>
          </w:tcPr>
          <w:p>
            <w:pPr>
              <w:spacing w:after="0"/>
              <w:rPr>
                <w:sz w:val="20"/>
                <w:szCs w:val="20"/>
                <w:color w:val="auto"/>
              </w:rPr>
            </w:pPr>
            <w:r>
              <w:rPr>
                <w:rFonts w:ascii="Arial" w:cs="Arial" w:eastAsia="Arial" w:hAnsi="Arial"/>
                <w:sz w:val="18"/>
                <w:szCs w:val="18"/>
                <w:color w:val="auto"/>
              </w:rPr>
              <w:t>Payments for financing element derivatives</w:t>
            </w:r>
          </w:p>
        </w:tc>
        <w:tc>
          <w:tcPr>
            <w:tcW w:w="380" w:type="dxa"/>
            <w:vAlign w:val="bottom"/>
          </w:tcPr>
          <w:p>
            <w:pPr>
              <w:spacing w:after="0"/>
              <w:rPr>
                <w:sz w:val="18"/>
                <w:szCs w:val="18"/>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10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8"/>
                <w:szCs w:val="18"/>
                <w:color w:val="auto"/>
              </w:rPr>
              <w:t>(55.6)</w:t>
            </w:r>
          </w:p>
        </w:tc>
        <w:tc>
          <w:tcPr>
            <w:tcW w:w="400" w:type="dxa"/>
            <w:vAlign w:val="bottom"/>
          </w:tcPr>
          <w:p>
            <w:pPr>
              <w:spacing w:after="0"/>
              <w:rPr>
                <w:sz w:val="18"/>
                <w:szCs w:val="18"/>
                <w:color w:val="auto"/>
              </w:rPr>
            </w:pPr>
          </w:p>
        </w:tc>
        <w:tc>
          <w:tcPr>
            <w:tcW w:w="10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(55.6)</w:t>
            </w:r>
          </w:p>
        </w:tc>
        <w:tc>
          <w:tcPr>
            <w:tcW w:w="40" w:type="dxa"/>
            <w:vAlign w:val="bottom"/>
          </w:tcPr>
          <w:p>
            <w:pPr>
              <w:spacing w:after="0"/>
              <w:rPr>
                <w:sz w:val="18"/>
                <w:szCs w:val="18"/>
                <w:color w:val="auto"/>
              </w:rPr>
            </w:pPr>
          </w:p>
        </w:tc>
      </w:tr>
      <w:tr>
        <w:trPr>
          <w:trHeight w:val="216"/>
        </w:trPr>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Issuance of long-term debt</w:t>
            </w:r>
          </w:p>
        </w:tc>
        <w:tc>
          <w:tcPr>
            <w:tcW w:w="3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w:t>
            </w:r>
          </w:p>
        </w:tc>
        <w:tc>
          <w:tcPr>
            <w:tcW w:w="2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4600" w:type="dxa"/>
            <w:vAlign w:val="bottom"/>
          </w:tcPr>
          <w:p>
            <w:pPr>
              <w:spacing w:after="0"/>
              <w:rPr>
                <w:sz w:val="20"/>
                <w:szCs w:val="20"/>
                <w:color w:val="auto"/>
              </w:rPr>
            </w:pPr>
            <w:r>
              <w:rPr>
                <w:rFonts w:ascii="Arial" w:cs="Arial" w:eastAsia="Arial" w:hAnsi="Arial"/>
                <w:sz w:val="18"/>
                <w:szCs w:val="18"/>
                <w:color w:val="auto"/>
              </w:rPr>
              <w:t>Principal repayments of long-term debt</w:t>
            </w:r>
          </w:p>
        </w:tc>
        <w:tc>
          <w:tcPr>
            <w:tcW w:w="380" w:type="dxa"/>
            <w:vAlign w:val="bottom"/>
          </w:tcPr>
          <w:p>
            <w:pPr>
              <w:spacing w:after="0"/>
              <w:rPr>
                <w:sz w:val="18"/>
                <w:szCs w:val="18"/>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10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8"/>
                <w:szCs w:val="18"/>
                <w:color w:val="auto"/>
              </w:rPr>
              <w:t>(11.5)</w:t>
            </w:r>
          </w:p>
        </w:tc>
        <w:tc>
          <w:tcPr>
            <w:tcW w:w="400" w:type="dxa"/>
            <w:vAlign w:val="bottom"/>
          </w:tcPr>
          <w:p>
            <w:pPr>
              <w:spacing w:after="0"/>
              <w:rPr>
                <w:sz w:val="18"/>
                <w:szCs w:val="18"/>
                <w:color w:val="auto"/>
              </w:rPr>
            </w:pPr>
          </w:p>
        </w:tc>
        <w:tc>
          <w:tcPr>
            <w:tcW w:w="10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(11.5)</w:t>
            </w:r>
          </w:p>
        </w:tc>
        <w:tc>
          <w:tcPr>
            <w:tcW w:w="40" w:type="dxa"/>
            <w:vAlign w:val="bottom"/>
          </w:tcPr>
          <w:p>
            <w:pPr>
              <w:spacing w:after="0"/>
              <w:rPr>
                <w:sz w:val="18"/>
                <w:szCs w:val="18"/>
                <w:color w:val="auto"/>
              </w:rPr>
            </w:pPr>
          </w:p>
        </w:tc>
      </w:tr>
      <w:tr>
        <w:trPr>
          <w:trHeight w:val="216"/>
        </w:trPr>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Net proceeds of short-term borrowings</w:t>
            </w:r>
          </w:p>
        </w:tc>
        <w:tc>
          <w:tcPr>
            <w:tcW w:w="3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w:t>
            </w: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2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(31.1)</w:t>
            </w: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172.4</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4600" w:type="dxa"/>
            <w:vAlign w:val="bottom"/>
          </w:tcPr>
          <w:p>
            <w:pPr>
              <w:spacing w:after="0"/>
              <w:rPr>
                <w:sz w:val="20"/>
                <w:szCs w:val="20"/>
                <w:color w:val="auto"/>
              </w:rPr>
            </w:pPr>
            <w:r>
              <w:rPr>
                <w:rFonts w:ascii="Arial" w:cs="Arial" w:eastAsia="Arial" w:hAnsi="Arial"/>
                <w:sz w:val="18"/>
                <w:szCs w:val="18"/>
                <w:color w:val="auto"/>
              </w:rPr>
              <w:t>Dividends paid to parent</w:t>
            </w:r>
          </w:p>
        </w:tc>
        <w:tc>
          <w:tcPr>
            <w:tcW w:w="380" w:type="dxa"/>
            <w:vAlign w:val="bottom"/>
          </w:tcPr>
          <w:p>
            <w:pPr>
              <w:spacing w:after="0"/>
              <w:rPr>
                <w:sz w:val="18"/>
                <w:szCs w:val="18"/>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(251.2)</w:t>
            </w:r>
          </w:p>
        </w:tc>
        <w:tc>
          <w:tcPr>
            <w:tcW w:w="300" w:type="dxa"/>
            <w:vAlign w:val="bottom"/>
          </w:tcPr>
          <w:p>
            <w:pPr>
              <w:spacing w:after="0"/>
              <w:rPr>
                <w:sz w:val="18"/>
                <w:szCs w:val="18"/>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8"/>
                <w:szCs w:val="18"/>
                <w:color w:val="auto"/>
              </w:rPr>
              <w:t>(23.9)</w:t>
            </w:r>
          </w:p>
        </w:tc>
        <w:tc>
          <w:tcPr>
            <w:tcW w:w="4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275.1</w:t>
            </w: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r>
      <w:tr>
        <w:trPr>
          <w:trHeight w:val="216"/>
        </w:trPr>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Investment contract deposits</w:t>
            </w:r>
          </w:p>
        </w:tc>
        <w:tc>
          <w:tcPr>
            <w:tcW w:w="3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4,072.6</w:t>
            </w:r>
          </w:p>
        </w:tc>
        <w:tc>
          <w:tcPr>
            <w:tcW w:w="2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4,072.6</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4600" w:type="dxa"/>
            <w:vAlign w:val="bottom"/>
          </w:tcPr>
          <w:p>
            <w:pPr>
              <w:spacing w:after="0"/>
              <w:rPr>
                <w:sz w:val="20"/>
                <w:szCs w:val="20"/>
                <w:color w:val="auto"/>
              </w:rPr>
            </w:pPr>
            <w:r>
              <w:rPr>
                <w:rFonts w:ascii="Arial" w:cs="Arial" w:eastAsia="Arial" w:hAnsi="Arial"/>
                <w:sz w:val="18"/>
                <w:szCs w:val="18"/>
                <w:color w:val="auto"/>
              </w:rPr>
              <w:t>Investment contract withdrawals</w:t>
            </w:r>
          </w:p>
        </w:tc>
        <w:tc>
          <w:tcPr>
            <w:tcW w:w="380" w:type="dxa"/>
            <w:vAlign w:val="bottom"/>
          </w:tcPr>
          <w:p>
            <w:pPr>
              <w:spacing w:after="0"/>
              <w:rPr>
                <w:sz w:val="18"/>
                <w:szCs w:val="18"/>
                <w:color w:val="auto"/>
              </w:rPr>
            </w:pPr>
          </w:p>
        </w:tc>
        <w:tc>
          <w:tcPr>
            <w:tcW w:w="10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10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8"/>
                <w:szCs w:val="18"/>
                <w:color w:val="auto"/>
              </w:rPr>
              <w:t>(3,319.5)</w:t>
            </w:r>
          </w:p>
        </w:tc>
        <w:tc>
          <w:tcPr>
            <w:tcW w:w="400" w:type="dxa"/>
            <w:vAlign w:val="bottom"/>
          </w:tcPr>
          <w:p>
            <w:pPr>
              <w:spacing w:after="0"/>
              <w:rPr>
                <w:sz w:val="18"/>
                <w:szCs w:val="18"/>
                <w:color w:val="auto"/>
              </w:rPr>
            </w:pPr>
          </w:p>
        </w:tc>
        <w:tc>
          <w:tcPr>
            <w:tcW w:w="10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(3,319.5)</w:t>
            </w:r>
          </w:p>
        </w:tc>
        <w:tc>
          <w:tcPr>
            <w:tcW w:w="40" w:type="dxa"/>
            <w:vAlign w:val="bottom"/>
          </w:tcPr>
          <w:p>
            <w:pPr>
              <w:spacing w:after="0"/>
              <w:rPr>
                <w:sz w:val="18"/>
                <w:szCs w:val="18"/>
                <w:color w:val="auto"/>
              </w:rPr>
            </w:pPr>
          </w:p>
        </w:tc>
      </w:tr>
      <w:tr>
        <w:trPr>
          <w:trHeight w:val="216"/>
        </w:trPr>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Net increase in banking operation deposits</w:t>
            </w:r>
          </w:p>
        </w:tc>
        <w:tc>
          <w:tcPr>
            <w:tcW w:w="38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22.7</w:t>
            </w:r>
          </w:p>
        </w:tc>
        <w:tc>
          <w:tcPr>
            <w:tcW w:w="26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22.7</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24"/>
        </w:trPr>
        <w:tc>
          <w:tcPr>
            <w:tcW w:w="4600" w:type="dxa"/>
            <w:vAlign w:val="bottom"/>
          </w:tcPr>
          <w:p>
            <w:pPr>
              <w:spacing w:after="0"/>
              <w:rPr>
                <w:sz w:val="20"/>
                <w:szCs w:val="20"/>
                <w:color w:val="auto"/>
              </w:rPr>
            </w:pPr>
            <w:r>
              <w:rPr>
                <w:rFonts w:ascii="Arial" w:cs="Arial" w:eastAsia="Arial" w:hAnsi="Arial"/>
                <w:sz w:val="18"/>
                <w:szCs w:val="18"/>
                <w:color w:val="auto"/>
              </w:rPr>
              <w:t>Net cash provided by (used in) financing activities</w:t>
            </w:r>
          </w:p>
        </w:tc>
        <w:tc>
          <w:tcPr>
            <w:tcW w:w="380" w:type="dxa"/>
            <w:vAlign w:val="bottom"/>
          </w:tcPr>
          <w:p>
            <w:pPr>
              <w:jc w:val="right"/>
              <w:ind w:right="225"/>
              <w:spacing w:after="0"/>
              <w:rPr>
                <w:sz w:val="20"/>
                <w:szCs w:val="20"/>
                <w:color w:val="auto"/>
              </w:rPr>
            </w:pPr>
            <w:r>
              <w:rPr>
                <w:rFonts w:ascii="Arial" w:cs="Arial" w:eastAsia="Arial" w:hAnsi="Arial"/>
                <w:sz w:val="15"/>
                <w:szCs w:val="15"/>
                <w:color w:val="auto"/>
                <w:w w:val="71"/>
              </w:rPr>
              <w:t>$</w:t>
            </w: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(300.6)</w:t>
            </w:r>
          </w:p>
        </w:tc>
        <w:tc>
          <w:tcPr>
            <w:tcW w:w="360" w:type="dxa"/>
            <w:vAlign w:val="bottom"/>
          </w:tcPr>
          <w:p>
            <w:pPr>
              <w:jc w:val="right"/>
              <w:ind w:right="205"/>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(51.2)</w:t>
            </w: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783.5</w:t>
            </w:r>
          </w:p>
        </w:tc>
        <w:tc>
          <w:tcPr>
            <w:tcW w:w="260" w:type="dxa"/>
            <w:vAlign w:val="bottom"/>
          </w:tcPr>
          <w:p>
            <w:pPr>
              <w:spacing w:after="0"/>
              <w:rPr>
                <w:sz w:val="19"/>
                <w:szCs w:val="19"/>
                <w:color w:val="auto"/>
              </w:rPr>
            </w:pPr>
          </w:p>
        </w:tc>
        <w:tc>
          <w:tcPr>
            <w:tcW w:w="400" w:type="dxa"/>
            <w:vAlign w:val="bottom"/>
          </w:tcPr>
          <w:p>
            <w:pPr>
              <w:jc w:val="right"/>
              <w:ind w:right="210"/>
              <w:spacing w:after="0"/>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244.0</w:t>
            </w:r>
          </w:p>
        </w:tc>
        <w:tc>
          <w:tcPr>
            <w:tcW w:w="280" w:type="dxa"/>
            <w:vAlign w:val="bottom"/>
          </w:tcPr>
          <w:p>
            <w:pPr>
              <w:spacing w:after="0"/>
              <w:rPr>
                <w:sz w:val="19"/>
                <w:szCs w:val="19"/>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675.7</w:t>
            </w: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850"/>
        </w:trPr>
        <w:tc>
          <w:tcPr>
            <w:tcW w:w="46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39</w:t>
            </w:r>
          </w:p>
        </w:tc>
        <w:tc>
          <w:tcPr>
            <w:tcW w:w="3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75"/>
        </w:trPr>
        <w:tc>
          <w:tcPr>
            <w:tcW w:w="4600" w:type="dxa"/>
            <w:vAlign w:val="bottom"/>
            <w:tcBorders>
              <w:bottom w:val="single" w:sz="8" w:color="010101"/>
            </w:tcBorders>
          </w:tcPr>
          <w:p>
            <w:pPr>
              <w:spacing w:after="0"/>
              <w:rPr>
                <w:sz w:val="24"/>
                <w:szCs w:val="24"/>
                <w:color w:val="auto"/>
              </w:rPr>
            </w:pPr>
          </w:p>
        </w:tc>
        <w:tc>
          <w:tcPr>
            <w:tcW w:w="380" w:type="dxa"/>
            <w:vAlign w:val="bottom"/>
            <w:tcBorders>
              <w:bottom w:val="single" w:sz="8" w:color="010101"/>
            </w:tcBorders>
          </w:tcPr>
          <w:p>
            <w:pPr>
              <w:spacing w:after="0"/>
              <w:rPr>
                <w:sz w:val="24"/>
                <w:szCs w:val="24"/>
                <w:color w:val="auto"/>
              </w:rPr>
            </w:pPr>
          </w:p>
        </w:tc>
        <w:tc>
          <w:tcPr>
            <w:tcW w:w="760" w:type="dxa"/>
            <w:vAlign w:val="bottom"/>
            <w:tcBorders>
              <w:bottom w:val="single" w:sz="8" w:color="010101"/>
            </w:tcBorders>
          </w:tcPr>
          <w:p>
            <w:pPr>
              <w:spacing w:after="0"/>
              <w:rPr>
                <w:sz w:val="24"/>
                <w:szCs w:val="24"/>
                <w:color w:val="auto"/>
              </w:rPr>
            </w:pPr>
          </w:p>
        </w:tc>
        <w:tc>
          <w:tcPr>
            <w:tcW w:w="300" w:type="dxa"/>
            <w:vAlign w:val="bottom"/>
            <w:tcBorders>
              <w:bottom w:val="single" w:sz="8" w:color="010101"/>
            </w:tcBorders>
          </w:tcPr>
          <w:p>
            <w:pPr>
              <w:spacing w:after="0"/>
              <w:rPr>
                <w:sz w:val="24"/>
                <w:szCs w:val="24"/>
                <w:color w:val="auto"/>
              </w:rPr>
            </w:pPr>
          </w:p>
        </w:tc>
        <w:tc>
          <w:tcPr>
            <w:tcW w:w="360" w:type="dxa"/>
            <w:vAlign w:val="bottom"/>
            <w:tcBorders>
              <w:bottom w:val="single" w:sz="8" w:color="010101"/>
            </w:tcBorders>
          </w:tcPr>
          <w:p>
            <w:pPr>
              <w:spacing w:after="0"/>
              <w:rPr>
                <w:sz w:val="24"/>
                <w:szCs w:val="24"/>
                <w:color w:val="auto"/>
              </w:rPr>
            </w:pPr>
          </w:p>
        </w:tc>
        <w:tc>
          <w:tcPr>
            <w:tcW w:w="76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300" w:type="dxa"/>
            <w:vAlign w:val="bottom"/>
            <w:tcBorders>
              <w:bottom w:val="single" w:sz="8" w:color="010101"/>
            </w:tcBorders>
          </w:tcPr>
          <w:p>
            <w:pPr>
              <w:spacing w:after="0"/>
              <w:rPr>
                <w:sz w:val="24"/>
                <w:szCs w:val="24"/>
                <w:color w:val="auto"/>
              </w:rPr>
            </w:pPr>
          </w:p>
        </w:tc>
        <w:tc>
          <w:tcPr>
            <w:tcW w:w="82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400" w:type="dxa"/>
            <w:vAlign w:val="bottom"/>
            <w:tcBorders>
              <w:bottom w:val="single" w:sz="8" w:color="010101"/>
            </w:tcBorders>
          </w:tcPr>
          <w:p>
            <w:pPr>
              <w:spacing w:after="0"/>
              <w:rPr>
                <w:sz w:val="24"/>
                <w:szCs w:val="24"/>
                <w:color w:val="auto"/>
              </w:rPr>
            </w:pPr>
          </w:p>
        </w:tc>
        <w:tc>
          <w:tcPr>
            <w:tcW w:w="72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300" w:type="dxa"/>
            <w:vAlign w:val="bottom"/>
            <w:tcBorders>
              <w:bottom w:val="single" w:sz="8" w:color="010101"/>
            </w:tcBorders>
          </w:tcPr>
          <w:p>
            <w:pPr>
              <w:spacing w:after="0"/>
              <w:rPr>
                <w:sz w:val="24"/>
                <w:szCs w:val="24"/>
                <w:color w:val="auto"/>
              </w:rPr>
            </w:pPr>
          </w:p>
        </w:tc>
        <w:tc>
          <w:tcPr>
            <w:tcW w:w="82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9" w:lineRule="exact"/>
        <w:rPr>
          <w:sz w:val="20"/>
          <w:szCs w:val="20"/>
          <w:color w:val="auto"/>
        </w:rPr>
      </w:pPr>
    </w:p>
    <w:p>
      <w:pPr>
        <w:ind w:left="5200"/>
        <w:spacing w:after="0"/>
        <w:rPr>
          <w:sz w:val="20"/>
          <w:szCs w:val="20"/>
          <w:color w:val="auto"/>
        </w:rPr>
      </w:pPr>
      <w:r>
        <w:rPr>
          <w:rFonts w:ascii="Arial" w:cs="Arial" w:eastAsia="Arial" w:hAnsi="Arial"/>
          <w:sz w:val="18"/>
          <w:szCs w:val="18"/>
          <w:b w:val="1"/>
          <w:bCs w:val="1"/>
          <w:color w:val="auto"/>
        </w:rPr>
        <w:t>June 30, 2006</w:t>
      </w:r>
    </w:p>
    <w:p>
      <w:pPr>
        <w:spacing w:after="0" w:line="9"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Condensed Consolidating Financial Information (continued)</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 xml:space="preserve">Condensed Consolidating Statements of Cash Flows </w:t>
      </w:r>
      <w:r>
        <w:rPr>
          <w:rFonts w:ascii="Arial" w:cs="Arial" w:eastAsia="Arial" w:hAnsi="Arial"/>
          <w:sz w:val="18"/>
          <w:szCs w:val="18"/>
          <w:color w:val="auto"/>
        </w:rPr>
        <w:t>–</w:t>
      </w:r>
      <w:r>
        <w:rPr>
          <w:rFonts w:ascii="Arial" w:cs="Arial" w:eastAsia="Arial" w:hAnsi="Arial"/>
          <w:sz w:val="18"/>
          <w:szCs w:val="18"/>
          <w:b w:val="1"/>
          <w:bCs w:val="1"/>
          <w:color w:val="auto"/>
        </w:rPr>
        <w:t xml:space="preserve"> (As Restated </w:t>
      </w:r>
      <w:r>
        <w:rPr>
          <w:rFonts w:ascii="Arial" w:cs="Arial" w:eastAsia="Arial" w:hAnsi="Arial"/>
          <w:sz w:val="18"/>
          <w:szCs w:val="18"/>
          <w:color w:val="auto"/>
        </w:rPr>
        <w:t>–</w:t>
      </w:r>
      <w:r>
        <w:rPr>
          <w:rFonts w:ascii="Arial" w:cs="Arial" w:eastAsia="Arial" w:hAnsi="Arial"/>
          <w:sz w:val="18"/>
          <w:szCs w:val="18"/>
          <w:b w:val="1"/>
          <w:bCs w:val="1"/>
          <w:color w:val="auto"/>
        </w:rPr>
        <w:t xml:space="preserve"> See Note 1) (continued)</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the six months ended June 30, 2005</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8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7"/>
              </w:rPr>
              <w:t>Principal Life</w:t>
            </w: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6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7"/>
              </w:rPr>
              <w:t>Principal</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vMerge w:val="restart"/>
          </w:tcPr>
          <w:p>
            <w:pPr>
              <w:jc w:val="center"/>
              <w:ind w:right="56"/>
              <w:spacing w:after="0"/>
              <w:rPr>
                <w:sz w:val="20"/>
                <w:szCs w:val="20"/>
                <w:color w:val="auto"/>
              </w:rPr>
            </w:pPr>
            <w:r>
              <w:rPr>
                <w:rFonts w:ascii="Arial" w:cs="Arial" w:eastAsia="Arial" w:hAnsi="Arial"/>
                <w:sz w:val="14"/>
                <w:szCs w:val="14"/>
                <w:b w:val="1"/>
                <w:bCs w:val="1"/>
                <w:color w:val="auto"/>
                <w:w w:val="97"/>
              </w:rPr>
              <w:t>Principal</w:t>
            </w: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8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3"/>
              </w:rPr>
              <w:t>Insurance</w:t>
            </w: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94"/>
              </w:rPr>
              <w:t>Principal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6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vMerge w:val="continue"/>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8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2"/>
              </w:rPr>
              <w:t>Company and</w:t>
            </w: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60" w:type="dxa"/>
            <w:vAlign w:val="bottom"/>
            <w:gridSpan w:val="2"/>
          </w:tcPr>
          <w:p>
            <w:pPr>
              <w:jc w:val="center"/>
              <w:ind w:right="300"/>
              <w:spacing w:after="0" w:line="135" w:lineRule="exact"/>
              <w:rPr>
                <w:sz w:val="20"/>
                <w:szCs w:val="20"/>
                <w:color w:val="auto"/>
              </w:rPr>
            </w:pPr>
            <w:r>
              <w:rPr>
                <w:rFonts w:ascii="Arial" w:cs="Arial" w:eastAsia="Arial" w:hAnsi="Arial"/>
                <w:sz w:val="14"/>
                <w:szCs w:val="14"/>
                <w:b w:val="1"/>
                <w:bCs w:val="1"/>
                <w:color w:val="auto"/>
                <w:w w:val="95"/>
              </w:rPr>
              <w:t>Financial</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jc w:val="center"/>
              <w:ind w:right="96"/>
              <w:spacing w:after="0" w:line="135" w:lineRule="exact"/>
              <w:rPr>
                <w:sz w:val="20"/>
                <w:szCs w:val="20"/>
                <w:color w:val="auto"/>
              </w:rPr>
            </w:pPr>
            <w:r>
              <w:rPr>
                <w:rFonts w:ascii="Arial" w:cs="Arial" w:eastAsia="Arial" w:hAnsi="Arial"/>
                <w:sz w:val="14"/>
                <w:szCs w:val="14"/>
                <w:b w:val="1"/>
                <w:bCs w:val="1"/>
                <w:color w:val="auto"/>
                <w:w w:val="95"/>
              </w:rPr>
              <w:t>Financial</w:t>
            </w: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8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rPr>
              <w:t>Other</w:t>
            </w: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2"/>
          </w:tcPr>
          <w:p>
            <w:pPr>
              <w:jc w:val="center"/>
              <w:ind w:right="400"/>
              <w:spacing w:after="0" w:line="135" w:lineRule="exact"/>
              <w:rPr>
                <w:sz w:val="20"/>
                <w:szCs w:val="20"/>
                <w:color w:val="auto"/>
              </w:rPr>
            </w:pPr>
            <w:r>
              <w:rPr>
                <w:rFonts w:ascii="Arial" w:cs="Arial" w:eastAsia="Arial" w:hAnsi="Arial"/>
                <w:sz w:val="14"/>
                <w:szCs w:val="14"/>
                <w:b w:val="1"/>
                <w:bCs w:val="1"/>
                <w:color w:val="auto"/>
                <w:w w:val="95"/>
              </w:rPr>
              <w:t>Financial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4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6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4"/>
              </w:rPr>
              <w:t>Group, Inc.</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jc w:val="center"/>
              <w:ind w:right="56"/>
              <w:spacing w:after="0" w:line="135" w:lineRule="exact"/>
              <w:rPr>
                <w:sz w:val="20"/>
                <w:szCs w:val="20"/>
                <w:color w:val="auto"/>
              </w:rPr>
            </w:pPr>
            <w:r>
              <w:rPr>
                <w:rFonts w:ascii="Arial" w:cs="Arial" w:eastAsia="Arial" w:hAnsi="Arial"/>
                <w:sz w:val="14"/>
                <w:szCs w:val="14"/>
                <w:b w:val="1"/>
                <w:bCs w:val="1"/>
                <w:color w:val="auto"/>
                <w:w w:val="91"/>
              </w:rPr>
              <w:t>Services, Inc.</w:t>
            </w: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8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88"/>
              </w:rPr>
              <w:t>Subsidiaries</w:t>
            </w:r>
          </w:p>
        </w:tc>
        <w:tc>
          <w:tcPr>
            <w:tcW w:w="120" w:type="dxa"/>
            <w:vAlign w:val="bottom"/>
          </w:tcPr>
          <w:p>
            <w:pPr>
              <w:spacing w:after="0"/>
              <w:rPr>
                <w:sz w:val="11"/>
                <w:szCs w:val="11"/>
                <w:color w:val="auto"/>
              </w:rPr>
            </w:pPr>
          </w:p>
        </w:tc>
        <w:tc>
          <w:tcPr>
            <w:tcW w:w="1240" w:type="dxa"/>
            <w:vAlign w:val="bottom"/>
            <w:gridSpan w:val="2"/>
            <w:vMerge w:val="restart"/>
          </w:tcPr>
          <w:p>
            <w:pPr>
              <w:jc w:val="right"/>
              <w:ind w:right="440"/>
              <w:spacing w:after="0"/>
              <w:rPr>
                <w:sz w:val="20"/>
                <w:szCs w:val="20"/>
                <w:color w:val="auto"/>
              </w:rPr>
            </w:pPr>
            <w:r>
              <w:rPr>
                <w:rFonts w:ascii="Arial" w:cs="Arial" w:eastAsia="Arial" w:hAnsi="Arial"/>
                <w:sz w:val="14"/>
                <w:szCs w:val="14"/>
                <w:b w:val="1"/>
                <w:bCs w:val="1"/>
                <w:color w:val="auto"/>
                <w:w w:val="93"/>
              </w:rPr>
              <w:t>Eliminations</w:t>
            </w:r>
          </w:p>
        </w:tc>
        <w:tc>
          <w:tcPr>
            <w:tcW w:w="100" w:type="dxa"/>
            <w:vAlign w:val="bottom"/>
          </w:tcPr>
          <w:p>
            <w:pPr>
              <w:spacing w:after="0"/>
              <w:rPr>
                <w:sz w:val="11"/>
                <w:szCs w:val="11"/>
                <w:color w:val="auto"/>
              </w:rPr>
            </w:pPr>
          </w:p>
        </w:tc>
        <w:tc>
          <w:tcPr>
            <w:tcW w:w="1260" w:type="dxa"/>
            <w:vAlign w:val="bottom"/>
            <w:gridSpan w:val="2"/>
          </w:tcPr>
          <w:p>
            <w:pPr>
              <w:jc w:val="center"/>
              <w:ind w:right="420"/>
              <w:spacing w:after="0" w:line="135" w:lineRule="exact"/>
              <w:rPr>
                <w:sz w:val="20"/>
                <w:szCs w:val="20"/>
                <w:color w:val="auto"/>
              </w:rPr>
            </w:pPr>
            <w:r>
              <w:rPr>
                <w:rFonts w:ascii="Arial" w:cs="Arial" w:eastAsia="Arial" w:hAnsi="Arial"/>
                <w:sz w:val="14"/>
                <w:szCs w:val="14"/>
                <w:b w:val="1"/>
                <w:bCs w:val="1"/>
                <w:color w:val="auto"/>
                <w:w w:val="97"/>
              </w:rPr>
              <w:t>Group, Inc.</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Parent Only</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jc w:val="center"/>
              <w:ind w:right="56"/>
              <w:spacing w:after="0"/>
              <w:rPr>
                <w:sz w:val="20"/>
                <w:szCs w:val="20"/>
                <w:color w:val="auto"/>
              </w:rPr>
            </w:pPr>
            <w:r>
              <w:rPr>
                <w:rFonts w:ascii="Arial" w:cs="Arial" w:eastAsia="Arial" w:hAnsi="Arial"/>
                <w:sz w:val="14"/>
                <w:szCs w:val="14"/>
                <w:b w:val="1"/>
                <w:bCs w:val="1"/>
                <w:color w:val="auto"/>
                <w:w w:val="96"/>
              </w:rPr>
              <w:t>Only</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8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3"/>
              </w:rPr>
              <w:t>Combined</w:t>
            </w:r>
          </w:p>
        </w:tc>
        <w:tc>
          <w:tcPr>
            <w:tcW w:w="12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0"/>
              </w:rPr>
              <w:t>Consolidated</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80" w:type="dxa"/>
            <w:vAlign w:val="bottom"/>
            <w:tcBorders>
              <w:top w:val="single" w:sz="8" w:color="auto"/>
            </w:tcBorders>
            <w:gridSpan w:val="2"/>
          </w:tcPr>
          <w:p>
            <w:pPr>
              <w:jc w:val="right"/>
              <w:ind w:right="500"/>
              <w:spacing w:after="0" w:line="129" w:lineRule="exact"/>
              <w:rPr>
                <w:sz w:val="20"/>
                <w:szCs w:val="20"/>
                <w:color w:val="auto"/>
              </w:rPr>
            </w:pPr>
            <w:r>
              <w:rPr>
                <w:rFonts w:ascii="Arial" w:cs="Arial" w:eastAsia="Arial" w:hAnsi="Arial"/>
                <w:sz w:val="14"/>
                <w:szCs w:val="14"/>
                <w:b w:val="1"/>
                <w:bCs w:val="1"/>
                <w:color w:val="auto"/>
                <w:w w:val="96"/>
              </w:rPr>
              <w:t>(in millions)</w:t>
            </w:r>
          </w:p>
        </w:tc>
        <w:tc>
          <w:tcPr>
            <w:tcW w:w="12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Discontinued operations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tcPr>
          <w:p>
            <w:pPr>
              <w:spacing w:after="0"/>
              <w:rPr>
                <w:sz w:val="20"/>
                <w:szCs w:val="20"/>
                <w:color w:val="auto"/>
              </w:rPr>
            </w:pPr>
            <w:r>
              <w:rPr>
                <w:rFonts w:ascii="Arial" w:cs="Arial" w:eastAsia="Arial" w:hAnsi="Arial"/>
                <w:sz w:val="18"/>
                <w:szCs w:val="18"/>
                <w:color w:val="auto"/>
              </w:rPr>
              <w:t>Net cash used in operating activities</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(0.1)</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investing activities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(0.1)</w:t>
            </w: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00" w:type="dxa"/>
            <w:vAlign w:val="bottom"/>
            <w:vMerge w:val="restart"/>
          </w:tcPr>
          <w:p>
            <w:pPr>
              <w:spacing w:after="0"/>
              <w:rPr>
                <w:sz w:val="20"/>
                <w:szCs w:val="20"/>
                <w:color w:val="auto"/>
              </w:rPr>
            </w:pPr>
            <w:r>
              <w:rPr>
                <w:rFonts w:ascii="Arial" w:cs="Arial" w:eastAsia="Arial" w:hAnsi="Arial"/>
                <w:sz w:val="18"/>
                <w:szCs w:val="18"/>
                <w:color w:val="auto"/>
              </w:rPr>
              <w:t>Net cash used in discontinued operations</w:t>
            </w:r>
          </w:p>
        </w:tc>
        <w:tc>
          <w:tcPr>
            <w:tcW w:w="2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8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30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3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00" w:type="dxa"/>
            <w:vAlign w:val="bottom"/>
          </w:tcPr>
          <w:p>
            <w:pPr>
              <w:spacing w:after="0"/>
              <w:rPr>
                <w:sz w:val="20"/>
                <w:szCs w:val="20"/>
                <w:color w:val="auto"/>
              </w:rPr>
            </w:pPr>
            <w:r>
              <w:rPr>
                <w:rFonts w:ascii="Arial" w:cs="Arial" w:eastAsia="Arial" w:hAnsi="Arial"/>
                <w:sz w:val="18"/>
                <w:szCs w:val="18"/>
                <w:color w:val="auto"/>
                <w:w w:val="99"/>
              </w:rPr>
              <w:t>Net increase (decrease) in cash and cash equivalents</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(52.1)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29.6</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829.3</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(87.7)</w:t>
            </w:r>
          </w:p>
        </w:tc>
        <w:tc>
          <w:tcPr>
            <w:tcW w:w="1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719.1</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0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75.4</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551.9</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521.0</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(695.8)</w:t>
            </w:r>
          </w:p>
        </w:tc>
        <w:tc>
          <w:tcPr>
            <w:tcW w:w="1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452.5</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0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Cash and cash equivalents at end of period</w:t>
            </w:r>
          </w:p>
        </w:tc>
        <w:tc>
          <w:tcPr>
            <w:tcW w:w="22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6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300" w:type="dxa"/>
            <w:vAlign w:val="bottom"/>
            <w:vMerge w:val="continue"/>
            <w:shd w:val="clear" w:color="auto" w:fill="CCEEFF"/>
          </w:tcPr>
          <w:p>
            <w:pPr>
              <w:spacing w:after="0"/>
              <w:rPr>
                <w:sz w:val="18"/>
                <w:szCs w:val="18"/>
                <w:color w:val="auto"/>
              </w:rPr>
            </w:pPr>
          </w:p>
        </w:tc>
        <w:tc>
          <w:tcPr>
            <w:tcW w:w="22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23.3</w:t>
            </w:r>
          </w:p>
        </w:tc>
        <w:tc>
          <w:tcPr>
            <w:tcW w:w="160" w:type="dxa"/>
            <w:vAlign w:val="bottom"/>
            <w:shd w:val="clear" w:color="auto" w:fill="CCEEFF"/>
          </w:tcPr>
          <w:p>
            <w:pPr>
              <w:spacing w:after="0"/>
              <w:rPr>
                <w:sz w:val="18"/>
                <w:szCs w:val="18"/>
                <w:color w:val="auto"/>
              </w:rPr>
            </w:pPr>
          </w:p>
        </w:tc>
        <w:tc>
          <w:tcPr>
            <w:tcW w:w="12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581.5</w:t>
            </w:r>
          </w:p>
        </w:tc>
        <w:tc>
          <w:tcPr>
            <w:tcW w:w="26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1,350.3</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(783.5)</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1,171.6</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00" w:type="dxa"/>
            <w:vAlign w:val="bottom"/>
            <w:tcBorders>
              <w:top w:val="single" w:sz="8" w:color="CCEEFF"/>
              <w:bottom w:val="single" w:sz="8" w:color="CCEEFF"/>
            </w:tcBorders>
            <w:vMerge w:val="restart"/>
          </w:tcPr>
          <w:p>
            <w:pPr>
              <w:spacing w:after="0" w:line="191" w:lineRule="exact"/>
              <w:rPr>
                <w:sz w:val="20"/>
                <w:szCs w:val="20"/>
                <w:color w:val="auto"/>
              </w:rPr>
            </w:pPr>
            <w:r>
              <w:rPr>
                <w:rFonts w:ascii="Arial" w:cs="Arial" w:eastAsia="Arial" w:hAnsi="Arial"/>
                <w:sz w:val="18"/>
                <w:szCs w:val="18"/>
                <w:b w:val="1"/>
                <w:bCs w:val="1"/>
                <w:color w:val="auto"/>
                <w:w w:val="91"/>
              </w:rPr>
              <w:t>Cash and cash equivalents of discontinued operations</w:t>
            </w:r>
          </w:p>
        </w:tc>
        <w:tc>
          <w:tcPr>
            <w:tcW w:w="2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20" w:type="dxa"/>
            <w:vAlign w:val="bottom"/>
          </w:tcPr>
          <w:p>
            <w:pPr>
              <w:spacing w:after="0"/>
              <w:rPr>
                <w:sz w:val="13"/>
                <w:szCs w:val="13"/>
                <w:color w:val="auto"/>
              </w:rPr>
            </w:pPr>
          </w:p>
        </w:tc>
        <w:tc>
          <w:tcPr>
            <w:tcW w:w="4300" w:type="dxa"/>
            <w:vAlign w:val="bottom"/>
            <w:vMerge w:val="continue"/>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300" w:type="dxa"/>
            <w:vAlign w:val="bottom"/>
          </w:tcPr>
          <w:p>
            <w:pPr>
              <w:ind w:left="160"/>
              <w:spacing w:after="0"/>
              <w:rPr>
                <w:sz w:val="20"/>
                <w:szCs w:val="20"/>
                <w:color w:val="auto"/>
              </w:rPr>
            </w:pPr>
            <w:r>
              <w:rPr>
                <w:rFonts w:ascii="Arial" w:cs="Arial" w:eastAsia="Arial" w:hAnsi="Arial"/>
                <w:sz w:val="18"/>
                <w:szCs w:val="18"/>
                <w:b w:val="1"/>
                <w:bCs w:val="1"/>
                <w:color w:val="auto"/>
              </w:rPr>
              <w:t>included above</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At beginning of period</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300" w:type="dxa"/>
            <w:vAlign w:val="bottom"/>
          </w:tcPr>
          <w:p>
            <w:pPr>
              <w:ind w:left="160"/>
              <w:spacing w:after="0"/>
              <w:rPr>
                <w:sz w:val="20"/>
                <w:szCs w:val="20"/>
                <w:color w:val="auto"/>
              </w:rPr>
            </w:pPr>
            <w:r>
              <w:rPr>
                <w:rFonts w:ascii="Arial" w:cs="Arial" w:eastAsia="Arial" w:hAnsi="Arial"/>
                <w:sz w:val="18"/>
                <w:szCs w:val="18"/>
                <w:color w:val="auto"/>
              </w:rPr>
              <w:t>At end of period</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1.7</w:t>
            </w:r>
          </w:p>
        </w:tc>
        <w:tc>
          <w:tcPr>
            <w:tcW w:w="28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1.7</w:t>
            </w:r>
          </w:p>
        </w:tc>
        <w:tc>
          <w:tcPr>
            <w:tcW w:w="2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Subsequent Event</w:t>
      </w:r>
    </w:p>
    <w:p>
      <w:pPr>
        <w:spacing w:after="0" w:line="229" w:lineRule="exact"/>
        <w:rPr>
          <w:sz w:val="20"/>
          <w:szCs w:val="20"/>
          <w:color w:val="auto"/>
        </w:rPr>
      </w:pPr>
    </w:p>
    <w:p>
      <w:pPr>
        <w:ind w:right="360" w:firstLine="360"/>
        <w:spacing w:after="0" w:line="277" w:lineRule="auto"/>
        <w:rPr>
          <w:sz w:val="20"/>
          <w:szCs w:val="20"/>
          <w:color w:val="auto"/>
        </w:rPr>
      </w:pPr>
      <w:r>
        <w:rPr>
          <w:rFonts w:ascii="Arial" w:cs="Arial" w:eastAsia="Arial" w:hAnsi="Arial"/>
          <w:sz w:val="18"/>
          <w:szCs w:val="18"/>
          <w:color w:val="auto"/>
        </w:rPr>
        <w:t>On July 25, 2006, we announced a definitive agreement to acquire WM Advisors, Inc., and its subsidiaries from Washington Mutual, Inc., for $740.0 million in cash, subject to closing adjustments. We expect the transaction to close in the fourth quarter 2006 or early 2007.</w:t>
      </w:r>
    </w:p>
    <w:p>
      <w:pPr>
        <w:spacing w:after="0" w:line="38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ind w:right="280" w:firstLine="648"/>
        <w:spacing w:after="0" w:line="255" w:lineRule="auto"/>
        <w:rPr>
          <w:sz w:val="20"/>
          <w:szCs w:val="20"/>
          <w:color w:val="auto"/>
        </w:rPr>
      </w:pPr>
      <w:r>
        <w:rPr>
          <w:rFonts w:ascii="Arial" w:cs="Arial" w:eastAsia="Arial" w:hAnsi="Arial"/>
          <w:sz w:val="18"/>
          <w:szCs w:val="18"/>
          <w:color w:val="auto"/>
        </w:rPr>
        <w:t>The following analysis discusses our financial condition as of June 30, 2006, compared with December 31, 2005, and our consolidated results of operations for the three and six months ended June 30, 2006 and 2005, prepared in conformity with accounting principles generally accepted in the U.S. (“U.S. GAAP”). The discussion and analysis includes, where appropriate, factors that may affect our future financial performance. The discussion should be read in conjunction with our Form 10-K, for the year ended December 31, 2005, filed with the United States Securities and Exchange Commission (“SEC”) and the unaudited consolidated financial statements and the related notes to the financial statements and the other financial information included elsewhere in this Form 10-Q.</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Information</w:t>
      </w:r>
    </w:p>
    <w:p>
      <w:pPr>
        <w:spacing w:after="0" w:line="229" w:lineRule="exact"/>
        <w:rPr>
          <w:sz w:val="20"/>
          <w:szCs w:val="20"/>
          <w:color w:val="auto"/>
        </w:rPr>
      </w:pPr>
    </w:p>
    <w:p>
      <w:pPr>
        <w:ind w:right="140" w:firstLine="648"/>
        <w:spacing w:after="0" w:line="276" w:lineRule="auto"/>
        <w:rPr>
          <w:sz w:val="20"/>
          <w:szCs w:val="20"/>
          <w:color w:val="auto"/>
        </w:rPr>
      </w:pPr>
      <w:r>
        <w:rPr>
          <w:rFonts w:ascii="Arial" w:cs="Arial" w:eastAsia="Arial" w:hAnsi="Arial"/>
          <w:sz w:val="17"/>
          <w:szCs w:val="17"/>
          <w:color w:val="auto"/>
        </w:rPr>
        <w:t>Our narrative analysis below contains forward-looking statements intended to enhance the reader’s ability to assess our future financial performance. Forward-looking statements include, but are not limited to, statements that represent our beliefs concerning future operations, strategies, financial results or other developments, and contain words and phrases such as “anticipate,” “believe,” “plan,” “estimate,” “expect,” “intend,” and similar expressions. Forward-looking statements are made based upon management’s current expectations and beliefs concerning future developments and their potential effects on us. Such forward-looking statements are not guarantees of future performance.</w:t>
      </w:r>
    </w:p>
    <w:p>
      <w:pPr>
        <w:sectPr>
          <w:pgSz w:w="11900" w:h="16838" w:orient="portrait"/>
          <w:cols w:equalWidth="0" w:num="1">
            <w:col w:w="11460"/>
          </w:cols>
          <w:pgMar w:left="240" w:top="140" w:right="199" w:bottom="0" w:gutter="0" w:footer="0" w:header="0"/>
        </w:sectPr>
      </w:pPr>
    </w:p>
    <w:bookmarkStart w:id="27" w:name="page28"/>
    <w:bookmarkEnd w:id="27"/>
    <w:p>
      <w:pPr>
        <w:ind w:firstLine="648"/>
        <w:spacing w:after="0" w:line="301" w:lineRule="auto"/>
        <w:rPr>
          <w:sz w:val="20"/>
          <w:szCs w:val="20"/>
          <w:color w:val="auto"/>
        </w:rPr>
      </w:pPr>
      <w:r>
        <w:rPr>
          <w:rFonts w:ascii="Arial" w:cs="Arial" w:eastAsia="Arial" w:hAnsi="Arial"/>
          <w:sz w:val="15"/>
          <w:szCs w:val="15"/>
          <w:color w:val="auto"/>
        </w:rPr>
        <w:t xml:space="preserve">Actual results may differ materially from those included in the forward-looking statements as a result of risks and uncertainties including, but not limited to the following: (1) a decline or increased volatility in the securities markets could result in investors withdrawing from the markets or decreasing their rates of investment, either of which could reduce our net income, revenues and assets under management; (2) our investment portfolio is subject to several risks which may diminish the value of our invested assets and affect our sales, profitability and the investment returns credited to our customers; (3) competition from companies that may have greater financial resources, broader arrays of products, higher ratings and stronger financial performance may impair our ability to retain existing customers, attract new customers and maintain our profitability; (4) a downgrade in any of our ratings may increase policy surrenders and withdrawals, reduce new sales and terminate relationships with distributors and cause some of our existing liabilities to be subject to acceleration, additional collateral support, changes in terms, or creation of additional financial obligations; (5) our efforts to reduce the impact of interest rate changes on our profitability and surplus may not be effective; (6) if we are unable to attract and retain sales representatives and develop new distribution sources, sales of our products and services may be reduced; (7) our international businesses face political, legal, operational and other risks that could reduce our profitability in those businesses; (8) our reserves established for future policy benefits and claims may prove inadequate, requiring us to increase liabilities; (9) our ability to pay stockholder dividends and meet our obligations may be constrained by the limitations on dividends Iowa insurance laws impose on Principal Life Insurance Company (“Principal Life”); (10) the pattern of amortizing our deferred policy acquisition costs on our Statement of Financial Accounting Standard (“SFAS”) No. 97 </w:t>
      </w:r>
      <w:r>
        <w:rPr>
          <w:rFonts w:ascii="Arial" w:cs="Arial" w:eastAsia="Arial" w:hAnsi="Arial"/>
          <w:sz w:val="15"/>
          <w:szCs w:val="15"/>
          <w:i w:val="1"/>
          <w:iCs w:val="1"/>
          <w:color w:val="auto"/>
        </w:rPr>
        <w:t>Accounting and Reporting by</w:t>
      </w:r>
      <w:r>
        <w:rPr>
          <w:rFonts w:ascii="Arial" w:cs="Arial" w:eastAsia="Arial" w:hAnsi="Arial"/>
          <w:sz w:val="15"/>
          <w:szCs w:val="15"/>
          <w:color w:val="auto"/>
        </w:rPr>
        <w:t xml:space="preserve"> </w:t>
      </w:r>
      <w:r>
        <w:rPr>
          <w:rFonts w:ascii="Arial" w:cs="Arial" w:eastAsia="Arial" w:hAnsi="Arial"/>
          <w:sz w:val="15"/>
          <w:szCs w:val="15"/>
          <w:i w:val="1"/>
          <w:iCs w:val="1"/>
          <w:color w:val="auto"/>
        </w:rPr>
        <w:t xml:space="preserve">Insurance Enterprises for Certain Long-Duration Contracts and for Realized Gains and Losses from the Sale of Investments </w:t>
      </w:r>
      <w:r>
        <w:rPr>
          <w:rFonts w:ascii="Arial" w:cs="Arial" w:eastAsia="Arial" w:hAnsi="Arial"/>
          <w:sz w:val="15"/>
          <w:szCs w:val="15"/>
          <w:color w:val="auto"/>
        </w:rPr>
        <w:t>products may change, impacting</w:t>
      </w:r>
      <w:r>
        <w:rPr>
          <w:rFonts w:ascii="Arial" w:cs="Arial" w:eastAsia="Arial" w:hAnsi="Arial"/>
          <w:sz w:val="15"/>
          <w:szCs w:val="15"/>
          <w:i w:val="1"/>
          <w:iCs w:val="1"/>
          <w:color w:val="auto"/>
        </w:rPr>
        <w:t xml:space="preserve"> </w:t>
      </w:r>
      <w:r>
        <w:rPr>
          <w:rFonts w:ascii="Arial" w:cs="Arial" w:eastAsia="Arial" w:hAnsi="Arial"/>
          <w:sz w:val="15"/>
          <w:szCs w:val="15"/>
          <w:color w:val="auto"/>
        </w:rPr>
        <w:t>both the level of the asset and the emergence of our operating earnings; (11) we may need to fund deficiencies in our closed block (“Closed Block”) assets;</w:t>
      </w:r>
    </w:p>
    <w:p>
      <w:pPr>
        <w:spacing w:after="0" w:line="11" w:lineRule="exact"/>
        <w:rPr>
          <w:sz w:val="20"/>
          <w:szCs w:val="20"/>
          <w:color w:val="auto"/>
        </w:rPr>
      </w:pPr>
    </w:p>
    <w:p>
      <w:pPr>
        <w:ind w:right="120" w:firstLine="8"/>
        <w:spacing w:after="0" w:line="253" w:lineRule="auto"/>
        <w:tabs>
          <w:tab w:leader="none" w:pos="336" w:val="left"/>
        </w:tabs>
        <w:numPr>
          <w:ilvl w:val="0"/>
          <w:numId w:val="9"/>
        </w:numPr>
        <w:rPr>
          <w:rFonts w:ascii="Arial" w:cs="Arial" w:eastAsia="Arial" w:hAnsi="Arial"/>
          <w:sz w:val="18"/>
          <w:szCs w:val="18"/>
          <w:color w:val="auto"/>
        </w:rPr>
      </w:pPr>
      <w:r>
        <w:rPr>
          <w:rFonts w:ascii="Arial" w:cs="Arial" w:eastAsia="Arial" w:hAnsi="Arial"/>
          <w:sz w:val="18"/>
          <w:szCs w:val="18"/>
          <w:color w:val="auto"/>
        </w:rPr>
        <w:t>changes in laws, regulations or accounting standards may reduce our profitability; (13) litigation and regulatory investigations may affect our financial strength or reduce our profitability; (14) fluctuations in foreign currency exchange rates could reduce our profitability; and (15) applicable laws and our stockholder rights plan, certificate of incorporation and by-laws may discourage takeovers and business combinations that our stockholders might consider in their best interests. For a more comprehensive discussion of these risks and uncertainties, please see Item 1A, Risk Factors, in our Annual Report on Form 10-K for the year ended December 31, 2005.</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provide financial products and services through the following segments:</w:t>
      </w:r>
    </w:p>
    <w:p>
      <w:pPr>
        <w:spacing w:after="0" w:line="225" w:lineRule="exact"/>
        <w:rPr>
          <w:sz w:val="20"/>
          <w:szCs w:val="20"/>
          <w:color w:val="auto"/>
        </w:rPr>
      </w:pPr>
    </w:p>
    <w:p>
      <w:pPr>
        <w:ind w:left="340" w:right="160" w:hanging="332"/>
        <w:spacing w:after="0" w:line="314" w:lineRule="auto"/>
        <w:tabs>
          <w:tab w:leader="none" w:pos="269" w:val="left"/>
        </w:tabs>
        <w:numPr>
          <w:ilvl w:val="0"/>
          <w:numId w:val="10"/>
        </w:numPr>
        <w:rPr>
          <w:rFonts w:ascii="Arial" w:cs="Arial" w:eastAsia="Arial" w:hAnsi="Arial"/>
          <w:sz w:val="15"/>
          <w:szCs w:val="15"/>
          <w:color w:val="auto"/>
        </w:rPr>
      </w:pPr>
      <w:r>
        <w:rPr>
          <w:rFonts w:ascii="Arial" w:cs="Arial" w:eastAsia="Arial" w:hAnsi="Arial"/>
          <w:sz w:val="15"/>
          <w:szCs w:val="15"/>
          <w:color w:val="auto"/>
        </w:rPr>
        <w:t>U.S. Asset Management and Accumulation, which consists of our asset accumulation operations, which provide retirement savings and related investment products and services, and our asset management operations conducted through Principal Global Investors. We provide a comprehensive portfolio of asset accumulation products and services to businesses and individuals in the U.S., with a concentration on small and medium-sized businesses, which we define as businesses with fewer than 1,000 employees. We offer to businesses products and services for defined contribution pension plans, including 401(k) and 403(b) plans, defined benefit pension plans, non-qualified executive benefit plans, and employee stock ownership plan consulting services. We also offer annuities, mutual funds and bank products and services to the employees of our business customers and other individuals. Principal Global Investors offers an extensive range of equity, fixed income and real estate investments as well as specialized overlay and advisory services to institutional investors.</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340" w:right="300" w:hanging="332"/>
        <w:spacing w:after="0" w:line="308" w:lineRule="auto"/>
        <w:tabs>
          <w:tab w:leader="none" w:pos="269" w:val="left"/>
        </w:tabs>
        <w:numPr>
          <w:ilvl w:val="0"/>
          <w:numId w:val="11"/>
        </w:numPr>
        <w:rPr>
          <w:rFonts w:ascii="Arial" w:cs="Arial" w:eastAsia="Arial" w:hAnsi="Arial"/>
          <w:sz w:val="17"/>
          <w:szCs w:val="17"/>
          <w:color w:val="auto"/>
        </w:rPr>
      </w:pPr>
      <w:r>
        <w:rPr>
          <w:rFonts w:ascii="Arial" w:cs="Arial" w:eastAsia="Arial" w:hAnsi="Arial"/>
          <w:sz w:val="17"/>
          <w:szCs w:val="17"/>
          <w:color w:val="auto"/>
        </w:rPr>
        <w:t>International Asset Management and Accumulation, which consists of Principal International, offers retirement products and services, annuities, long-term mutual funds and life insurance through operations in Chile, Mexico, Hong Kong, Brazil, India, China, and Malaysia.</w:t>
      </w:r>
    </w:p>
    <w:p>
      <w:pPr>
        <w:spacing w:after="0" w:line="146" w:lineRule="exact"/>
        <w:rPr>
          <w:rFonts w:ascii="Arial" w:cs="Arial" w:eastAsia="Arial" w:hAnsi="Arial"/>
          <w:sz w:val="17"/>
          <w:szCs w:val="17"/>
          <w:color w:val="auto"/>
        </w:rPr>
      </w:pPr>
    </w:p>
    <w:p>
      <w:pPr>
        <w:ind w:left="340" w:right="60" w:hanging="332"/>
        <w:spacing w:after="0" w:line="259" w:lineRule="auto"/>
        <w:tabs>
          <w:tab w:leader="none" w:pos="269" w:val="left"/>
        </w:tabs>
        <w:numPr>
          <w:ilvl w:val="0"/>
          <w:numId w:val="11"/>
        </w:numPr>
        <w:rPr>
          <w:rFonts w:ascii="Arial" w:cs="Arial" w:eastAsia="Arial" w:hAnsi="Arial"/>
          <w:sz w:val="18"/>
          <w:szCs w:val="18"/>
          <w:color w:val="auto"/>
        </w:rPr>
      </w:pPr>
      <w:r>
        <w:rPr>
          <w:rFonts w:ascii="Arial" w:cs="Arial" w:eastAsia="Arial" w:hAnsi="Arial"/>
          <w:sz w:val="18"/>
          <w:szCs w:val="18"/>
          <w:color w:val="auto"/>
        </w:rPr>
        <w:t>Life and Health Insurance, which provides individual life insurance, group health insurance as well as specialty benefits in the U.S. Our individual life insurance products include universal and variable universal life insurance and traditional life insurance. Our health insurance products include group medical insurance and fee-for-service claims administration and wellness services. Our specialty benefit products include group dental and vision insurance, individual and group disability insurance, and group life insurance.</w:t>
      </w:r>
    </w:p>
    <w:p>
      <w:pPr>
        <w:spacing w:after="0" w:line="186" w:lineRule="exact"/>
        <w:rPr>
          <w:rFonts w:ascii="Arial" w:cs="Arial" w:eastAsia="Arial" w:hAnsi="Arial"/>
          <w:sz w:val="18"/>
          <w:szCs w:val="18"/>
          <w:color w:val="auto"/>
        </w:rPr>
      </w:pPr>
    </w:p>
    <w:p>
      <w:pPr>
        <w:ind w:left="340" w:right="160" w:hanging="332"/>
        <w:spacing w:after="0" w:line="340" w:lineRule="auto"/>
        <w:tabs>
          <w:tab w:leader="none" w:pos="269" w:val="left"/>
        </w:tabs>
        <w:numPr>
          <w:ilvl w:val="0"/>
          <w:numId w:val="11"/>
        </w:numPr>
        <w:rPr>
          <w:rFonts w:ascii="Arial" w:cs="Arial" w:eastAsia="Arial" w:hAnsi="Arial"/>
          <w:sz w:val="15"/>
          <w:szCs w:val="15"/>
          <w:color w:val="auto"/>
        </w:rPr>
      </w:pPr>
      <w:r>
        <w:rPr>
          <w:rFonts w:ascii="Arial" w:cs="Arial" w:eastAsia="Arial" w:hAnsi="Arial"/>
          <w:sz w:val="15"/>
          <w:szCs w:val="15"/>
          <w:color w:val="auto"/>
        </w:rPr>
        <w:t>Corporate and Other, which manages the assets representing capital that has not been allocated to any other segment. Financial results of the Corporate and Other segment primarily reflect our financing activities (including interest expense), income on capital not allocated to other segments, inter-segment eliminations, income tax risks and certain income, expenses and other after-tax adjustments not allocated to the segments based on the nature of such items.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Transactions Affecting Comparability of 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Acquisitions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acquired the following businesses, among others, during 2006 and 2005:</w:t>
      </w:r>
    </w:p>
    <w:p>
      <w:pPr>
        <w:spacing w:after="0" w:line="225" w:lineRule="exact"/>
        <w:rPr>
          <w:sz w:val="20"/>
          <w:szCs w:val="20"/>
          <w:color w:val="auto"/>
        </w:rPr>
      </w:pPr>
    </w:p>
    <w:p>
      <w:pPr>
        <w:ind w:right="320" w:firstLine="630"/>
        <w:spacing w:after="0" w:line="257" w:lineRule="auto"/>
        <w:rPr>
          <w:sz w:val="20"/>
          <w:szCs w:val="20"/>
          <w:color w:val="auto"/>
        </w:rPr>
      </w:pPr>
      <w:r>
        <w:rPr>
          <w:rFonts w:ascii="Arial" w:cs="Arial" w:eastAsia="Arial" w:hAnsi="Arial"/>
          <w:sz w:val="18"/>
          <w:szCs w:val="18"/>
          <w:b w:val="1"/>
          <w:bCs w:val="1"/>
          <w:i w:val="1"/>
          <w:iCs w:val="1"/>
          <w:color w:val="auto"/>
        </w:rPr>
        <w:t xml:space="preserve">WM Advisors, Inc. </w:t>
      </w:r>
      <w:r>
        <w:rPr>
          <w:rFonts w:ascii="Arial" w:cs="Arial" w:eastAsia="Arial" w:hAnsi="Arial"/>
          <w:sz w:val="18"/>
          <w:szCs w:val="18"/>
          <w:color w:val="auto"/>
        </w:rPr>
        <w:t>On July 25, 2006, we announced a definitive agreement to acquire WM Advisors, Inc. (“WM Advisors”) and its subsidiaries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from Washington Mutual, Inc., for $740.0 million in cash, subject to closing adjustments. WM Advisors, with more than $26.0 billion in assets under management, provides investment advisory services to mutual funds, variable trust funds and asset allocation portfolios to approximately 800,000 shareholder accounts nationwide. We expect the transaction to close in the fourth quarter 2006 or early 2007. The operations of WM Advisors, Inc. will be reported and consolidated in our U.S. Asset Management and Accumulation segment.</w:t>
      </w:r>
    </w:p>
    <w:p>
      <w:pPr>
        <w:spacing w:after="0" w:line="188" w:lineRule="exact"/>
        <w:rPr>
          <w:sz w:val="20"/>
          <w:szCs w:val="20"/>
          <w:color w:val="auto"/>
        </w:rPr>
      </w:pPr>
    </w:p>
    <w:p>
      <w:pPr>
        <w:jc w:val="both"/>
        <w:ind w:right="100" w:firstLine="648"/>
        <w:spacing w:after="0" w:line="259" w:lineRule="auto"/>
        <w:rPr>
          <w:sz w:val="20"/>
          <w:szCs w:val="20"/>
          <w:color w:val="auto"/>
        </w:rPr>
      </w:pPr>
      <w:r>
        <w:rPr>
          <w:rFonts w:ascii="Arial" w:cs="Arial" w:eastAsia="Arial" w:hAnsi="Arial"/>
          <w:sz w:val="18"/>
          <w:szCs w:val="18"/>
          <w:b w:val="1"/>
          <w:bCs w:val="1"/>
          <w:i w:val="1"/>
          <w:iCs w:val="1"/>
          <w:color w:val="auto"/>
        </w:rPr>
        <w:t xml:space="preserve">Principal Global Services Private Limited. </w:t>
      </w:r>
      <w:r>
        <w:rPr>
          <w:rFonts w:ascii="Arial" w:cs="Arial" w:eastAsia="Arial" w:hAnsi="Arial"/>
          <w:sz w:val="18"/>
          <w:szCs w:val="18"/>
          <w:color w:val="auto"/>
        </w:rPr>
        <w:t>In December 2005, we formed Principal Global Services Private Limited (“PGS”), which will operate 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Pune, India, starting in the second half of 2006. PGS employees will perform services for our U.S. operations including claims data entry, 401(k) processing, IT coding/application development, and IT quality assurance. PGS start up costs are reported in our Corporate and Other segment. Once operating, expenses will be allocated to the segments for which services are performed.</w:t>
      </w:r>
    </w:p>
    <w:p>
      <w:pPr>
        <w:spacing w:after="0" w:line="187" w:lineRule="exact"/>
        <w:rPr>
          <w:sz w:val="20"/>
          <w:szCs w:val="20"/>
          <w:color w:val="auto"/>
        </w:rPr>
      </w:pPr>
    </w:p>
    <w:p>
      <w:pPr>
        <w:ind w:right="80" w:firstLine="648"/>
        <w:spacing w:after="0" w:line="291" w:lineRule="auto"/>
        <w:rPr>
          <w:sz w:val="20"/>
          <w:szCs w:val="20"/>
          <w:color w:val="auto"/>
        </w:rPr>
      </w:pPr>
      <w:r>
        <w:rPr>
          <w:rFonts w:ascii="Arial" w:cs="Arial" w:eastAsia="Arial" w:hAnsi="Arial"/>
          <w:sz w:val="16"/>
          <w:szCs w:val="16"/>
          <w:b w:val="1"/>
          <w:bCs w:val="1"/>
          <w:i w:val="1"/>
          <w:iCs w:val="1"/>
          <w:color w:val="auto"/>
        </w:rPr>
        <w:t xml:space="preserve">Principal Commercial Funding II. </w:t>
      </w:r>
      <w:r>
        <w:rPr>
          <w:rFonts w:ascii="Arial" w:cs="Arial" w:eastAsia="Arial" w:hAnsi="Arial"/>
          <w:sz w:val="16"/>
          <w:szCs w:val="16"/>
          <w:color w:val="auto"/>
        </w:rPr>
        <w:t>On October 24, 2005, Principal Real Estate Investors and U.S. Bank National Association announced that they</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agreed to create Principal Commercial Funding II, a jointly-owned business that will compete in the commercial mortgage-backed securities (“CMBS”) market. Principal Real Estate Investors is the real estate investment arm of Principal Global Investors. U.S. Bank National Association is the principal banking subsidiary of U.S. Bancorp. The new company is the CMBS platform for both Principal Real Estate Investors and U.S. Bank National Association and focuses on securitizing commercial mortgages originated by both Principal Real Estate Investors and U.S. Bank National Association on its behalf. Principal Commercial Funding II began operations immediately, and began contributing collateral to securitizations during the first quarter of 2006. The operations of Principal Commercial Funding II are reported in our U.S. Asset Management and Accumulation segment using the equity method of accounting.</w:t>
      </w:r>
    </w:p>
    <w:p>
      <w:pPr>
        <w:sectPr>
          <w:pgSz w:w="11900" w:h="16838" w:orient="portrait"/>
          <w:cols w:equalWidth="0" w:num="1">
            <w:col w:w="11420"/>
          </w:cols>
          <w:pgMar w:left="240" w:top="125" w:right="239" w:bottom="0" w:gutter="0" w:footer="0" w:header="0"/>
        </w:sectPr>
      </w:pPr>
    </w:p>
    <w:bookmarkStart w:id="28" w:name="page29"/>
    <w:bookmarkEnd w:id="28"/>
    <w:p>
      <w:pPr>
        <w:ind w:right="160" w:firstLine="648"/>
        <w:spacing w:after="0" w:line="279" w:lineRule="auto"/>
        <w:rPr>
          <w:sz w:val="20"/>
          <w:szCs w:val="20"/>
          <w:color w:val="auto"/>
        </w:rPr>
      </w:pPr>
      <w:r>
        <w:rPr>
          <w:rFonts w:ascii="Arial" w:cs="Arial" w:eastAsia="Arial" w:hAnsi="Arial"/>
          <w:sz w:val="17"/>
          <w:szCs w:val="17"/>
          <w:b w:val="1"/>
          <w:bCs w:val="1"/>
          <w:i w:val="1"/>
          <w:iCs w:val="1"/>
          <w:color w:val="auto"/>
        </w:rPr>
        <w:t xml:space="preserve">CCB-Principal Asset Management Company, Ltd. </w:t>
      </w:r>
      <w:r>
        <w:rPr>
          <w:rFonts w:ascii="Arial" w:cs="Arial" w:eastAsia="Arial" w:hAnsi="Arial"/>
          <w:sz w:val="17"/>
          <w:szCs w:val="17"/>
          <w:color w:val="auto"/>
        </w:rPr>
        <w:t>On August 7, 2005, we announced that we entered into a joint venture agreement with China</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Construction Bank (“CCB”) to market mutual funds in the People’s Republic of China. We closed the transaction on September 19, 2005 with a 25% ownership in CCB-Principal Asset Management Company, Ltd. The operations of CCB-Principal Asset Management Company, Ltd are reported in our International Asset Management and Accumulation segment using the equity method of accounting.</w:t>
      </w:r>
    </w:p>
    <w:p>
      <w:pPr>
        <w:spacing w:after="0" w:line="171"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b w:val="1"/>
          <w:bCs w:val="1"/>
          <w:i w:val="1"/>
          <w:iCs w:val="1"/>
          <w:color w:val="auto"/>
        </w:rPr>
        <w:t xml:space="preserve">PNB Principal Insurance Advisory Company Pvt. Ltd. </w:t>
      </w:r>
      <w:r>
        <w:rPr>
          <w:rFonts w:ascii="Arial" w:cs="Arial" w:eastAsia="Arial" w:hAnsi="Arial"/>
          <w:sz w:val="18"/>
          <w:szCs w:val="18"/>
          <w:color w:val="auto"/>
        </w:rPr>
        <w:t>On February 21, 2005, Principal Financial Group (Mauritius) Ltd. (“PFGM”) acquired a 26%</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stake and management control of PNB Principal Insurance Advisory Company Pvt. Ltd. (“PPIAC”), an insurance brokerage company in India. The operations of PPIAC are reported and consolidated in our International Asset Management and Accumulation segment.</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Dispositions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entered into disposition agreements or disposed of the following business, among others, during 2006 and 2005:</w:t>
      </w:r>
    </w:p>
    <w:p>
      <w:pPr>
        <w:spacing w:after="0" w:line="225" w:lineRule="exact"/>
        <w:rPr>
          <w:sz w:val="20"/>
          <w:szCs w:val="20"/>
          <w:color w:val="auto"/>
        </w:rPr>
      </w:pPr>
    </w:p>
    <w:p>
      <w:pPr>
        <w:jc w:val="both"/>
        <w:ind w:right="540" w:firstLine="648"/>
        <w:spacing w:after="0" w:line="340" w:lineRule="auto"/>
        <w:rPr>
          <w:sz w:val="20"/>
          <w:szCs w:val="20"/>
          <w:color w:val="auto"/>
        </w:rPr>
      </w:pPr>
      <w:r>
        <w:rPr>
          <w:rFonts w:ascii="Arial" w:cs="Arial" w:eastAsia="Arial" w:hAnsi="Arial"/>
          <w:sz w:val="15"/>
          <w:szCs w:val="15"/>
          <w:b w:val="1"/>
          <w:bCs w:val="1"/>
          <w:i w:val="1"/>
          <w:iCs w:val="1"/>
          <w:color w:val="auto"/>
        </w:rPr>
        <w:t xml:space="preserve">ING/Principal Pensions Company Ltd. </w:t>
      </w:r>
      <w:r>
        <w:rPr>
          <w:rFonts w:ascii="Arial" w:cs="Arial" w:eastAsia="Arial" w:hAnsi="Arial"/>
          <w:sz w:val="15"/>
          <w:szCs w:val="15"/>
          <w:color w:val="auto"/>
        </w:rPr>
        <w:t>On May 26, 2005, we announced jointly with our partner, ING, the intent to liquidate the ING/Principal</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Pensions Company, Ltd. operation in Japan. On December 20, 2005, the liquidation process was completed with a formal liquidation filing to the Japanese corporate registry. The results of ING/Principal Pensions Company Ltd. were reported in our International Asset Management and Accumulation segment.</w:t>
      </w:r>
    </w:p>
    <w:p>
      <w:pPr>
        <w:spacing w:after="0" w:line="131" w:lineRule="exact"/>
        <w:rPr>
          <w:sz w:val="20"/>
          <w:szCs w:val="20"/>
          <w:color w:val="auto"/>
        </w:rPr>
      </w:pPr>
    </w:p>
    <w:p>
      <w:pPr>
        <w:ind w:right="20" w:firstLine="648"/>
        <w:spacing w:after="0" w:line="279" w:lineRule="auto"/>
        <w:rPr>
          <w:sz w:val="20"/>
          <w:szCs w:val="20"/>
          <w:color w:val="auto"/>
        </w:rPr>
      </w:pPr>
      <w:r>
        <w:rPr>
          <w:rFonts w:ascii="Arial" w:cs="Arial" w:eastAsia="Arial" w:hAnsi="Arial"/>
          <w:sz w:val="17"/>
          <w:szCs w:val="17"/>
          <w:b w:val="1"/>
          <w:bCs w:val="1"/>
          <w:i w:val="1"/>
          <w:iCs w:val="1"/>
          <w:color w:val="auto"/>
        </w:rPr>
        <w:t xml:space="preserve">Real Estate Investment. </w:t>
      </w:r>
      <w:r>
        <w:rPr>
          <w:rFonts w:ascii="Arial" w:cs="Arial" w:eastAsia="Arial" w:hAnsi="Arial"/>
          <w:sz w:val="17"/>
          <w:szCs w:val="17"/>
          <w:color w:val="auto"/>
        </w:rPr>
        <w:t>On May 25, 2005, we entered into a definitive agreement for the sale of a real estate property previously held for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investment purposes. This property qualifies for discontinued operations treatment under SFAS No. 144, </w:t>
      </w:r>
      <w:r>
        <w:rPr>
          <w:rFonts w:ascii="Arial" w:cs="Arial" w:eastAsia="Arial" w:hAnsi="Arial"/>
          <w:sz w:val="17"/>
          <w:szCs w:val="17"/>
          <w:i w:val="1"/>
          <w:iCs w:val="1"/>
          <w:color w:val="auto"/>
        </w:rPr>
        <w:t xml:space="preserve">Accounting for the Impairment or Disposal of Long-Lived Assets </w:t>
      </w:r>
      <w:r>
        <w:rPr>
          <w:rFonts w:ascii="Arial" w:cs="Arial" w:eastAsia="Arial" w:hAnsi="Arial"/>
          <w:sz w:val="17"/>
          <w:szCs w:val="17"/>
          <w:color w:val="auto"/>
        </w:rPr>
        <w:t>(“SFAS 144”). Therefore, the results of operations have been removed from our results of continuing operations and cash flows for all periods</w:t>
      </w:r>
      <w:r>
        <w:rPr>
          <w:rFonts w:ascii="Arial" w:cs="Arial" w:eastAsia="Arial" w:hAnsi="Arial"/>
          <w:sz w:val="17"/>
          <w:szCs w:val="17"/>
          <w:i w:val="1"/>
          <w:iCs w:val="1"/>
          <w:color w:val="auto"/>
        </w:rPr>
        <w:t xml:space="preserve"> </w:t>
      </w:r>
      <w:r>
        <w:rPr>
          <w:rFonts w:ascii="Arial" w:cs="Arial" w:eastAsia="Arial" w:hAnsi="Arial"/>
          <w:sz w:val="17"/>
          <w:szCs w:val="17"/>
          <w:color w:val="auto"/>
        </w:rPr>
        <w:t>presented. The gain on disposal is reported as an other after-tax adjustment in our Corporate and Other segment.</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Selected financial information for the discontinued operation is as follows:</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720" w:type="dxa"/>
            <w:vAlign w:val="bottom"/>
            <w:gridSpan w:val="4"/>
          </w:tcPr>
          <w:p>
            <w:pPr>
              <w:jc w:val="right"/>
              <w:spacing w:after="0"/>
              <w:rPr>
                <w:sz w:val="20"/>
                <w:szCs w:val="20"/>
                <w:color w:val="auto"/>
              </w:rPr>
            </w:pPr>
            <w:r>
              <w:rPr>
                <w:rFonts w:ascii="Arial" w:cs="Arial" w:eastAsia="Arial" w:hAnsi="Arial"/>
                <w:sz w:val="14"/>
                <w:szCs w:val="14"/>
                <w:b w:val="1"/>
                <w:bCs w:val="1"/>
                <w:color w:val="auto"/>
              </w:rPr>
              <w:t>For the three months</w:t>
            </w: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920" w:type="dxa"/>
            <w:vAlign w:val="bottom"/>
            <w:gridSpan w:val="5"/>
          </w:tcPr>
          <w:p>
            <w:pPr>
              <w:ind w:left="200"/>
              <w:spacing w:after="0"/>
              <w:rPr>
                <w:sz w:val="20"/>
                <w:szCs w:val="20"/>
                <w:color w:val="auto"/>
              </w:rPr>
            </w:pPr>
            <w:r>
              <w:rPr>
                <w:rFonts w:ascii="Arial" w:cs="Arial" w:eastAsia="Arial" w:hAnsi="Arial"/>
                <w:sz w:val="14"/>
                <w:szCs w:val="14"/>
                <w:b w:val="1"/>
                <w:bCs w:val="1"/>
                <w:color w:val="auto"/>
              </w:rPr>
              <w:t>For the six months</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6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720" w:type="dxa"/>
            <w:vAlign w:val="bottom"/>
            <w:gridSpan w:val="4"/>
          </w:tcPr>
          <w:p>
            <w:pPr>
              <w:jc w:val="right"/>
              <w:ind w:right="146"/>
              <w:spacing w:after="0"/>
              <w:rPr>
                <w:sz w:val="20"/>
                <w:szCs w:val="20"/>
                <w:color w:val="auto"/>
              </w:rPr>
            </w:pPr>
            <w:r>
              <w:rPr>
                <w:rFonts w:ascii="Arial" w:cs="Arial" w:eastAsia="Arial" w:hAnsi="Arial"/>
                <w:sz w:val="14"/>
                <w:szCs w:val="14"/>
                <w:b w:val="1"/>
                <w:bCs w:val="1"/>
                <w:color w:val="auto"/>
              </w:rPr>
              <w:t>ended June 30,</w:t>
            </w: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920" w:type="dxa"/>
            <w:vAlign w:val="bottom"/>
            <w:gridSpan w:val="5"/>
          </w:tcPr>
          <w:p>
            <w:pPr>
              <w:ind w:left="320"/>
              <w:spacing w:after="0"/>
              <w:rPr>
                <w:sz w:val="20"/>
                <w:szCs w:val="20"/>
                <w:color w:val="auto"/>
              </w:rPr>
            </w:pPr>
            <w:r>
              <w:rPr>
                <w:rFonts w:ascii="Arial" w:cs="Arial" w:eastAsia="Arial" w:hAnsi="Arial"/>
                <w:sz w:val="14"/>
                <w:szCs w:val="14"/>
                <w:b w:val="1"/>
                <w:bCs w:val="1"/>
                <w:color w:val="auto"/>
              </w:rPr>
              <w:t>ended June 30,</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Borders>
              <w:top w:val="single" w:sz="8" w:color="auto"/>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2006</w:t>
            </w:r>
          </w:p>
        </w:tc>
        <w:tc>
          <w:tcPr>
            <w:tcW w:w="240" w:type="dxa"/>
            <w:vAlign w:val="bottom"/>
            <w:tcBorders>
              <w:top w:val="single" w:sz="8" w:color="auto"/>
              <w:bottom w:val="single" w:sz="8" w:color="auto"/>
            </w:tcBorders>
          </w:tcPr>
          <w:p>
            <w:pPr>
              <w:spacing w:after="0"/>
              <w:rPr>
                <w:sz w:val="11"/>
                <w:szCs w:val="11"/>
                <w:color w:val="auto"/>
              </w:rPr>
            </w:pPr>
          </w:p>
        </w:tc>
        <w:tc>
          <w:tcPr>
            <w:tcW w:w="280" w:type="dxa"/>
            <w:vAlign w:val="bottom"/>
            <w:tcBorders>
              <w:top w:val="single" w:sz="8" w:color="auto"/>
              <w:bottom w:val="single" w:sz="8" w:color="auto"/>
            </w:tcBorders>
          </w:tcPr>
          <w:p>
            <w:pPr>
              <w:spacing w:after="0"/>
              <w:rPr>
                <w:sz w:val="11"/>
                <w:szCs w:val="11"/>
                <w:color w:val="auto"/>
              </w:rPr>
            </w:pPr>
          </w:p>
        </w:tc>
        <w:tc>
          <w:tcPr>
            <w:tcW w:w="900" w:type="dxa"/>
            <w:vAlign w:val="bottom"/>
            <w:tcBorders>
              <w:top w:val="single" w:sz="8" w:color="auto"/>
              <w:bottom w:val="single" w:sz="8" w:color="auto"/>
            </w:tcBorders>
            <w:gridSpan w:val="2"/>
          </w:tcPr>
          <w:p>
            <w:pPr>
              <w:jc w:val="right"/>
              <w:ind w:right="233"/>
              <w:spacing w:after="0" w:line="129" w:lineRule="exact"/>
              <w:rPr>
                <w:sz w:val="20"/>
                <w:szCs w:val="20"/>
                <w:color w:val="auto"/>
              </w:rPr>
            </w:pPr>
            <w:r>
              <w:rPr>
                <w:rFonts w:ascii="Arial" w:cs="Arial" w:eastAsia="Arial" w:hAnsi="Arial"/>
                <w:sz w:val="14"/>
                <w:szCs w:val="14"/>
                <w:b w:val="1"/>
                <w:bCs w:val="1"/>
                <w:color w:val="auto"/>
              </w:rPr>
              <w:t>2005</w:t>
            </w:r>
          </w:p>
        </w:tc>
        <w:tc>
          <w:tcPr>
            <w:tcW w:w="280" w:type="dxa"/>
            <w:vAlign w:val="bottom"/>
            <w:tcBorders>
              <w:bottom w:val="single" w:sz="8" w:color="auto"/>
            </w:tcBorders>
          </w:tcPr>
          <w:p>
            <w:pPr>
              <w:spacing w:after="0"/>
              <w:rPr>
                <w:sz w:val="11"/>
                <w:szCs w:val="11"/>
                <w:color w:val="auto"/>
              </w:rPr>
            </w:pPr>
          </w:p>
        </w:tc>
        <w:tc>
          <w:tcPr>
            <w:tcW w:w="260" w:type="dxa"/>
            <w:vAlign w:val="bottom"/>
            <w:tcBorders>
              <w:top w:val="single" w:sz="8" w:color="auto"/>
              <w:bottom w:val="single" w:sz="8" w:color="auto"/>
            </w:tcBorders>
          </w:tcPr>
          <w:p>
            <w:pPr>
              <w:spacing w:after="0"/>
              <w:rPr>
                <w:sz w:val="11"/>
                <w:szCs w:val="11"/>
                <w:color w:val="auto"/>
              </w:rPr>
            </w:pPr>
          </w:p>
        </w:tc>
        <w:tc>
          <w:tcPr>
            <w:tcW w:w="660" w:type="dxa"/>
            <w:vAlign w:val="bottom"/>
            <w:tcBorders>
              <w:top w:val="single" w:sz="8" w:color="auto"/>
              <w:bottom w:val="single" w:sz="8" w:color="auto"/>
            </w:tcBorders>
          </w:tcPr>
          <w:p>
            <w:pPr>
              <w:ind w:left="40"/>
              <w:spacing w:after="0" w:line="129" w:lineRule="exact"/>
              <w:rPr>
                <w:sz w:val="20"/>
                <w:szCs w:val="20"/>
                <w:color w:val="auto"/>
              </w:rPr>
            </w:pPr>
            <w:r>
              <w:rPr>
                <w:rFonts w:ascii="Arial" w:cs="Arial" w:eastAsia="Arial" w:hAnsi="Arial"/>
                <w:sz w:val="14"/>
                <w:szCs w:val="14"/>
                <w:b w:val="1"/>
                <w:bCs w:val="1"/>
                <w:color w:val="auto"/>
              </w:rPr>
              <w:t>2006</w:t>
            </w:r>
          </w:p>
        </w:tc>
        <w:tc>
          <w:tcPr>
            <w:tcW w:w="260" w:type="dxa"/>
            <w:vAlign w:val="bottom"/>
            <w:tcBorders>
              <w:top w:val="single" w:sz="8" w:color="auto"/>
              <w:bottom w:val="single" w:sz="8" w:color="auto"/>
            </w:tcBorders>
          </w:tcPr>
          <w:p>
            <w:pPr>
              <w:spacing w:after="0"/>
              <w:rPr>
                <w:sz w:val="11"/>
                <w:szCs w:val="11"/>
                <w:color w:val="auto"/>
              </w:rPr>
            </w:pPr>
          </w:p>
        </w:tc>
        <w:tc>
          <w:tcPr>
            <w:tcW w:w="200" w:type="dxa"/>
            <w:vAlign w:val="bottom"/>
            <w:tcBorders>
              <w:top w:val="single" w:sz="8" w:color="auto"/>
              <w:bottom w:val="single" w:sz="8" w:color="auto"/>
            </w:tcBorders>
          </w:tcPr>
          <w:p>
            <w:pPr>
              <w:spacing w:after="0"/>
              <w:rPr>
                <w:sz w:val="11"/>
                <w:szCs w:val="11"/>
                <w:color w:val="auto"/>
              </w:rPr>
            </w:pPr>
          </w:p>
        </w:tc>
        <w:tc>
          <w:tcPr>
            <w:tcW w:w="720" w:type="dxa"/>
            <w:vAlign w:val="bottom"/>
            <w:tcBorders>
              <w:top w:val="single" w:sz="8" w:color="auto"/>
              <w:bottom w:val="single" w:sz="8" w:color="auto"/>
            </w:tcBorders>
          </w:tcPr>
          <w:p>
            <w:pPr>
              <w:jc w:val="right"/>
              <w:ind w:right="233"/>
              <w:spacing w:after="0" w:line="129" w:lineRule="exact"/>
              <w:rPr>
                <w:sz w:val="20"/>
                <w:szCs w:val="20"/>
                <w:color w:val="auto"/>
              </w:rPr>
            </w:pPr>
            <w:r>
              <w:rPr>
                <w:rFonts w:ascii="Arial" w:cs="Arial" w:eastAsia="Arial" w:hAnsi="Arial"/>
                <w:sz w:val="14"/>
                <w:szCs w:val="14"/>
                <w:b w:val="1"/>
                <w:bCs w:val="1"/>
                <w:color w:val="auto"/>
              </w:rPr>
              <w:t>2005</w:t>
            </w: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00" w:type="dxa"/>
            <w:vAlign w:val="bottom"/>
            <w:gridSpan w:val="3"/>
          </w:tcPr>
          <w:p>
            <w:pPr>
              <w:jc w:val="right"/>
              <w:spacing w:after="0" w:line="129" w:lineRule="exact"/>
              <w:rPr>
                <w:sz w:val="20"/>
                <w:szCs w:val="20"/>
                <w:color w:val="auto"/>
              </w:rPr>
            </w:pPr>
            <w:r>
              <w:rPr>
                <w:rFonts w:ascii="Arial" w:cs="Arial" w:eastAsia="Arial" w:hAnsi="Arial"/>
                <w:sz w:val="14"/>
                <w:szCs w:val="14"/>
                <w:b w:val="1"/>
                <w:bCs w:val="1"/>
                <w:color w:val="auto"/>
              </w:rPr>
              <w:t>(in millions)</w:t>
            </w: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Total revenues</w:t>
            </w:r>
          </w:p>
        </w:tc>
        <w:tc>
          <w:tcPr>
            <w:tcW w:w="1400" w:type="dxa"/>
            <w:vAlign w:val="bottom"/>
            <w:gridSpan w:val="2"/>
            <w:shd w:val="clear" w:color="auto" w:fill="CCEEFF"/>
          </w:tcPr>
          <w:p>
            <w:pPr>
              <w:jc w:val="right"/>
              <w:ind w:right="484"/>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ind w:right="386"/>
              <w:spacing w:after="0"/>
              <w:rPr>
                <w:sz w:val="20"/>
                <w:szCs w:val="20"/>
                <w:color w:val="auto"/>
              </w:rPr>
            </w:pPr>
            <w:r>
              <w:rPr>
                <w:rFonts w:ascii="Arial" w:cs="Arial" w:eastAsia="Arial" w:hAnsi="Arial"/>
                <w:sz w:val="15"/>
                <w:szCs w:val="15"/>
                <w:color w:val="auto"/>
                <w:w w:val="71"/>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2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61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Income from discontinued operations:</w:t>
            </w:r>
          </w:p>
        </w:tc>
        <w:tc>
          <w:tcPr>
            <w:tcW w:w="7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ind w:left="160"/>
              <w:spacing w:after="0"/>
              <w:rPr>
                <w:sz w:val="20"/>
                <w:szCs w:val="20"/>
                <w:color w:val="auto"/>
              </w:rPr>
            </w:pPr>
            <w:r>
              <w:rPr>
                <w:rFonts w:ascii="Arial" w:cs="Arial" w:eastAsia="Arial" w:hAnsi="Arial"/>
                <w:sz w:val="18"/>
                <w:szCs w:val="18"/>
                <w:color w:val="auto"/>
              </w:rPr>
              <w:t>Income before income taxes</w:t>
            </w:r>
          </w:p>
        </w:tc>
        <w:tc>
          <w:tcPr>
            <w:tcW w:w="1400" w:type="dxa"/>
            <w:vAlign w:val="bottom"/>
            <w:gridSpan w:val="2"/>
          </w:tcPr>
          <w:p>
            <w:pPr>
              <w:jc w:val="right"/>
              <w:ind w:right="484"/>
              <w:spacing w:after="0"/>
              <w:rPr>
                <w:sz w:val="20"/>
                <w:szCs w:val="20"/>
                <w:color w:val="auto"/>
              </w:rPr>
            </w:pPr>
            <w:r>
              <w:rPr>
                <w:rFonts w:ascii="Arial" w:cs="Arial" w:eastAsia="Arial" w:hAnsi="Arial"/>
                <w:sz w:val="18"/>
                <w:szCs w:val="18"/>
                <w:color w:val="auto"/>
              </w:rPr>
              <w:t>$</w:t>
            </w:r>
          </w:p>
        </w:tc>
        <w:tc>
          <w:tcPr>
            <w:tcW w:w="52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540" w:type="dxa"/>
            <w:vAlign w:val="bottom"/>
          </w:tcPr>
          <w:p>
            <w:pPr>
              <w:jc w:val="right"/>
              <w:ind w:right="386"/>
              <w:spacing w:after="0"/>
              <w:rPr>
                <w:sz w:val="20"/>
                <w:szCs w:val="20"/>
                <w:color w:val="auto"/>
              </w:rPr>
            </w:pPr>
            <w:r>
              <w:rPr>
                <w:rFonts w:ascii="Arial" w:cs="Arial" w:eastAsia="Arial" w:hAnsi="Arial"/>
                <w:sz w:val="15"/>
                <w:szCs w:val="15"/>
                <w:color w:val="auto"/>
                <w:w w:val="71"/>
              </w:rPr>
              <w:t>$</w:t>
            </w:r>
          </w:p>
        </w:tc>
        <w:tc>
          <w:tcPr>
            <w:tcW w:w="360" w:type="dxa"/>
            <w:vAlign w:val="bottom"/>
          </w:tcPr>
          <w:p>
            <w:pPr>
              <w:jc w:val="right"/>
              <w:spacing w:after="0"/>
              <w:rPr>
                <w:sz w:val="20"/>
                <w:szCs w:val="20"/>
                <w:color w:val="auto"/>
              </w:rPr>
            </w:pPr>
            <w:r>
              <w:rPr>
                <w:rFonts w:ascii="Arial" w:cs="Arial" w:eastAsia="Arial" w:hAnsi="Arial"/>
                <w:sz w:val="18"/>
                <w:szCs w:val="18"/>
                <w:color w:val="auto"/>
              </w:rPr>
              <w:t>0.7</w:t>
            </w:r>
          </w:p>
        </w:tc>
        <w:tc>
          <w:tcPr>
            <w:tcW w:w="280" w:type="dxa"/>
            <w:vAlign w:val="bottom"/>
          </w:tcPr>
          <w:p>
            <w:pPr>
              <w:spacing w:after="0"/>
              <w:rPr>
                <w:sz w:val="18"/>
                <w:szCs w:val="18"/>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Income taxes</w:t>
            </w:r>
          </w:p>
        </w:tc>
        <w:tc>
          <w:tcPr>
            <w:tcW w:w="7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120" w:type="dxa"/>
            <w:vAlign w:val="bottom"/>
          </w:tcPr>
          <w:p>
            <w:pPr>
              <w:ind w:left="160"/>
              <w:spacing w:after="0"/>
              <w:rPr>
                <w:sz w:val="20"/>
                <w:szCs w:val="20"/>
                <w:color w:val="auto"/>
              </w:rPr>
            </w:pPr>
            <w:r>
              <w:rPr>
                <w:rFonts w:ascii="Arial" w:cs="Arial" w:eastAsia="Arial" w:hAnsi="Arial"/>
                <w:sz w:val="18"/>
                <w:szCs w:val="18"/>
                <w:color w:val="auto"/>
              </w:rPr>
              <w:t>Income from discontinued operations, net of related income taxes</w:t>
            </w:r>
          </w:p>
        </w:tc>
        <w:tc>
          <w:tcPr>
            <w:tcW w:w="740" w:type="dxa"/>
            <w:vAlign w:val="bottom"/>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ind w:left="60"/>
              <w:spacing w:after="0"/>
              <w:rPr>
                <w:sz w:val="20"/>
                <w:szCs w:val="20"/>
                <w:color w:val="auto"/>
              </w:rPr>
            </w:pPr>
            <w:r>
              <w:rPr>
                <w:rFonts w:ascii="Arial" w:cs="Arial" w:eastAsia="Arial" w:hAnsi="Arial"/>
                <w:sz w:val="18"/>
                <w:szCs w:val="18"/>
                <w:color w:val="auto"/>
                <w:w w:val="88"/>
              </w:rPr>
              <w:t>—</w:t>
            </w:r>
          </w:p>
        </w:tc>
        <w:tc>
          <w:tcPr>
            <w:tcW w:w="280" w:type="dxa"/>
            <w:vAlign w:val="bottom"/>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0.4</w:t>
            </w:r>
          </w:p>
        </w:tc>
        <w:tc>
          <w:tcPr>
            <w:tcW w:w="2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ind w:left="460"/>
              <w:spacing w:after="0"/>
              <w:rPr>
                <w:sz w:val="20"/>
                <w:szCs w:val="20"/>
                <w:color w:val="auto"/>
              </w:rPr>
            </w:pPr>
            <w:r>
              <w:rPr>
                <w:rFonts w:ascii="Arial" w:cs="Arial" w:eastAsia="Arial" w:hAnsi="Arial"/>
                <w:sz w:val="18"/>
                <w:szCs w:val="18"/>
                <w:color w:val="auto"/>
                <w:w w:val="99"/>
              </w:rPr>
              <w:t>—</w:t>
            </w:r>
          </w:p>
        </w:tc>
        <w:tc>
          <w:tcPr>
            <w:tcW w:w="2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Gain on disposal of discontinued operations, net of related income taxes</w:t>
            </w:r>
          </w:p>
        </w:tc>
        <w:tc>
          <w:tcPr>
            <w:tcW w:w="7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1"/>
              </w:rPr>
              <w:t>14.7</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120" w:type="dxa"/>
            <w:vAlign w:val="bottom"/>
          </w:tcPr>
          <w:p>
            <w:pPr>
              <w:spacing w:after="0"/>
              <w:rPr>
                <w:sz w:val="20"/>
                <w:szCs w:val="20"/>
                <w:color w:val="auto"/>
              </w:rPr>
            </w:pPr>
            <w:r>
              <w:rPr>
                <w:rFonts w:ascii="Arial" w:cs="Arial" w:eastAsia="Arial" w:hAnsi="Arial"/>
                <w:sz w:val="18"/>
                <w:szCs w:val="18"/>
                <w:color w:val="auto"/>
              </w:rPr>
              <w:t>Net income</w:t>
            </w:r>
          </w:p>
        </w:tc>
        <w:tc>
          <w:tcPr>
            <w:tcW w:w="740" w:type="dxa"/>
            <w:vAlign w:val="bottom"/>
          </w:tcPr>
          <w:p>
            <w:pPr>
              <w:spacing w:after="0"/>
              <w:rPr>
                <w:sz w:val="18"/>
                <w:szCs w:val="18"/>
                <w:color w:val="auto"/>
              </w:rPr>
            </w:pPr>
          </w:p>
        </w:tc>
        <w:tc>
          <w:tcPr>
            <w:tcW w:w="660" w:type="dxa"/>
            <w:vAlign w:val="bottom"/>
            <w:tcBorders>
              <w:top w:val="single" w:sz="8" w:color="auto"/>
              <w:bottom w:val="single" w:sz="8" w:color="auto"/>
            </w:tcBorders>
          </w:tcPr>
          <w:p>
            <w:pPr>
              <w:jc w:val="right"/>
              <w:ind w:right="484"/>
              <w:spacing w:after="0"/>
              <w:rPr>
                <w:sz w:val="20"/>
                <w:szCs w:val="20"/>
                <w:color w:val="auto"/>
              </w:rPr>
            </w:pPr>
            <w:r>
              <w:rPr>
                <w:rFonts w:ascii="Arial" w:cs="Arial" w:eastAsia="Arial" w:hAnsi="Arial"/>
                <w:sz w:val="18"/>
                <w:szCs w:val="18"/>
                <w:color w:val="auto"/>
                <w:w w:val="79"/>
              </w:rPr>
              <w:t>$</w:t>
            </w:r>
          </w:p>
        </w:tc>
        <w:tc>
          <w:tcPr>
            <w:tcW w:w="2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w w:val="88"/>
              </w:rPr>
              <w:t>—</w:t>
            </w:r>
          </w:p>
        </w:tc>
        <w:tc>
          <w:tcPr>
            <w:tcW w:w="280" w:type="dxa"/>
            <w:vAlign w:val="bottom"/>
          </w:tcPr>
          <w:p>
            <w:pPr>
              <w:spacing w:after="0"/>
              <w:rPr>
                <w:sz w:val="18"/>
                <w:szCs w:val="18"/>
                <w:color w:val="auto"/>
              </w:rPr>
            </w:pPr>
          </w:p>
        </w:tc>
        <w:tc>
          <w:tcPr>
            <w:tcW w:w="540" w:type="dxa"/>
            <w:vAlign w:val="bottom"/>
            <w:tcBorders>
              <w:top w:val="single" w:sz="8" w:color="auto"/>
              <w:bottom w:val="single" w:sz="8" w:color="auto"/>
            </w:tcBorders>
          </w:tcPr>
          <w:p>
            <w:pPr>
              <w:jc w:val="right"/>
              <w:ind w:right="386"/>
              <w:spacing w:after="0"/>
              <w:rPr>
                <w:sz w:val="20"/>
                <w:szCs w:val="20"/>
                <w:color w:val="auto"/>
              </w:rPr>
            </w:pPr>
            <w:r>
              <w:rPr>
                <w:rFonts w:ascii="Arial" w:cs="Arial" w:eastAsia="Arial" w:hAnsi="Arial"/>
                <w:sz w:val="15"/>
                <w:szCs w:val="15"/>
                <w:color w:val="auto"/>
                <w:w w:val="71"/>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1"/>
              </w:rPr>
              <w:t>15.1</w:t>
            </w:r>
          </w:p>
        </w:tc>
        <w:tc>
          <w:tcPr>
            <w:tcW w:w="280" w:type="dxa"/>
            <w:vAlign w:val="bottom"/>
          </w:tcPr>
          <w:p>
            <w:pPr>
              <w:spacing w:after="0"/>
              <w:rPr>
                <w:sz w:val="18"/>
                <w:szCs w:val="18"/>
                <w:color w:val="auto"/>
              </w:rPr>
            </w:pPr>
          </w:p>
        </w:tc>
        <w:tc>
          <w:tcPr>
            <w:tcW w:w="260" w:type="dxa"/>
            <w:vAlign w:val="bottom"/>
            <w:tcBorders>
              <w:top w:val="single" w:sz="8" w:color="auto"/>
              <w:bottom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660" w:type="dxa"/>
            <w:vAlign w:val="bottom"/>
            <w:tcBorders>
              <w:top w:val="single" w:sz="8" w:color="auto"/>
              <w:bottom w:val="single" w:sz="8" w:color="auto"/>
            </w:tcBorders>
          </w:tcPr>
          <w:p>
            <w:pPr>
              <w:ind w:left="460"/>
              <w:spacing w:after="0"/>
              <w:rPr>
                <w:sz w:val="20"/>
                <w:szCs w:val="20"/>
                <w:color w:val="auto"/>
              </w:rPr>
            </w:pPr>
            <w:r>
              <w:rPr>
                <w:rFonts w:ascii="Arial" w:cs="Arial" w:eastAsia="Arial" w:hAnsi="Arial"/>
                <w:sz w:val="18"/>
                <w:szCs w:val="18"/>
                <w:color w:val="auto"/>
                <w:w w:val="99"/>
              </w:rPr>
              <w:t>—</w:t>
            </w:r>
          </w:p>
        </w:tc>
        <w:tc>
          <w:tcPr>
            <w:tcW w:w="26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15.6</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Fluctuations in Foreign Currency to U.S. Dollar Exchange Rates</w:t>
      </w:r>
    </w:p>
    <w:p>
      <w:pPr>
        <w:spacing w:after="0" w:line="229" w:lineRule="exact"/>
        <w:rPr>
          <w:sz w:val="20"/>
          <w:szCs w:val="20"/>
          <w:color w:val="auto"/>
        </w:rPr>
      </w:pPr>
    </w:p>
    <w:p>
      <w:pPr>
        <w:ind w:right="120" w:firstLine="648"/>
        <w:spacing w:after="0" w:line="286" w:lineRule="auto"/>
        <w:rPr>
          <w:sz w:val="20"/>
          <w:szCs w:val="20"/>
          <w:color w:val="auto"/>
        </w:rPr>
      </w:pPr>
      <w:r>
        <w:rPr>
          <w:rFonts w:ascii="Arial" w:cs="Arial" w:eastAsia="Arial" w:hAnsi="Arial"/>
          <w:sz w:val="17"/>
          <w:szCs w:val="17"/>
          <w:color w:val="auto"/>
        </w:rPr>
        <w:t>Fluctuations in foreign currency to U.S. dollar exchange rates for countries in which we have operations can affect reported financial results. In years when foreign currencies weaken against the U.S. dollar, translating foreign currencies into U.S. dollars results in fewer U.S. dollars to be reported. When foreign currencies strengthen, translating foreign currencies into U.S. dollars results in more U.S. dollars to be reported.</w:t>
      </w:r>
    </w:p>
    <w:p>
      <w:pPr>
        <w:spacing w:after="0" w:line="166" w:lineRule="exact"/>
        <w:rPr>
          <w:sz w:val="20"/>
          <w:szCs w:val="20"/>
          <w:color w:val="auto"/>
        </w:rPr>
      </w:pPr>
    </w:p>
    <w:p>
      <w:pPr>
        <w:ind w:right="40" w:firstLine="648"/>
        <w:spacing w:after="0" w:line="276" w:lineRule="auto"/>
        <w:rPr>
          <w:sz w:val="20"/>
          <w:szCs w:val="20"/>
          <w:color w:val="auto"/>
        </w:rPr>
      </w:pPr>
      <w:r>
        <w:rPr>
          <w:rFonts w:ascii="Arial" w:cs="Arial" w:eastAsia="Arial" w:hAnsi="Arial"/>
          <w:sz w:val="17"/>
          <w:szCs w:val="17"/>
          <w:color w:val="auto"/>
        </w:rPr>
        <w:t>Foreign currency exchange rate fluctuations create variances in our financial statement line items but have not had a material impact on our consolidated income from continuing operations. Our consolidated income from continuing operations was positively impacted by $1.0 million and $1.1 million for the three months ended June 30, 2006 and 2005, respectively, and positively impacted $3.4 million and $1.4 million for the six months ended June 30, 2006 and 2005, respectively, as a result of fluctuations in foreign currency to U.S. dollar exchange rates. For a discussion of our approaches to foreign currency exchange rate risk, see Item 3. “Quantitative and Qualitative Disclosures about Market Risk.”</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 Plans</w:t>
      </w:r>
    </w:p>
    <w:p>
      <w:pPr>
        <w:spacing w:after="0" w:line="229" w:lineRule="exact"/>
        <w:rPr>
          <w:sz w:val="20"/>
          <w:szCs w:val="20"/>
          <w:color w:val="auto"/>
        </w:rPr>
      </w:pPr>
    </w:p>
    <w:p>
      <w:pPr>
        <w:ind w:right="40" w:firstLine="648"/>
        <w:spacing w:after="0" w:line="272" w:lineRule="auto"/>
        <w:rPr>
          <w:sz w:val="20"/>
          <w:szCs w:val="20"/>
          <w:color w:val="auto"/>
        </w:rPr>
      </w:pPr>
      <w:r>
        <w:rPr>
          <w:rFonts w:ascii="Arial" w:cs="Arial" w:eastAsia="Arial" w:hAnsi="Arial"/>
          <w:sz w:val="17"/>
          <w:szCs w:val="17"/>
          <w:color w:val="auto"/>
        </w:rPr>
        <w:t>As of June 30, 2006, we have the 2005 Stock Incentive Plan, the Employee Stock Purchase Plan, the 2005 Directors Stock Plan, the Stock Incentive Plan, the Directors Stock Plan and the Long-Term Performance Plan. As of May 17, 2005, no new grants will be made under the Stock Incentive Plan, the Directors Stock Plan or the Long-Term Performance Plan (“Stock-Based Compensation Plans”). Under the terms of the 2005 Stock Incentive Plan, grants may be nonqualified stock options, incentive stock options qualifying under Section 422 of the Internal Revenue Code, restricted stock, restricted stock units, stock appreciation rights, performance shares, performance units, or other stock based awards. The 2005 Directors Stock Plan provides for the grant of nonqualified stock options, restricted stock, restricted stock units, or other stock-based awards to our nonemployee directors. To date, we have not granted any incentive stock options, restricted stock or performance units.</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180" w:firstLine="648"/>
        <w:spacing w:after="0" w:line="327" w:lineRule="auto"/>
        <w:rPr>
          <w:sz w:val="20"/>
          <w:szCs w:val="20"/>
          <w:color w:val="auto"/>
        </w:rPr>
      </w:pPr>
      <w:r>
        <w:rPr>
          <w:rFonts w:ascii="Arial" w:cs="Arial" w:eastAsia="Arial" w:hAnsi="Arial"/>
          <w:sz w:val="15"/>
          <w:szCs w:val="15"/>
          <w:color w:val="auto"/>
        </w:rPr>
        <w:t>The compensation cost that was charged against income for the Stock-Based Compensation Plans was $15.9 million and $12.2 million, and the related income tax benefit recognized in the income statement was $5.2 million and $3.9 million for the three months ended June 30, 2006 and 2005, respectively. The compensation cost that was charged against income for the Stock-Based Compensation Plans was $27.5 million and $19.5 million, and the related income tax benefit recognized in the income statement was $8.5 million and $6.0 million for the six months ended June 30, 2006 and 2005, respectively. For awards with</w:t>
      </w:r>
    </w:p>
    <w:p>
      <w:pPr>
        <w:sectPr>
          <w:pgSz w:w="11900" w:h="16838" w:orient="portrait"/>
          <w:cols w:equalWidth="0" w:num="1">
            <w:col w:w="11420"/>
          </w:cols>
          <w:pgMar w:left="240" w:top="125" w:right="239" w:bottom="0" w:gutter="0" w:footer="0" w:header="0"/>
        </w:sectPr>
      </w:pPr>
    </w:p>
    <w:bookmarkStart w:id="29" w:name="page30"/>
    <w:bookmarkEnd w:id="29"/>
    <w:p>
      <w:pPr>
        <w:spacing w:after="0" w:line="73" w:lineRule="exact"/>
        <w:rPr>
          <w:sz w:val="20"/>
          <w:szCs w:val="20"/>
          <w:color w:val="auto"/>
        </w:rPr>
      </w:pPr>
    </w:p>
    <w:p>
      <w:pPr>
        <w:ind w:right="20"/>
        <w:spacing w:after="0" w:line="381" w:lineRule="auto"/>
        <w:rPr>
          <w:sz w:val="20"/>
          <w:szCs w:val="20"/>
          <w:color w:val="auto"/>
        </w:rPr>
      </w:pPr>
      <w:r>
        <w:rPr>
          <w:rFonts w:ascii="Arial" w:cs="Arial" w:eastAsia="Arial" w:hAnsi="Arial"/>
          <w:sz w:val="15"/>
          <w:szCs w:val="15"/>
          <w:color w:val="auto"/>
        </w:rPr>
        <w:t>graded vesting, we use an accelerated expense attribution method. The total compensation cost capitalized as part of the cost of an asset was $0.9 million and $0.5 million for the three months ended June 30, 2006 and 2005 and $1.8 million and $0.7 million for the six months ended June 30, 2006 and 2005, respectively.</w:t>
      </w:r>
    </w:p>
    <w:p>
      <w:pPr>
        <w:spacing w:after="0" w:line="101" w:lineRule="exact"/>
        <w:rPr>
          <w:sz w:val="20"/>
          <w:szCs w:val="20"/>
          <w:color w:val="auto"/>
        </w:rPr>
      </w:pPr>
    </w:p>
    <w:p>
      <w:pPr>
        <w:ind w:firstLine="648"/>
        <w:spacing w:after="0" w:line="297" w:lineRule="auto"/>
        <w:rPr>
          <w:sz w:val="20"/>
          <w:szCs w:val="20"/>
          <w:color w:val="auto"/>
        </w:rPr>
      </w:pPr>
      <w:r>
        <w:rPr>
          <w:rFonts w:ascii="Arial" w:cs="Arial" w:eastAsia="Arial" w:hAnsi="Arial"/>
          <w:sz w:val="16"/>
          <w:szCs w:val="16"/>
          <w:color w:val="auto"/>
        </w:rPr>
        <w:t>Beginning in 2006, we granted performance share awards to certain employees. The performance share awards are treated as an equity award and are paid in shares. Whether the performance shares are earned depends upon the participant’s continued employment through the performance period and our performance against three-year goals set at the beginning of the performance period. A return on equity objective and an earnings per share objective must be achieved for any of the performance shares to be earned. If the performance requirements are not met, the performance shares will be forfeited and no compensation cost is recognized and any previously recognized compensation cost is reversed. There is no maximum contractual term on these awards.</w:t>
      </w:r>
    </w:p>
    <w:p>
      <w:pPr>
        <w:spacing w:after="0" w:line="158"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The total compensation cost related to nonvested awards not yet recognized is $47.2 million. This compensation cost is expected to be recognized over a weighted average period of approximately 2 years.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Pension and 401(k) Benefit Expense</w:t>
      </w:r>
    </w:p>
    <w:p>
      <w:pPr>
        <w:spacing w:after="0" w:line="229" w:lineRule="exact"/>
        <w:rPr>
          <w:sz w:val="20"/>
          <w:szCs w:val="20"/>
          <w:color w:val="auto"/>
        </w:rPr>
      </w:pPr>
    </w:p>
    <w:p>
      <w:pPr>
        <w:ind w:firstLine="648"/>
        <w:spacing w:after="0" w:line="297" w:lineRule="auto"/>
        <w:rPr>
          <w:sz w:val="20"/>
          <w:szCs w:val="20"/>
          <w:color w:val="auto"/>
        </w:rPr>
      </w:pPr>
      <w:r>
        <w:rPr>
          <w:rFonts w:ascii="Arial" w:cs="Arial" w:eastAsia="Arial" w:hAnsi="Arial"/>
          <w:sz w:val="16"/>
          <w:szCs w:val="16"/>
          <w:color w:val="auto"/>
        </w:rPr>
        <w:t>Effective January 1, 2006, we made changes to our retirement program, including the Principal Select Savings Plan (“401(k) Plan”) and the Principal Pension Plan (“Pension Plan”) and the corresponding nonqualified plans. The qualified and nonqualified Pension Plans’ changes include a reduction to the traditional and cash balance formulas, a change in the early retirement factors, and the removal of the cost of living adjustments for traditional benefits earned after January 1, 2006. The qualified and nonqualified 401(k) Plans’ company match increased from 50 percent of a 6 percent deferral to 75 percent of an 8 percent deferral. The Pension Plan changes reduced the Pension Plan expense in 2006, while the 401(k) changes increased the 401(k) expense.</w:t>
      </w:r>
    </w:p>
    <w:p>
      <w:pPr>
        <w:spacing w:after="0" w:line="158" w:lineRule="exact"/>
        <w:rPr>
          <w:sz w:val="20"/>
          <w:szCs w:val="20"/>
          <w:color w:val="auto"/>
        </w:rPr>
      </w:pPr>
    </w:p>
    <w:p>
      <w:pPr>
        <w:ind w:right="140" w:firstLine="648"/>
        <w:spacing w:after="0" w:line="312" w:lineRule="auto"/>
        <w:rPr>
          <w:sz w:val="20"/>
          <w:szCs w:val="20"/>
          <w:color w:val="auto"/>
        </w:rPr>
      </w:pPr>
      <w:r>
        <w:rPr>
          <w:rFonts w:ascii="Arial" w:cs="Arial" w:eastAsia="Arial" w:hAnsi="Arial"/>
          <w:sz w:val="15"/>
          <w:szCs w:val="15"/>
          <w:color w:val="auto"/>
        </w:rPr>
        <w:t>The 2006 pension expense for substantially all of our employees and certain agents is expected to be approximately $34.6 million. This is a decrease of $14.0 million over the 2005 pension expense. This decrease is due to the reduction in the Pension Plan formulas and asset performance in excess of our 8.5% long-term assumption. Partially offsetting this was an increase attributable to the use of a lower discount rate and lower long-term asset return assumption. Approximately $8.7 million and $17.3 million of pre-tax pension expense was reflected in the determination of net income for the three and six months ended June 30, 2006, respectively. In addition, approximately $8.6 million of pre-tax pension expense will be reflected in each of the following two quarters for 2006. The discount rate used to develop the 2006 expense was lowered to 5.75%, from the 6.0% discount rate used to develop the 2005 expense. The long-term asset assumption was also lowered to 8.25%, from the 8.50% assumption used to develop the 2005 expense. The 2006 decrease in pension expense is expected to be offset by a $19.7 million increase in the qualified and nonqualified 401(k) Plans’ company matching expense resulting from the January 1, 2006 changes.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229" w:lineRule="exact"/>
        <w:rPr>
          <w:sz w:val="20"/>
          <w:szCs w:val="20"/>
          <w:color w:val="auto"/>
        </w:rPr>
      </w:pPr>
    </w:p>
    <w:p>
      <w:pPr>
        <w:ind w:right="100" w:firstLine="648"/>
        <w:spacing w:after="0" w:line="289" w:lineRule="auto"/>
        <w:rPr>
          <w:sz w:val="20"/>
          <w:szCs w:val="20"/>
          <w:color w:val="auto"/>
        </w:rPr>
      </w:pPr>
      <w:r>
        <w:rPr>
          <w:rFonts w:ascii="Arial" w:cs="Arial" w:eastAsia="Arial" w:hAnsi="Arial"/>
          <w:sz w:val="16"/>
          <w:szCs w:val="16"/>
          <w:color w:val="auto"/>
        </w:rPr>
        <w:t xml:space="preserve">On July 13, 2006, the Financial Accounting Standards Board (the “FASB”) issued FASB Interpretation (“FIN”) No. 48, </w:t>
      </w:r>
      <w:r>
        <w:rPr>
          <w:rFonts w:ascii="Arial" w:cs="Arial" w:eastAsia="Arial" w:hAnsi="Arial"/>
          <w:sz w:val="16"/>
          <w:szCs w:val="16"/>
          <w:i w:val="1"/>
          <w:iCs w:val="1"/>
          <w:color w:val="auto"/>
        </w:rPr>
        <w:t>Accounting for Uncertainty</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in Income Taxes </w:t>
      </w:r>
      <w:r>
        <w:rPr>
          <w:rFonts w:ascii="Arial" w:cs="Arial" w:eastAsia="Arial" w:hAnsi="Arial"/>
          <w:sz w:val="16"/>
          <w:szCs w:val="16"/>
          <w:color w:val="auto"/>
        </w:rPr>
        <w:t>(“FIN 48”). FIN 48, which is an interpretation of Statement of Financial Accounting Standards (“SFAS”) No. 109,</w:t>
      </w:r>
      <w:r>
        <w:rPr>
          <w:rFonts w:ascii="Arial" w:cs="Arial" w:eastAsia="Arial" w:hAnsi="Arial"/>
          <w:sz w:val="16"/>
          <w:szCs w:val="16"/>
          <w:i w:val="1"/>
          <w:iCs w:val="1"/>
          <w:color w:val="auto"/>
        </w:rPr>
        <w:t xml:space="preserve"> Accounting for Income Taxes</w:t>
      </w:r>
      <w:r>
        <w:rPr>
          <w:rFonts w:ascii="Arial" w:cs="Arial" w:eastAsia="Arial" w:hAnsi="Arial"/>
          <w:sz w:val="16"/>
          <w:szCs w:val="16"/>
          <w:color w:val="auto"/>
        </w:rPr>
        <w:t>, prescribes a recognition threshold and measurement attribute for the financial statement recognition and measurement of a tax position taken, or</w:t>
      </w:r>
      <w:r>
        <w:rPr>
          <w:rFonts w:ascii="Arial" w:cs="Arial" w:eastAsia="Arial" w:hAnsi="Arial"/>
          <w:sz w:val="16"/>
          <w:szCs w:val="16"/>
          <w:i w:val="1"/>
          <w:iCs w:val="1"/>
          <w:color w:val="auto"/>
        </w:rPr>
        <w:t xml:space="preserve"> </w:t>
      </w:r>
      <w:r>
        <w:rPr>
          <w:rFonts w:ascii="Arial" w:cs="Arial" w:eastAsia="Arial" w:hAnsi="Arial"/>
          <w:sz w:val="16"/>
          <w:szCs w:val="16"/>
          <w:color w:val="auto"/>
        </w:rPr>
        <w:t>expected to be taken, in a tax return. FIN 48 requires the affirmative evaluation that it is more likely than not, based on the technical merits of a tax position, that an enterprise is entitled to economic benefits resulting from positions taken in income tax returns. If a tax position does not meet the more-likely-than-not recognition threshold, the benefit of that position is not recognized in the financial statements. FIN 48 also requires companies to disclose additional quantitative and qualitative information in their financial statements about uncertain tax positions. FIN 48 is effective for fiscal years beginning after December 15, 2006, and the cumulative effect of applying this Interpretation shall be reported as an adjustment to the opening balance of retained earnings for that fiscal year. FIN 48 is not expected to have a material impact on our consolidated financial statements.</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80" w:firstLine="648"/>
        <w:spacing w:after="0" w:line="269" w:lineRule="auto"/>
        <w:rPr>
          <w:sz w:val="20"/>
          <w:szCs w:val="20"/>
          <w:color w:val="auto"/>
        </w:rPr>
      </w:pPr>
      <w:r>
        <w:rPr>
          <w:rFonts w:ascii="Arial" w:cs="Arial" w:eastAsia="Arial" w:hAnsi="Arial"/>
          <w:sz w:val="17"/>
          <w:szCs w:val="17"/>
          <w:color w:val="auto"/>
        </w:rPr>
        <w:t xml:space="preserve">On March 17, 2006, the FASB issued SFAS No. 156, </w:t>
      </w:r>
      <w:r>
        <w:rPr>
          <w:rFonts w:ascii="Arial" w:cs="Arial" w:eastAsia="Arial" w:hAnsi="Arial"/>
          <w:sz w:val="17"/>
          <w:szCs w:val="17"/>
          <w:i w:val="1"/>
          <w:iCs w:val="1"/>
          <w:color w:val="auto"/>
        </w:rPr>
        <w:t>Accounting for Servicing of Financial Assets</w:t>
      </w:r>
      <w:r>
        <w:rPr>
          <w:rFonts w:ascii="Arial" w:cs="Arial" w:eastAsia="Arial" w:hAnsi="Arial"/>
          <w:sz w:val="17"/>
          <w:szCs w:val="17"/>
          <w:color w:val="auto"/>
        </w:rPr>
        <w:t xml:space="preserve"> (“SFAS 156”), which amends SFAS No. 140, </w:t>
      </w:r>
      <w:r>
        <w:rPr>
          <w:rFonts w:ascii="Arial" w:cs="Arial" w:eastAsia="Arial" w:hAnsi="Arial"/>
          <w:sz w:val="17"/>
          <w:szCs w:val="17"/>
          <w:i w:val="1"/>
          <w:iCs w:val="1"/>
          <w:color w:val="auto"/>
        </w:rPr>
        <w:t xml:space="preserve">Accounting for Transfers and Servicing of Financial Assets and Extinguishments of Liabilities </w:t>
      </w:r>
      <w:r>
        <w:rPr>
          <w:rFonts w:ascii="Arial" w:cs="Arial" w:eastAsia="Arial" w:hAnsi="Arial"/>
          <w:sz w:val="17"/>
          <w:szCs w:val="17"/>
          <w:color w:val="auto"/>
        </w:rPr>
        <w:t>(“SFAS 140”). This Statement (1) requires an entity to</w:t>
      </w:r>
      <w:r>
        <w:rPr>
          <w:rFonts w:ascii="Arial" w:cs="Arial" w:eastAsia="Arial" w:hAnsi="Arial"/>
          <w:sz w:val="17"/>
          <w:szCs w:val="17"/>
          <w:i w:val="1"/>
          <w:iCs w:val="1"/>
          <w:color w:val="auto"/>
        </w:rPr>
        <w:t xml:space="preserve"> </w:t>
      </w:r>
      <w:r>
        <w:rPr>
          <w:rFonts w:ascii="Arial" w:cs="Arial" w:eastAsia="Arial" w:hAnsi="Arial"/>
          <w:sz w:val="17"/>
          <w:szCs w:val="17"/>
          <w:color w:val="auto"/>
        </w:rPr>
        <w:t>recognize a servicing asset or liability each time it undertakes an obligation to service a financial asset by entering into a servicing contract in specified situations, (2) requires all separately recognized servicing assets and liabilities to be initially measured at fair value, (3) for subsequent measurement of each class of separately recognized servicing assets and liabilities, an entity can elect either the amortization or fair value measurement method, (4) permits a one-time reclassification of available-for-sale (“AFS”) securities to trading securities by an entity with recognized servicing rights, without calling into question the treatment of other AFS securities, provided the AFS securities are identified in some manner as offsetting the entity’s exposure to changes in fair value of servicing assets or liabilities that a servicer elects to subsequently measure at fair value, and (5) requires separate presentation of servicing assets and liabilities measured at fair value in the statement of financial position and also requires additional disclosures. The initial measurement requirements of this statement should be applied prospectively to all transactions entered into after the fiscal year beginning after September 15, 2006. The election related to the subsequent measurement of servicing assets and liabilities is also effective the first fiscal year beginning after September 15, 2006. SFAS 156 is not expected to have a material impact on our consolidated financial statements.</w:t>
      </w:r>
    </w:p>
    <w:p>
      <w:pPr>
        <w:spacing w:after="0" w:line="180" w:lineRule="exact"/>
        <w:rPr>
          <w:sz w:val="20"/>
          <w:szCs w:val="20"/>
          <w:color w:val="auto"/>
        </w:rPr>
      </w:pPr>
    </w:p>
    <w:p>
      <w:pPr>
        <w:ind w:right="140" w:firstLine="648"/>
        <w:spacing w:after="0" w:line="269" w:lineRule="auto"/>
        <w:rPr>
          <w:sz w:val="20"/>
          <w:szCs w:val="20"/>
          <w:color w:val="auto"/>
        </w:rPr>
      </w:pPr>
      <w:r>
        <w:rPr>
          <w:rFonts w:ascii="Arial" w:cs="Arial" w:eastAsia="Arial" w:hAnsi="Arial"/>
          <w:sz w:val="17"/>
          <w:szCs w:val="17"/>
          <w:color w:val="auto"/>
        </w:rPr>
        <w:t xml:space="preserve">On February 16, 2006, the FASB issued SFAS No. 155, </w:t>
      </w:r>
      <w:r>
        <w:rPr>
          <w:rFonts w:ascii="Arial" w:cs="Arial" w:eastAsia="Arial" w:hAnsi="Arial"/>
          <w:sz w:val="17"/>
          <w:szCs w:val="17"/>
          <w:i w:val="1"/>
          <w:iCs w:val="1"/>
          <w:color w:val="auto"/>
        </w:rPr>
        <w:t>Accounting for Certain Hybrid Financial Instruments – an amendment of FASB Statements</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No. 133 and 140 </w:t>
      </w:r>
      <w:r>
        <w:rPr>
          <w:rFonts w:ascii="Arial" w:cs="Arial" w:eastAsia="Arial" w:hAnsi="Arial"/>
          <w:sz w:val="17"/>
          <w:szCs w:val="17"/>
          <w:color w:val="auto"/>
        </w:rPr>
        <w:t>(“SFAS 155”), which amends SFAS No. 133,</w:t>
      </w:r>
      <w:r>
        <w:rPr>
          <w:rFonts w:ascii="Arial" w:cs="Arial" w:eastAsia="Arial" w:hAnsi="Arial"/>
          <w:sz w:val="17"/>
          <w:szCs w:val="17"/>
          <w:i w:val="1"/>
          <w:iCs w:val="1"/>
          <w:color w:val="auto"/>
        </w:rPr>
        <w:t xml:space="preserve"> Accounting for Derivative Instruments and Hedging Activities </w:t>
      </w:r>
      <w:r>
        <w:rPr>
          <w:rFonts w:ascii="Arial" w:cs="Arial" w:eastAsia="Arial" w:hAnsi="Arial"/>
          <w:sz w:val="17"/>
          <w:szCs w:val="17"/>
          <w:color w:val="auto"/>
        </w:rPr>
        <w:t>(“SFAS 133”) and SFAS 140.</w:t>
      </w:r>
      <w:r>
        <w:rPr>
          <w:rFonts w:ascii="Arial" w:cs="Arial" w:eastAsia="Arial" w:hAnsi="Arial"/>
          <w:sz w:val="17"/>
          <w:szCs w:val="17"/>
          <w:i w:val="1"/>
          <w:iCs w:val="1"/>
          <w:color w:val="auto"/>
        </w:rPr>
        <w:t xml:space="preserve"> </w:t>
      </w:r>
      <w:r>
        <w:rPr>
          <w:rFonts w:ascii="Arial" w:cs="Arial" w:eastAsia="Arial" w:hAnsi="Arial"/>
          <w:sz w:val="17"/>
          <w:szCs w:val="17"/>
          <w:color w:val="auto"/>
        </w:rPr>
        <w:t>SFAS 155 (1) permits fair value remeasurement for any hybrid financial instrument that contains an embedded derivative that otherwise would require bifurcation, (2) clarifies which interest-only and principal-only strips are not subject to the requirements of SFAS 133, (3) establishes a requirement to evaluate interests in securitized financial assets to identify interests that are freestanding derivatives or that are hybrid financial instruments that contain an embedded derivative requiring bifurcation, (4) clarifies that concentrations of credit risk in the form of subordination are not embedded derivatives, and (5) amends SFAS 140 to eliminate the prohibition on a qualifying special-purpose entity from holding a derivative financial instrument that pertains to a beneficial interest other than another derivative financial instrument. This Statement is effective for all financial instruments acquired or issued after the beginning of an entity’s fiscal year that begins after September 15, 2006. At adoption, the fair value election may also be applied to hybrid financial instruments that have been bifurcated under SFAS 133 prior to adoption of this Statement. Any changes resulting from the adoption of this Statement should be recognized as a cumulative effect adjustment to beginning retained earnings. SFAS 155 is not expected to have a material impact on our consolidated financial statements.</w:t>
      </w:r>
    </w:p>
    <w:p>
      <w:pPr>
        <w:spacing w:after="0" w:line="180" w:lineRule="exact"/>
        <w:rPr>
          <w:sz w:val="20"/>
          <w:szCs w:val="20"/>
          <w:color w:val="auto"/>
        </w:rPr>
      </w:pPr>
    </w:p>
    <w:p>
      <w:pPr>
        <w:ind w:right="80" w:firstLine="648"/>
        <w:spacing w:after="0" w:line="312" w:lineRule="auto"/>
        <w:rPr>
          <w:sz w:val="20"/>
          <w:szCs w:val="20"/>
          <w:color w:val="auto"/>
        </w:rPr>
      </w:pPr>
      <w:r>
        <w:rPr>
          <w:rFonts w:ascii="Arial" w:cs="Arial" w:eastAsia="Arial" w:hAnsi="Arial"/>
          <w:sz w:val="16"/>
          <w:szCs w:val="16"/>
          <w:color w:val="auto"/>
        </w:rPr>
        <w:t xml:space="preserve">On December 16, 2004, the FASB issued SFAS No. 123 (revised 2004), </w:t>
      </w:r>
      <w:r>
        <w:rPr>
          <w:rFonts w:ascii="Arial" w:cs="Arial" w:eastAsia="Arial" w:hAnsi="Arial"/>
          <w:sz w:val="16"/>
          <w:szCs w:val="16"/>
          <w:i w:val="1"/>
          <w:iCs w:val="1"/>
          <w:color w:val="auto"/>
        </w:rPr>
        <w:t>Share-Based Payment</w:t>
      </w:r>
      <w:r>
        <w:rPr>
          <w:rFonts w:ascii="Arial" w:cs="Arial" w:eastAsia="Arial" w:hAnsi="Arial"/>
          <w:sz w:val="16"/>
          <w:szCs w:val="16"/>
          <w:color w:val="auto"/>
        </w:rPr>
        <w:t xml:space="preserve"> (“SFAS 123R”). SFAS 123R requires all share-based payments to employees to be recognized at fair value in the financial statements. SFAS 123R replaces SFAS No. 123, </w:t>
      </w:r>
      <w:r>
        <w:rPr>
          <w:rFonts w:ascii="Arial" w:cs="Arial" w:eastAsia="Arial" w:hAnsi="Arial"/>
          <w:sz w:val="16"/>
          <w:szCs w:val="16"/>
          <w:i w:val="1"/>
          <w:iCs w:val="1"/>
          <w:color w:val="auto"/>
        </w:rPr>
        <w:t>Accounting for Stock-Based</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Compensation </w:t>
      </w:r>
      <w:r>
        <w:rPr>
          <w:rFonts w:ascii="Arial" w:cs="Arial" w:eastAsia="Arial" w:hAnsi="Arial"/>
          <w:sz w:val="16"/>
          <w:szCs w:val="16"/>
          <w:color w:val="auto"/>
        </w:rPr>
        <w:t>(“SFAS 123”), supersedes APB Opinion No. 25,</w:t>
      </w:r>
      <w:r>
        <w:rPr>
          <w:rFonts w:ascii="Arial" w:cs="Arial" w:eastAsia="Arial" w:hAnsi="Arial"/>
          <w:sz w:val="16"/>
          <w:szCs w:val="16"/>
          <w:i w:val="1"/>
          <w:iCs w:val="1"/>
          <w:color w:val="auto"/>
        </w:rPr>
        <w:t xml:space="preserve"> Accounting for Stock Issued to Employees </w:t>
      </w:r>
      <w:r>
        <w:rPr>
          <w:rFonts w:ascii="Arial" w:cs="Arial" w:eastAsia="Arial" w:hAnsi="Arial"/>
          <w:sz w:val="16"/>
          <w:szCs w:val="16"/>
          <w:color w:val="auto"/>
        </w:rPr>
        <w:t>(“APB 25”), and SFAS No. 148,</w:t>
      </w:r>
      <w:r>
        <w:rPr>
          <w:rFonts w:ascii="Arial" w:cs="Arial" w:eastAsia="Arial" w:hAnsi="Arial"/>
          <w:sz w:val="16"/>
          <w:szCs w:val="16"/>
          <w:i w:val="1"/>
          <w:iCs w:val="1"/>
          <w:color w:val="auto"/>
        </w:rPr>
        <w:t xml:space="preserve"> Accounting for</w:t>
      </w:r>
    </w:p>
    <w:p>
      <w:pPr>
        <w:sectPr>
          <w:pgSz w:w="11900" w:h="16912" w:orient="portrait"/>
          <w:cols w:equalWidth="0" w:num="1">
            <w:col w:w="11420"/>
          </w:cols>
          <w:pgMar w:left="240" w:top="125" w:right="239" w:bottom="0" w:gutter="0" w:footer="0" w:header="0"/>
        </w:sectPr>
      </w:pPr>
    </w:p>
    <w:bookmarkStart w:id="30" w:name="page31"/>
    <w:bookmarkEnd w:id="30"/>
    <w:p>
      <w:pPr>
        <w:ind w:right="200"/>
        <w:spacing w:after="0" w:line="264" w:lineRule="auto"/>
        <w:rPr>
          <w:sz w:val="20"/>
          <w:szCs w:val="20"/>
          <w:color w:val="auto"/>
        </w:rPr>
      </w:pPr>
      <w:r>
        <w:rPr>
          <w:rFonts w:ascii="Arial" w:cs="Arial" w:eastAsia="Arial" w:hAnsi="Arial"/>
          <w:sz w:val="18"/>
          <w:szCs w:val="18"/>
          <w:i w:val="1"/>
          <w:iCs w:val="1"/>
          <w:color w:val="auto"/>
        </w:rPr>
        <w:t xml:space="preserve">Stock-Based Compensation-Transition and Disclosure - an Amendment of FASB Statement No. 123 </w:t>
      </w:r>
      <w:r>
        <w:rPr>
          <w:rFonts w:ascii="Arial" w:cs="Arial" w:eastAsia="Arial" w:hAnsi="Arial"/>
          <w:sz w:val="18"/>
          <w:szCs w:val="18"/>
          <w:color w:val="auto"/>
        </w:rPr>
        <w:t>and amends SFAS No. 95,</w:t>
      </w:r>
      <w:r>
        <w:rPr>
          <w:rFonts w:ascii="Arial" w:cs="Arial" w:eastAsia="Arial" w:hAnsi="Arial"/>
          <w:sz w:val="18"/>
          <w:szCs w:val="18"/>
          <w:i w:val="1"/>
          <w:iCs w:val="1"/>
          <w:color w:val="auto"/>
        </w:rPr>
        <w:t xml:space="preserve"> Statement of Cash Flows</w:t>
      </w:r>
      <w:r>
        <w:rPr>
          <w:rFonts w:ascii="Arial" w:cs="Arial" w:eastAsia="Arial" w:hAnsi="Arial"/>
          <w:sz w:val="18"/>
          <w:szCs w:val="18"/>
          <w:color w:val="auto"/>
        </w:rPr>
        <w:t>. On</w:t>
      </w:r>
      <w:r>
        <w:rPr>
          <w:rFonts w:ascii="Arial" w:cs="Arial" w:eastAsia="Arial" w:hAnsi="Arial"/>
          <w:sz w:val="18"/>
          <w:szCs w:val="18"/>
          <w:i w:val="1"/>
          <w:iCs w:val="1"/>
          <w:color w:val="auto"/>
        </w:rPr>
        <w:t xml:space="preserve"> </w:t>
      </w:r>
      <w:r>
        <w:rPr>
          <w:rFonts w:ascii="Arial" w:cs="Arial" w:eastAsia="Arial" w:hAnsi="Arial"/>
          <w:sz w:val="18"/>
          <w:szCs w:val="18"/>
          <w:color w:val="auto"/>
        </w:rPr>
        <w:t>April 14, 2005, the SEC approved a new rule delaying the effective date of SFAS 123R to annual periods that begin after June 15, 2005. Accordingly, we adopted SFAS 123R effective January 1, 2006 using the modified-prospective method.</w:t>
      </w:r>
    </w:p>
    <w:p>
      <w:pPr>
        <w:spacing w:after="0" w:line="181" w:lineRule="exact"/>
        <w:rPr>
          <w:sz w:val="20"/>
          <w:szCs w:val="20"/>
          <w:color w:val="auto"/>
        </w:rPr>
      </w:pPr>
    </w:p>
    <w:p>
      <w:pPr>
        <w:ind w:right="100" w:firstLine="648"/>
        <w:spacing w:after="0" w:line="293" w:lineRule="auto"/>
        <w:rPr>
          <w:sz w:val="20"/>
          <w:szCs w:val="20"/>
          <w:color w:val="auto"/>
        </w:rPr>
      </w:pPr>
      <w:r>
        <w:rPr>
          <w:rFonts w:ascii="Arial" w:cs="Arial" w:eastAsia="Arial" w:hAnsi="Arial"/>
          <w:sz w:val="16"/>
          <w:szCs w:val="16"/>
          <w:color w:val="auto"/>
        </w:rPr>
        <w:t>It is appropriate to recognize compensation cost either immediately for stock awards granted to retirement eligible employees, or over the period from the grant date to the date retirement eligibility is achieved, if retirement eligibility is expected to occur during the nominal vesting period. Our approach was to follow the widespread practice of recognizing compensation cost over the explicit service period (up to the date of actual retirement). For any awards that are granted after our adoption of SFAS 123R on January 1, 2006, we recognize compensation cost through the period that the employee first becomes eligible to retire and is no longer required to provide service to earn the award. If we had applied the nonsubstantive vesting provisions of SFAS 123R to awards granted prior to January 1, 2006, our consolidated financial statements would not have been materially impacted.</w:t>
      </w:r>
    </w:p>
    <w:p>
      <w:pPr>
        <w:spacing w:after="0" w:line="165" w:lineRule="exact"/>
        <w:rPr>
          <w:sz w:val="20"/>
          <w:szCs w:val="20"/>
          <w:color w:val="auto"/>
        </w:rPr>
      </w:pPr>
    </w:p>
    <w:p>
      <w:pPr>
        <w:ind w:firstLine="648"/>
        <w:spacing w:after="0" w:line="302" w:lineRule="auto"/>
        <w:rPr>
          <w:sz w:val="20"/>
          <w:szCs w:val="20"/>
          <w:color w:val="auto"/>
        </w:rPr>
      </w:pPr>
      <w:r>
        <w:rPr>
          <w:rFonts w:ascii="Arial" w:cs="Arial" w:eastAsia="Arial" w:hAnsi="Arial"/>
          <w:sz w:val="16"/>
          <w:szCs w:val="16"/>
          <w:color w:val="auto"/>
        </w:rPr>
        <w:t>SFAS 123R requires that the benefits of tax deductions in excess of recognized compensation cost be reported as a financing cash flow, rather than as an operating cash flow. This requirement will reduce net operating cash flows and increase net financing cash flows in periods after the effective date. While the Company cannot estimate what those amounts will be in the future (because they depend on, among other things, when employees exercise stock options), the amount of financing cash flows recognized for the six months ended June 30, 2006, for such excess tax deductions, was $2.6 million.</w:t>
      </w:r>
    </w:p>
    <w:p>
      <w:pPr>
        <w:spacing w:after="0" w:line="154" w:lineRule="exact"/>
        <w:rPr>
          <w:sz w:val="20"/>
          <w:szCs w:val="20"/>
          <w:color w:val="auto"/>
        </w:rPr>
      </w:pPr>
    </w:p>
    <w:p>
      <w:pPr>
        <w:ind w:right="140" w:firstLine="648"/>
        <w:spacing w:after="0" w:line="302" w:lineRule="auto"/>
        <w:rPr>
          <w:sz w:val="20"/>
          <w:szCs w:val="20"/>
          <w:color w:val="auto"/>
        </w:rPr>
      </w:pPr>
      <w:r>
        <w:rPr>
          <w:rFonts w:ascii="Arial" w:cs="Arial" w:eastAsia="Arial" w:hAnsi="Arial"/>
          <w:sz w:val="16"/>
          <w:szCs w:val="16"/>
          <w:color w:val="auto"/>
        </w:rPr>
        <w:t>Under the modified-prospective method, any excess income tax deduction realized for awards accounted for under SFAS 123R (regardless of the type of award or the jurisdiction in which the tax benefit is generated) is eligible to absorb write-offs of deferred income tax assets for any awards accounted for under SFAS 123R. SFAS 123R does not require separate pools of excess income tax benefits for separate types of awards, rather the excess income tax benefits of employee and nonemployee awards may be combined in a single pool of excess tax benefits. Our policy is to pool the employee and</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nonemployee awards together in this manner. Deferred income tax asset write-offs resulting from deficient deductions on employee awards may be offset against previous excess income tax benefits arising from nonemployee awards, and vice versa.</w:t>
      </w:r>
    </w:p>
    <w:p>
      <w:pPr>
        <w:spacing w:after="0" w:line="170"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This Statement did not have a material impact on our consolidated financial statements as we began expensing all stock options using a fair-value based method effective for the year beginning January 1, 2002. In addition, any stock options granted prior to January 1, 2002 were fully vested at the time of adoption of SFAS 123R. We use the Black-Scholes formula to estimate the value of stock options granted to employees. We applied the prospective method of transition as prescribed by SFAS 123 when we elected to begin expensing stock-based compensation in 2002. The cumulative effect of the change in accounting principle as a result of adopting this Statement is immaterial. Therefore, the pre-tax cumulative effect of the change in accounting principle is reflected in operating expenses.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summary consolidated financial information for the periods indicated:</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60" w:type="dxa"/>
            <w:vAlign w:val="bottom"/>
            <w:gridSpan w:val="5"/>
          </w:tcPr>
          <w:p>
            <w:pPr>
              <w:jc w:val="right"/>
              <w:ind w:right="232"/>
              <w:spacing w:after="0"/>
              <w:rPr>
                <w:sz w:val="20"/>
                <w:szCs w:val="20"/>
                <w:color w:val="auto"/>
              </w:rPr>
            </w:pPr>
            <w:r>
              <w:rPr>
                <w:rFonts w:ascii="Arial" w:cs="Arial" w:eastAsia="Arial" w:hAnsi="Arial"/>
                <w:sz w:val="14"/>
                <w:szCs w:val="14"/>
                <w:b w:val="1"/>
                <w:bCs w:val="1"/>
                <w:color w:val="auto"/>
              </w:rPr>
              <w:t>For the three months</w:t>
            </w: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740" w:type="dxa"/>
            <w:vAlign w:val="bottom"/>
            <w:gridSpan w:val="5"/>
          </w:tcPr>
          <w:p>
            <w:pPr>
              <w:jc w:val="center"/>
              <w:ind w:right="280"/>
              <w:spacing w:after="0"/>
              <w:rPr>
                <w:sz w:val="20"/>
                <w:szCs w:val="20"/>
                <w:color w:val="auto"/>
              </w:rPr>
            </w:pPr>
            <w:r>
              <w:rPr>
                <w:rFonts w:ascii="Arial" w:cs="Arial" w:eastAsia="Arial" w:hAnsi="Arial"/>
                <w:sz w:val="14"/>
                <w:szCs w:val="14"/>
                <w:b w:val="1"/>
                <w:bCs w:val="1"/>
                <w:color w:val="auto"/>
                <w:w w:val="90"/>
              </w:rPr>
              <w:t>For the six months</w:t>
            </w:r>
          </w:p>
        </w:tc>
      </w:tr>
      <w:tr>
        <w:trPr>
          <w:trHeight w:val="162"/>
        </w:trPr>
        <w:tc>
          <w:tcPr>
            <w:tcW w:w="59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60" w:type="dxa"/>
            <w:vAlign w:val="bottom"/>
            <w:gridSpan w:val="5"/>
          </w:tcPr>
          <w:p>
            <w:pPr>
              <w:jc w:val="right"/>
              <w:ind w:right="432"/>
              <w:spacing w:after="0"/>
              <w:rPr>
                <w:sz w:val="20"/>
                <w:szCs w:val="20"/>
                <w:color w:val="auto"/>
              </w:rPr>
            </w:pPr>
            <w:r>
              <w:rPr>
                <w:rFonts w:ascii="Arial" w:cs="Arial" w:eastAsia="Arial" w:hAnsi="Arial"/>
                <w:sz w:val="14"/>
                <w:szCs w:val="14"/>
                <w:b w:val="1"/>
                <w:bCs w:val="1"/>
                <w:color w:val="auto"/>
              </w:rPr>
              <w:t>ended June 30,</w:t>
            </w: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740" w:type="dxa"/>
            <w:vAlign w:val="bottom"/>
            <w:gridSpan w:val="5"/>
          </w:tcPr>
          <w:p>
            <w:pPr>
              <w:jc w:val="center"/>
              <w:ind w:right="300"/>
              <w:spacing w:after="0"/>
              <w:rPr>
                <w:sz w:val="20"/>
                <w:szCs w:val="20"/>
                <w:color w:val="auto"/>
              </w:rPr>
            </w:pPr>
            <w:r>
              <w:rPr>
                <w:rFonts w:ascii="Arial" w:cs="Arial" w:eastAsia="Arial" w:hAnsi="Arial"/>
                <w:sz w:val="14"/>
                <w:szCs w:val="14"/>
                <w:b w:val="1"/>
                <w:bCs w:val="1"/>
                <w:color w:val="auto"/>
                <w:w w:val="90"/>
              </w:rPr>
              <w:t>ended June 30,</w:t>
            </w:r>
          </w:p>
        </w:tc>
      </w:tr>
      <w:tr>
        <w:trPr>
          <w:trHeight w:val="129"/>
        </w:trPr>
        <w:tc>
          <w:tcPr>
            <w:tcW w:w="59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80" w:type="dxa"/>
            <w:vAlign w:val="bottom"/>
            <w:tcBorders>
              <w:top w:val="single" w:sz="8" w:color="auto"/>
              <w:bottom w:val="single" w:sz="8" w:color="auto"/>
            </w:tcBorders>
          </w:tcPr>
          <w:p>
            <w:pPr>
              <w:spacing w:after="0"/>
              <w:rPr>
                <w:sz w:val="11"/>
                <w:szCs w:val="11"/>
                <w:color w:val="auto"/>
              </w:rPr>
            </w:pPr>
          </w:p>
        </w:tc>
        <w:tc>
          <w:tcPr>
            <w:tcW w:w="660" w:type="dxa"/>
            <w:vAlign w:val="bottom"/>
            <w:tcBorders>
              <w:top w:val="single" w:sz="8" w:color="auto"/>
              <w:bottom w:val="single" w:sz="8" w:color="auto"/>
            </w:tcBorders>
          </w:tcPr>
          <w:p>
            <w:pPr>
              <w:jc w:val="right"/>
              <w:ind w:right="193"/>
              <w:spacing w:after="0" w:line="129" w:lineRule="exact"/>
              <w:rPr>
                <w:sz w:val="20"/>
                <w:szCs w:val="20"/>
                <w:color w:val="auto"/>
              </w:rPr>
            </w:pPr>
            <w:r>
              <w:rPr>
                <w:rFonts w:ascii="Arial" w:cs="Arial" w:eastAsia="Arial" w:hAnsi="Arial"/>
                <w:sz w:val="14"/>
                <w:szCs w:val="14"/>
                <w:b w:val="1"/>
                <w:bCs w:val="1"/>
                <w:color w:val="auto"/>
              </w:rPr>
              <w:t>2006</w:t>
            </w:r>
          </w:p>
        </w:tc>
        <w:tc>
          <w:tcPr>
            <w:tcW w:w="160" w:type="dxa"/>
            <w:vAlign w:val="bottom"/>
            <w:tcBorders>
              <w:top w:val="single" w:sz="8" w:color="auto"/>
              <w:bottom w:val="single" w:sz="8" w:color="auto"/>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180" w:type="dxa"/>
            <w:vAlign w:val="bottom"/>
            <w:tcBorders>
              <w:top w:val="single" w:sz="8" w:color="auto"/>
              <w:bottom w:val="single" w:sz="8" w:color="auto"/>
            </w:tcBorders>
          </w:tcPr>
          <w:p>
            <w:pPr>
              <w:spacing w:after="0"/>
              <w:rPr>
                <w:sz w:val="11"/>
                <w:szCs w:val="11"/>
                <w:color w:val="auto"/>
              </w:rPr>
            </w:pPr>
          </w:p>
        </w:tc>
        <w:tc>
          <w:tcPr>
            <w:tcW w:w="660" w:type="dxa"/>
            <w:vAlign w:val="bottom"/>
            <w:tcBorders>
              <w:top w:val="single" w:sz="8" w:color="auto"/>
              <w:bottom w:val="single" w:sz="8" w:color="auto"/>
            </w:tcBorders>
          </w:tcPr>
          <w:p>
            <w:pPr>
              <w:jc w:val="right"/>
              <w:ind w:right="192"/>
              <w:spacing w:after="0" w:line="129" w:lineRule="exact"/>
              <w:rPr>
                <w:sz w:val="20"/>
                <w:szCs w:val="20"/>
                <w:color w:val="auto"/>
              </w:rPr>
            </w:pPr>
            <w:r>
              <w:rPr>
                <w:rFonts w:ascii="Arial" w:cs="Arial" w:eastAsia="Arial" w:hAnsi="Arial"/>
                <w:sz w:val="14"/>
                <w:szCs w:val="14"/>
                <w:b w:val="1"/>
                <w:bCs w:val="1"/>
                <w:color w:val="auto"/>
              </w:rPr>
              <w:t>2005</w:t>
            </w:r>
          </w:p>
        </w:tc>
        <w:tc>
          <w:tcPr>
            <w:tcW w:w="280" w:type="dxa"/>
            <w:vAlign w:val="bottom"/>
            <w:tcBorders>
              <w:bottom w:val="single" w:sz="8" w:color="auto"/>
            </w:tcBorders>
          </w:tcPr>
          <w:p>
            <w:pPr>
              <w:spacing w:after="0"/>
              <w:rPr>
                <w:sz w:val="11"/>
                <w:szCs w:val="11"/>
                <w:color w:val="auto"/>
              </w:rPr>
            </w:pPr>
          </w:p>
        </w:tc>
        <w:tc>
          <w:tcPr>
            <w:tcW w:w="240" w:type="dxa"/>
            <w:vAlign w:val="bottom"/>
            <w:tcBorders>
              <w:top w:val="single" w:sz="8" w:color="auto"/>
              <w:bottom w:val="single" w:sz="8" w:color="auto"/>
            </w:tcBorders>
          </w:tcPr>
          <w:p>
            <w:pPr>
              <w:spacing w:after="0"/>
              <w:rPr>
                <w:sz w:val="11"/>
                <w:szCs w:val="11"/>
                <w:color w:val="auto"/>
              </w:rPr>
            </w:pPr>
          </w:p>
        </w:tc>
        <w:tc>
          <w:tcPr>
            <w:tcW w:w="600" w:type="dxa"/>
            <w:vAlign w:val="bottom"/>
            <w:tcBorders>
              <w:top w:val="single" w:sz="8" w:color="auto"/>
              <w:bottom w:val="single" w:sz="8" w:color="auto"/>
            </w:tcBorders>
          </w:tcPr>
          <w:p>
            <w:pPr>
              <w:jc w:val="right"/>
              <w:ind w:right="193"/>
              <w:spacing w:after="0" w:line="129" w:lineRule="exact"/>
              <w:rPr>
                <w:sz w:val="20"/>
                <w:szCs w:val="20"/>
                <w:color w:val="auto"/>
              </w:rPr>
            </w:pPr>
            <w:r>
              <w:rPr>
                <w:rFonts w:ascii="Arial" w:cs="Arial" w:eastAsia="Arial" w:hAnsi="Arial"/>
                <w:sz w:val="14"/>
                <w:szCs w:val="14"/>
                <w:b w:val="1"/>
                <w:bCs w:val="1"/>
                <w:color w:val="auto"/>
                <w:w w:val="96"/>
              </w:rPr>
              <w:t>2006</w:t>
            </w:r>
          </w:p>
        </w:tc>
        <w:tc>
          <w:tcPr>
            <w:tcW w:w="260" w:type="dxa"/>
            <w:vAlign w:val="bottom"/>
            <w:tcBorders>
              <w:top w:val="single" w:sz="8" w:color="auto"/>
              <w:bottom w:val="single" w:sz="8" w:color="auto"/>
            </w:tcBorders>
          </w:tcPr>
          <w:p>
            <w:pPr>
              <w:spacing w:after="0"/>
              <w:rPr>
                <w:sz w:val="11"/>
                <w:szCs w:val="11"/>
                <w:color w:val="auto"/>
              </w:rPr>
            </w:pPr>
          </w:p>
        </w:tc>
        <w:tc>
          <w:tcPr>
            <w:tcW w:w="180" w:type="dxa"/>
            <w:vAlign w:val="bottom"/>
            <w:tcBorders>
              <w:top w:val="single" w:sz="8" w:color="auto"/>
              <w:bottom w:val="single" w:sz="8" w:color="auto"/>
            </w:tcBorders>
          </w:tcPr>
          <w:p>
            <w:pPr>
              <w:spacing w:after="0"/>
              <w:rPr>
                <w:sz w:val="11"/>
                <w:szCs w:val="11"/>
                <w:color w:val="auto"/>
              </w:rPr>
            </w:pPr>
          </w:p>
        </w:tc>
        <w:tc>
          <w:tcPr>
            <w:tcW w:w="680" w:type="dxa"/>
            <w:vAlign w:val="bottom"/>
            <w:tcBorders>
              <w:top w:val="single" w:sz="8" w:color="auto"/>
              <w:bottom w:val="single" w:sz="8" w:color="auto"/>
            </w:tcBorders>
          </w:tcPr>
          <w:p>
            <w:pPr>
              <w:jc w:val="right"/>
              <w:ind w:right="211"/>
              <w:spacing w:after="0" w:line="129" w:lineRule="exact"/>
              <w:rPr>
                <w:sz w:val="20"/>
                <w:szCs w:val="20"/>
                <w:color w:val="auto"/>
              </w:rPr>
            </w:pPr>
            <w:r>
              <w:rPr>
                <w:rFonts w:ascii="Arial" w:cs="Arial" w:eastAsia="Arial" w:hAnsi="Arial"/>
                <w:sz w:val="14"/>
                <w:szCs w:val="14"/>
                <w:b w:val="1"/>
                <w:bCs w:val="1"/>
                <w:color w:val="auto"/>
              </w:rPr>
              <w:t>2005</w:t>
            </w:r>
          </w:p>
        </w:tc>
        <w:tc>
          <w:tcPr>
            <w:tcW w:w="20" w:type="dxa"/>
            <w:vAlign w:val="bottom"/>
          </w:tcPr>
          <w:p>
            <w:pPr>
              <w:spacing w:after="0"/>
              <w:rPr>
                <w:sz w:val="11"/>
                <w:szCs w:val="11"/>
                <w:color w:val="auto"/>
              </w:rPr>
            </w:pPr>
          </w:p>
        </w:tc>
      </w:tr>
      <w:tr>
        <w:trPr>
          <w:trHeight w:val="129"/>
        </w:trPr>
        <w:tc>
          <w:tcPr>
            <w:tcW w:w="59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80" w:type="dxa"/>
            <w:vAlign w:val="bottom"/>
            <w:gridSpan w:val="3"/>
          </w:tcPr>
          <w:p>
            <w:pPr>
              <w:jc w:val="right"/>
              <w:spacing w:after="0" w:line="129" w:lineRule="exact"/>
              <w:rPr>
                <w:sz w:val="20"/>
                <w:szCs w:val="20"/>
                <w:color w:val="auto"/>
              </w:rPr>
            </w:pPr>
            <w:r>
              <w:rPr>
                <w:rFonts w:ascii="Arial" w:cs="Arial" w:eastAsia="Arial" w:hAnsi="Arial"/>
                <w:sz w:val="14"/>
                <w:szCs w:val="14"/>
                <w:b w:val="1"/>
                <w:bCs w:val="1"/>
                <w:color w:val="auto"/>
              </w:rPr>
              <w:t>(in millions)</w:t>
            </w: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Revenues:</w:t>
            </w:r>
          </w:p>
        </w:tc>
        <w:tc>
          <w:tcPr>
            <w:tcW w:w="1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r>
      <w:tr>
        <w:trPr>
          <w:trHeight w:val="216"/>
        </w:trPr>
        <w:tc>
          <w:tcPr>
            <w:tcW w:w="5980" w:type="dxa"/>
            <w:vAlign w:val="bottom"/>
          </w:tcPr>
          <w:p>
            <w:pPr>
              <w:ind w:left="180"/>
              <w:spacing w:after="0"/>
              <w:rPr>
                <w:sz w:val="20"/>
                <w:szCs w:val="20"/>
                <w:color w:val="auto"/>
              </w:rPr>
            </w:pPr>
            <w:r>
              <w:rPr>
                <w:rFonts w:ascii="Arial" w:cs="Arial" w:eastAsia="Arial" w:hAnsi="Arial"/>
                <w:sz w:val="18"/>
                <w:szCs w:val="18"/>
                <w:color w:val="auto"/>
              </w:rPr>
              <w:t>Premiums and other considerations</w:t>
            </w:r>
          </w:p>
        </w:tc>
        <w:tc>
          <w:tcPr>
            <w:tcW w:w="1420" w:type="dxa"/>
            <w:vAlign w:val="bottom"/>
            <w:gridSpan w:val="2"/>
          </w:tcPr>
          <w:p>
            <w:pPr>
              <w:jc w:val="right"/>
              <w:ind w:right="25"/>
              <w:spacing w:after="0"/>
              <w:rPr>
                <w:sz w:val="20"/>
                <w:szCs w:val="20"/>
                <w:color w:val="auto"/>
              </w:rPr>
            </w:pPr>
            <w:r>
              <w:rPr>
                <w:rFonts w:ascii="Arial" w:cs="Arial" w:eastAsia="Arial" w:hAnsi="Arial"/>
                <w:sz w:val="18"/>
                <w:szCs w:val="18"/>
                <w:b w:val="1"/>
                <w:bCs w:val="1"/>
                <w:color w:val="auto"/>
              </w:rPr>
              <w:t>$</w:t>
            </w: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1,104.6</w:t>
            </w:r>
          </w:p>
        </w:tc>
        <w:tc>
          <w:tcPr>
            <w:tcW w:w="160" w:type="dxa"/>
            <w:vAlign w:val="bottom"/>
          </w:tcPr>
          <w:p>
            <w:pPr>
              <w:spacing w:after="0"/>
              <w:rPr>
                <w:sz w:val="18"/>
                <w:szCs w:val="18"/>
                <w:color w:val="auto"/>
              </w:rPr>
            </w:pP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948.9</w:t>
            </w:r>
          </w:p>
        </w:tc>
        <w:tc>
          <w:tcPr>
            <w:tcW w:w="520" w:type="dxa"/>
            <w:vAlign w:val="bottom"/>
            <w:gridSpan w:val="2"/>
          </w:tcPr>
          <w:p>
            <w:pPr>
              <w:jc w:val="right"/>
              <w:ind w:right="85"/>
              <w:spacing w:after="0"/>
              <w:rPr>
                <w:sz w:val="20"/>
                <w:szCs w:val="20"/>
                <w:color w:val="auto"/>
              </w:rPr>
            </w:pPr>
            <w:r>
              <w:rPr>
                <w:rFonts w:ascii="Arial" w:cs="Arial" w:eastAsia="Arial" w:hAnsi="Arial"/>
                <w:sz w:val="18"/>
                <w:szCs w:val="18"/>
                <w:b w:val="1"/>
                <w:bCs w:val="1"/>
                <w:color w:val="auto"/>
              </w:rPr>
              <w:t>$</w:t>
            </w:r>
          </w:p>
        </w:tc>
        <w:tc>
          <w:tcPr>
            <w:tcW w:w="600" w:type="dxa"/>
            <w:vAlign w:val="bottom"/>
          </w:tcPr>
          <w:p>
            <w:pPr>
              <w:jc w:val="right"/>
              <w:spacing w:after="0"/>
              <w:rPr>
                <w:sz w:val="20"/>
                <w:szCs w:val="20"/>
                <w:color w:val="auto"/>
              </w:rPr>
            </w:pPr>
            <w:r>
              <w:rPr>
                <w:rFonts w:ascii="Arial" w:cs="Arial" w:eastAsia="Arial" w:hAnsi="Arial"/>
                <w:sz w:val="18"/>
                <w:szCs w:val="18"/>
                <w:b w:val="1"/>
                <w:bCs w:val="1"/>
                <w:color w:val="auto"/>
                <w:w w:val="93"/>
              </w:rPr>
              <w:t>2,146.4</w:t>
            </w:r>
          </w:p>
        </w:tc>
        <w:tc>
          <w:tcPr>
            <w:tcW w:w="26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1,883.0</w:t>
            </w:r>
          </w:p>
        </w:tc>
        <w:tc>
          <w:tcPr>
            <w:tcW w:w="20" w:type="dxa"/>
            <w:vAlign w:val="bottom"/>
          </w:tcPr>
          <w:p>
            <w:pPr>
              <w:spacing w:after="0"/>
              <w:rPr>
                <w:sz w:val="18"/>
                <w:szCs w:val="18"/>
                <w:color w:val="auto"/>
              </w:rPr>
            </w:pPr>
          </w:p>
        </w:tc>
      </w:tr>
      <w:tr>
        <w:trPr>
          <w:trHeight w:val="216"/>
        </w:trPr>
        <w:tc>
          <w:tcPr>
            <w:tcW w:w="59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Fees and other revenues</w:t>
            </w:r>
          </w:p>
        </w:tc>
        <w:tc>
          <w:tcPr>
            <w:tcW w:w="1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451.3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405.3</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900.1</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822.5</w:t>
            </w:r>
          </w:p>
        </w:tc>
        <w:tc>
          <w:tcPr>
            <w:tcW w:w="20" w:type="dxa"/>
            <w:vAlign w:val="bottom"/>
            <w:shd w:val="clear" w:color="auto" w:fill="CCEEFF"/>
          </w:tcPr>
          <w:p>
            <w:pPr>
              <w:spacing w:after="0"/>
              <w:rPr>
                <w:sz w:val="18"/>
                <w:szCs w:val="18"/>
                <w:color w:val="auto"/>
              </w:rPr>
            </w:pPr>
          </w:p>
        </w:tc>
      </w:tr>
      <w:tr>
        <w:trPr>
          <w:trHeight w:val="216"/>
        </w:trPr>
        <w:tc>
          <w:tcPr>
            <w:tcW w:w="5980" w:type="dxa"/>
            <w:vAlign w:val="bottom"/>
          </w:tcPr>
          <w:p>
            <w:pPr>
              <w:ind w:left="180"/>
              <w:spacing w:after="0"/>
              <w:rPr>
                <w:sz w:val="20"/>
                <w:szCs w:val="20"/>
                <w:color w:val="auto"/>
              </w:rPr>
            </w:pPr>
            <w:r>
              <w:rPr>
                <w:rFonts w:ascii="Arial" w:cs="Arial" w:eastAsia="Arial" w:hAnsi="Arial"/>
                <w:sz w:val="18"/>
                <w:szCs w:val="18"/>
                <w:color w:val="auto"/>
              </w:rPr>
              <w:t>Net investment income</w:t>
            </w:r>
          </w:p>
        </w:tc>
        <w:tc>
          <w:tcPr>
            <w:tcW w:w="1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911.6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836.0</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b w:val="1"/>
                <w:bCs w:val="1"/>
                <w:color w:val="auto"/>
                <w:w w:val="93"/>
              </w:rPr>
              <w:t>1,763.8</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1,629.9</w:t>
            </w:r>
          </w:p>
        </w:tc>
        <w:tc>
          <w:tcPr>
            <w:tcW w:w="20" w:type="dxa"/>
            <w:vAlign w:val="bottom"/>
          </w:tcPr>
          <w:p>
            <w:pPr>
              <w:spacing w:after="0"/>
              <w:rPr>
                <w:sz w:val="18"/>
                <w:szCs w:val="18"/>
                <w:color w:val="auto"/>
              </w:rPr>
            </w:pPr>
          </w:p>
        </w:tc>
      </w:tr>
      <w:tr>
        <w:trPr>
          <w:trHeight w:val="216"/>
        </w:trPr>
        <w:tc>
          <w:tcPr>
            <w:tcW w:w="59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Net realized/unrealized capital gains (losses)</w:t>
            </w:r>
          </w:p>
        </w:tc>
        <w:tc>
          <w:tcPr>
            <w:tcW w:w="1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(19.1)</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29.8</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20" w:type="dxa"/>
            <w:vAlign w:val="bottom"/>
            <w:shd w:val="clear" w:color="auto" w:fill="CCEEFF"/>
          </w:tcPr>
          <w:p>
            <w:pPr>
              <w:spacing w:after="0"/>
              <w:rPr>
                <w:sz w:val="18"/>
                <w:szCs w:val="18"/>
                <w:color w:val="auto"/>
              </w:rPr>
            </w:pPr>
          </w:p>
        </w:tc>
      </w:tr>
      <w:tr>
        <w:trPr>
          <w:trHeight w:val="210"/>
        </w:trPr>
        <w:tc>
          <w:tcPr>
            <w:tcW w:w="5980" w:type="dxa"/>
            <w:vAlign w:val="bottom"/>
          </w:tcPr>
          <w:p>
            <w:pPr>
              <w:ind w:left="360"/>
              <w:spacing w:after="0"/>
              <w:rPr>
                <w:sz w:val="20"/>
                <w:szCs w:val="20"/>
                <w:color w:val="auto"/>
              </w:rPr>
            </w:pPr>
            <w:r>
              <w:rPr>
                <w:rFonts w:ascii="Arial" w:cs="Arial" w:eastAsia="Arial" w:hAnsi="Arial"/>
                <w:sz w:val="18"/>
                <w:szCs w:val="18"/>
                <w:color w:val="auto"/>
              </w:rPr>
              <w:t>Total revenues</w:t>
            </w:r>
          </w:p>
        </w:tc>
        <w:tc>
          <w:tcPr>
            <w:tcW w:w="12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2,448.4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2,200.4</w:t>
            </w:r>
          </w:p>
        </w:tc>
        <w:tc>
          <w:tcPr>
            <w:tcW w:w="28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93"/>
              </w:rPr>
              <w:t>4,840.1</w:t>
            </w:r>
          </w:p>
        </w:tc>
        <w:tc>
          <w:tcPr>
            <w:tcW w:w="2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4,344.1</w:t>
            </w:r>
          </w:p>
        </w:tc>
        <w:tc>
          <w:tcPr>
            <w:tcW w:w="2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Expenses:</w:t>
            </w:r>
          </w:p>
        </w:tc>
        <w:tc>
          <w:tcPr>
            <w:tcW w:w="1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r>
      <w:tr>
        <w:trPr>
          <w:trHeight w:val="216"/>
        </w:trPr>
        <w:tc>
          <w:tcPr>
            <w:tcW w:w="5980" w:type="dxa"/>
            <w:vAlign w:val="bottom"/>
          </w:tcPr>
          <w:p>
            <w:pPr>
              <w:ind w:left="180"/>
              <w:spacing w:after="0"/>
              <w:rPr>
                <w:sz w:val="20"/>
                <w:szCs w:val="20"/>
                <w:color w:val="auto"/>
              </w:rPr>
            </w:pPr>
            <w:r>
              <w:rPr>
                <w:rFonts w:ascii="Arial" w:cs="Arial" w:eastAsia="Arial" w:hAnsi="Arial"/>
                <w:sz w:val="18"/>
                <w:szCs w:val="18"/>
                <w:color w:val="auto"/>
              </w:rPr>
              <w:t>Benefits, claims and settlement expenses</w:t>
            </w:r>
          </w:p>
        </w:tc>
        <w:tc>
          <w:tcPr>
            <w:tcW w:w="1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1,459.6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1,264.5</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b w:val="1"/>
                <w:bCs w:val="1"/>
                <w:color w:val="auto"/>
                <w:w w:val="93"/>
              </w:rPr>
              <w:t>2,801.4</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2,498.8</w:t>
            </w:r>
          </w:p>
        </w:tc>
        <w:tc>
          <w:tcPr>
            <w:tcW w:w="20" w:type="dxa"/>
            <w:vAlign w:val="bottom"/>
          </w:tcPr>
          <w:p>
            <w:pPr>
              <w:spacing w:after="0"/>
              <w:rPr>
                <w:sz w:val="18"/>
                <w:szCs w:val="18"/>
                <w:color w:val="auto"/>
              </w:rPr>
            </w:pPr>
          </w:p>
        </w:tc>
      </w:tr>
      <w:tr>
        <w:trPr>
          <w:trHeight w:val="216"/>
        </w:trPr>
        <w:tc>
          <w:tcPr>
            <w:tcW w:w="59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Dividends to policyholders</w:t>
            </w:r>
          </w:p>
        </w:tc>
        <w:tc>
          <w:tcPr>
            <w:tcW w:w="1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72.5</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72.2</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144.4</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145.1</w:t>
            </w:r>
          </w:p>
        </w:tc>
        <w:tc>
          <w:tcPr>
            <w:tcW w:w="20" w:type="dxa"/>
            <w:vAlign w:val="bottom"/>
            <w:shd w:val="clear" w:color="auto" w:fill="CCEEFF"/>
          </w:tcPr>
          <w:p>
            <w:pPr>
              <w:spacing w:after="0"/>
              <w:rPr>
                <w:sz w:val="18"/>
                <w:szCs w:val="18"/>
                <w:color w:val="auto"/>
              </w:rPr>
            </w:pPr>
          </w:p>
        </w:tc>
      </w:tr>
      <w:tr>
        <w:trPr>
          <w:trHeight w:val="216"/>
        </w:trPr>
        <w:tc>
          <w:tcPr>
            <w:tcW w:w="598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Operating expenses</w:t>
            </w:r>
          </w:p>
        </w:tc>
        <w:tc>
          <w:tcPr>
            <w:tcW w:w="124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619.8</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580.8</w:t>
            </w:r>
          </w:p>
        </w:tc>
        <w:tc>
          <w:tcPr>
            <w:tcW w:w="28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3"/>
              </w:rPr>
              <w:t>1,224.2</w:t>
            </w:r>
          </w:p>
        </w:tc>
        <w:tc>
          <w:tcPr>
            <w:tcW w:w="26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1,137.7</w:t>
            </w:r>
          </w:p>
        </w:tc>
        <w:tc>
          <w:tcPr>
            <w:tcW w:w="20" w:type="dxa"/>
            <w:vAlign w:val="bottom"/>
            <w:tcBorders>
              <w:bottom w:val="single" w:sz="8" w:color="CCEEFF"/>
            </w:tcBorders>
          </w:tcPr>
          <w:p>
            <w:pPr>
              <w:spacing w:after="0"/>
              <w:rPr>
                <w:sz w:val="18"/>
                <w:szCs w:val="18"/>
                <w:color w:val="auto"/>
              </w:rPr>
            </w:pPr>
          </w:p>
        </w:tc>
      </w:tr>
      <w:tr>
        <w:trPr>
          <w:trHeight w:val="210"/>
        </w:trPr>
        <w:tc>
          <w:tcPr>
            <w:tcW w:w="59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expenses</w:t>
            </w:r>
          </w:p>
        </w:tc>
        <w:tc>
          <w:tcPr>
            <w:tcW w:w="124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2,151.9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1,917.5</w:t>
            </w:r>
          </w:p>
        </w:tc>
        <w:tc>
          <w:tcPr>
            <w:tcW w:w="28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3"/>
              </w:rPr>
              <w:t>4,170.0</w:t>
            </w:r>
          </w:p>
        </w:tc>
        <w:tc>
          <w:tcPr>
            <w:tcW w:w="2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3,781.6</w:t>
            </w:r>
          </w:p>
        </w:tc>
        <w:tc>
          <w:tcPr>
            <w:tcW w:w="20" w:type="dxa"/>
            <w:vAlign w:val="bottom"/>
            <w:shd w:val="clear" w:color="auto" w:fill="CCEEFF"/>
          </w:tcPr>
          <w:p>
            <w:pPr>
              <w:spacing w:after="0"/>
              <w:rPr>
                <w:sz w:val="18"/>
                <w:szCs w:val="18"/>
                <w:color w:val="auto"/>
              </w:rPr>
            </w:pPr>
          </w:p>
        </w:tc>
      </w:tr>
      <w:tr>
        <w:trPr>
          <w:trHeight w:val="210"/>
        </w:trPr>
        <w:tc>
          <w:tcPr>
            <w:tcW w:w="5980" w:type="dxa"/>
            <w:vAlign w:val="bottom"/>
          </w:tcPr>
          <w:p>
            <w:pPr>
              <w:spacing w:after="0"/>
              <w:rPr>
                <w:sz w:val="20"/>
                <w:szCs w:val="20"/>
                <w:color w:val="auto"/>
              </w:rPr>
            </w:pPr>
            <w:r>
              <w:rPr>
                <w:rFonts w:ascii="Arial" w:cs="Arial" w:eastAsia="Arial" w:hAnsi="Arial"/>
                <w:sz w:val="18"/>
                <w:szCs w:val="18"/>
                <w:color w:val="auto"/>
              </w:rPr>
              <w:t>Income from continuing operations before income taxes</w:t>
            </w:r>
          </w:p>
        </w:tc>
        <w:tc>
          <w:tcPr>
            <w:tcW w:w="1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296.5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282.9</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b w:val="1"/>
                <w:bCs w:val="1"/>
                <w:color w:val="auto"/>
              </w:rPr>
              <w:t>670.1</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562.5</w:t>
            </w:r>
          </w:p>
        </w:tc>
        <w:tc>
          <w:tcPr>
            <w:tcW w:w="2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Income taxes</w:t>
            </w:r>
          </w:p>
        </w:tc>
        <w:tc>
          <w:tcPr>
            <w:tcW w:w="124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77.7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59.3</w:t>
            </w:r>
          </w:p>
        </w:tc>
        <w:tc>
          <w:tcPr>
            <w:tcW w:w="28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157.4</w:t>
            </w:r>
          </w:p>
        </w:tc>
        <w:tc>
          <w:tcPr>
            <w:tcW w:w="2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134.0</w:t>
            </w:r>
          </w:p>
        </w:tc>
        <w:tc>
          <w:tcPr>
            <w:tcW w:w="20" w:type="dxa"/>
            <w:vAlign w:val="bottom"/>
            <w:shd w:val="clear" w:color="auto" w:fill="CCEEFF"/>
          </w:tcPr>
          <w:p>
            <w:pPr>
              <w:spacing w:after="0"/>
              <w:rPr>
                <w:sz w:val="18"/>
                <w:szCs w:val="18"/>
                <w:color w:val="auto"/>
              </w:rPr>
            </w:pPr>
          </w:p>
        </w:tc>
      </w:tr>
      <w:tr>
        <w:trPr>
          <w:trHeight w:val="210"/>
        </w:trPr>
        <w:tc>
          <w:tcPr>
            <w:tcW w:w="5980" w:type="dxa"/>
            <w:vAlign w:val="bottom"/>
          </w:tcPr>
          <w:p>
            <w:pPr>
              <w:spacing w:after="0"/>
              <w:rPr>
                <w:sz w:val="20"/>
                <w:szCs w:val="20"/>
                <w:color w:val="auto"/>
              </w:rPr>
            </w:pPr>
            <w:r>
              <w:rPr>
                <w:rFonts w:ascii="Arial" w:cs="Arial" w:eastAsia="Arial" w:hAnsi="Arial"/>
                <w:sz w:val="18"/>
                <w:szCs w:val="18"/>
                <w:color w:val="auto"/>
              </w:rPr>
              <w:t>Income from continuing operations, net of related income taxes</w:t>
            </w:r>
          </w:p>
        </w:tc>
        <w:tc>
          <w:tcPr>
            <w:tcW w:w="1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218.8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223.6</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b w:val="1"/>
                <w:bCs w:val="1"/>
                <w:color w:val="auto"/>
              </w:rPr>
              <w:t>512.7</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428.5</w:t>
            </w:r>
          </w:p>
        </w:tc>
        <w:tc>
          <w:tcPr>
            <w:tcW w:w="2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Income from discontinued operations, net of related income taxes</w:t>
            </w:r>
          </w:p>
        </w:tc>
        <w:tc>
          <w:tcPr>
            <w:tcW w:w="1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w:t>
            </w:r>
          </w:p>
        </w:tc>
        <w:tc>
          <w:tcPr>
            <w:tcW w:w="20" w:type="dxa"/>
            <w:vAlign w:val="bottom"/>
            <w:shd w:val="clear" w:color="auto" w:fill="CCEEFF"/>
          </w:tcPr>
          <w:p>
            <w:pPr>
              <w:spacing w:after="0"/>
              <w:rPr>
                <w:sz w:val="18"/>
                <w:szCs w:val="18"/>
                <w:color w:val="auto"/>
              </w:rPr>
            </w:pPr>
          </w:p>
        </w:tc>
      </w:tr>
      <w:tr>
        <w:trPr>
          <w:trHeight w:val="210"/>
        </w:trPr>
        <w:tc>
          <w:tcPr>
            <w:tcW w:w="5980" w:type="dxa"/>
            <w:vAlign w:val="bottom"/>
          </w:tcPr>
          <w:p>
            <w:pPr>
              <w:spacing w:after="0"/>
              <w:rPr>
                <w:sz w:val="20"/>
                <w:szCs w:val="20"/>
                <w:color w:val="auto"/>
              </w:rPr>
            </w:pPr>
            <w:r>
              <w:rPr>
                <w:rFonts w:ascii="Arial" w:cs="Arial" w:eastAsia="Arial" w:hAnsi="Arial"/>
                <w:sz w:val="18"/>
                <w:szCs w:val="18"/>
                <w:color w:val="auto"/>
              </w:rPr>
              <w:t>Net income</w:t>
            </w:r>
          </w:p>
        </w:tc>
        <w:tc>
          <w:tcPr>
            <w:tcW w:w="12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218.8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238.9</w:t>
            </w:r>
          </w:p>
        </w:tc>
        <w:tc>
          <w:tcPr>
            <w:tcW w:w="28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512.7</w:t>
            </w:r>
          </w:p>
        </w:tc>
        <w:tc>
          <w:tcPr>
            <w:tcW w:w="2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444.4</w:t>
            </w:r>
          </w:p>
        </w:tc>
        <w:tc>
          <w:tcPr>
            <w:tcW w:w="2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Preferred stock dividends</w:t>
            </w:r>
          </w:p>
        </w:tc>
        <w:tc>
          <w:tcPr>
            <w:tcW w:w="124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16.5</w:t>
            </w:r>
          </w:p>
        </w:tc>
        <w:tc>
          <w:tcPr>
            <w:tcW w:w="2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¾</w:t>
            </w:r>
          </w:p>
        </w:tc>
        <w:tc>
          <w:tcPr>
            <w:tcW w:w="20" w:type="dxa"/>
            <w:vAlign w:val="bottom"/>
            <w:shd w:val="clear" w:color="auto" w:fill="CCEEFF"/>
          </w:tcPr>
          <w:p>
            <w:pPr>
              <w:spacing w:after="0"/>
              <w:rPr>
                <w:sz w:val="18"/>
                <w:szCs w:val="18"/>
                <w:color w:val="auto"/>
              </w:rPr>
            </w:pPr>
          </w:p>
        </w:tc>
      </w:tr>
      <w:tr>
        <w:trPr>
          <w:trHeight w:val="210"/>
        </w:trPr>
        <w:tc>
          <w:tcPr>
            <w:tcW w:w="5980" w:type="dxa"/>
            <w:vAlign w:val="bottom"/>
          </w:tcPr>
          <w:p>
            <w:pPr>
              <w:ind w:left="180"/>
              <w:spacing w:after="0"/>
              <w:rPr>
                <w:sz w:val="20"/>
                <w:szCs w:val="20"/>
                <w:color w:val="auto"/>
              </w:rPr>
            </w:pPr>
            <w:r>
              <w:rPr>
                <w:rFonts w:ascii="Arial" w:cs="Arial" w:eastAsia="Arial" w:hAnsi="Arial"/>
                <w:sz w:val="18"/>
                <w:szCs w:val="18"/>
                <w:color w:val="auto"/>
              </w:rPr>
              <w:t>Net income available to common stockholders</w:t>
            </w:r>
          </w:p>
        </w:tc>
        <w:tc>
          <w:tcPr>
            <w:tcW w:w="1240" w:type="dxa"/>
            <w:vAlign w:val="bottom"/>
          </w:tcPr>
          <w:p>
            <w:pPr>
              <w:spacing w:after="0"/>
              <w:rPr>
                <w:sz w:val="18"/>
                <w:szCs w:val="18"/>
                <w:color w:val="auto"/>
              </w:rPr>
            </w:pPr>
          </w:p>
        </w:tc>
        <w:tc>
          <w:tcPr>
            <w:tcW w:w="180" w:type="dxa"/>
            <w:vAlign w:val="bottom"/>
            <w:tcBorders>
              <w:bottom w:val="single" w:sz="8" w:color="auto"/>
            </w:tcBorders>
          </w:tcPr>
          <w:p>
            <w:pPr>
              <w:jc w:val="right"/>
              <w:ind w:right="25"/>
              <w:spacing w:after="0"/>
              <w:rPr>
                <w:sz w:val="20"/>
                <w:szCs w:val="20"/>
                <w:color w:val="auto"/>
              </w:rPr>
            </w:pPr>
            <w:r>
              <w:rPr>
                <w:rFonts w:ascii="Arial" w:cs="Arial" w:eastAsia="Arial" w:hAnsi="Arial"/>
                <w:sz w:val="15"/>
                <w:szCs w:val="15"/>
                <w:b w:val="1"/>
                <w:bCs w:val="1"/>
                <w:color w:val="auto"/>
                <w:w w:val="71"/>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210.5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238.9</w:t>
            </w:r>
          </w:p>
        </w:tc>
        <w:tc>
          <w:tcPr>
            <w:tcW w:w="280" w:type="dxa"/>
            <w:vAlign w:val="bottom"/>
          </w:tcPr>
          <w:p>
            <w:pPr>
              <w:spacing w:after="0"/>
              <w:rPr>
                <w:sz w:val="18"/>
                <w:szCs w:val="18"/>
                <w:color w:val="auto"/>
              </w:rPr>
            </w:pPr>
          </w:p>
        </w:tc>
        <w:tc>
          <w:tcPr>
            <w:tcW w:w="240" w:type="dxa"/>
            <w:vAlign w:val="bottom"/>
            <w:tcBorders>
              <w:bottom w:val="single" w:sz="8" w:color="auto"/>
            </w:tcBorders>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496.2</w:t>
            </w:r>
          </w:p>
        </w:tc>
        <w:tc>
          <w:tcPr>
            <w:tcW w:w="26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444.4</w:t>
            </w:r>
          </w:p>
        </w:tc>
        <w:tc>
          <w:tcPr>
            <w:tcW w:w="20" w:type="dxa"/>
            <w:vAlign w:val="bottom"/>
          </w:tcPr>
          <w:p>
            <w:pPr>
              <w:spacing w:after="0"/>
              <w:rPr>
                <w:sz w:val="18"/>
                <w:szCs w:val="18"/>
                <w:color w:val="auto"/>
              </w:rPr>
            </w:pPr>
          </w:p>
        </w:tc>
      </w:tr>
      <w:tr>
        <w:trPr>
          <w:trHeight w:val="20"/>
        </w:trPr>
        <w:tc>
          <w:tcPr>
            <w:tcW w:w="59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June 30, 2006 Compared to Three Months Ended June 30, 2005</w:t>
      </w:r>
    </w:p>
    <w:p>
      <w:pPr>
        <w:spacing w:after="0" w:line="225" w:lineRule="exact"/>
        <w:rPr>
          <w:sz w:val="20"/>
          <w:szCs w:val="20"/>
          <w:color w:val="auto"/>
        </w:rPr>
      </w:pPr>
    </w:p>
    <w:p>
      <w:pPr>
        <w:ind w:right="20" w:firstLine="648"/>
        <w:spacing w:after="0" w:line="272" w:lineRule="auto"/>
        <w:rPr>
          <w:sz w:val="20"/>
          <w:szCs w:val="20"/>
          <w:color w:val="auto"/>
        </w:rPr>
      </w:pPr>
      <w:r>
        <w:rPr>
          <w:rFonts w:ascii="Arial" w:cs="Arial" w:eastAsia="Arial" w:hAnsi="Arial"/>
          <w:sz w:val="17"/>
          <w:szCs w:val="17"/>
          <w:color w:val="auto"/>
        </w:rPr>
        <w:t>Premiums and other considerations increased $155.7 million, or 16%, to $1,104.6 million for the three months ended June 30, 2006, from $948.9 million for the three months ended June 30, 2005. The increase was primarily due to a $90.8 million increase from the Life and Health Insurance segment, primarily related to increased covered medical members and improved retention in our health insurance business and strong sales and stable retention in our specialty benefits business. The increase also reflected a $66.6 million increase from the U.S. Asset Management and Accumulation segment, primarily a result of an increase in premiums from single premium group annuities with life contingencies, which are typically used to fund defined benefit pension plan terminations. The premium income we receive from these contracts fluctuates due to the variability in the number and size of pension plan terminations in the market, the interest rate environment and our ability to attract new sales.</w:t>
      </w:r>
    </w:p>
    <w:p>
      <w:pPr>
        <w:spacing w:after="0" w:line="178" w:lineRule="exact"/>
        <w:rPr>
          <w:sz w:val="20"/>
          <w:szCs w:val="20"/>
          <w:color w:val="auto"/>
        </w:rPr>
      </w:pPr>
    </w:p>
    <w:p>
      <w:pPr>
        <w:ind w:right="120" w:firstLine="648"/>
        <w:spacing w:after="0" w:line="381" w:lineRule="auto"/>
        <w:rPr>
          <w:sz w:val="20"/>
          <w:szCs w:val="20"/>
          <w:color w:val="auto"/>
        </w:rPr>
      </w:pPr>
      <w:r>
        <w:rPr>
          <w:rFonts w:ascii="Arial" w:cs="Arial" w:eastAsia="Arial" w:hAnsi="Arial"/>
          <w:sz w:val="15"/>
          <w:szCs w:val="15"/>
          <w:color w:val="auto"/>
        </w:rPr>
        <w:t>Fees and other revenues increased $46.0 million, or 11%, to $451.3 million for the three months ended June 30, 2006, from $405.3 million for the three months ended June 30, 2005. The increase was primarily due to a $43.8 million increase from the U.S. Asset Management and Accumulation segment primarily</w:t>
      </w:r>
    </w:p>
    <w:p>
      <w:pPr>
        <w:sectPr>
          <w:pgSz w:w="11900" w:h="16838" w:orient="portrait"/>
          <w:cols w:equalWidth="0" w:num="1">
            <w:col w:w="11420"/>
          </w:cols>
          <w:pgMar w:left="240" w:top="125" w:right="239" w:bottom="0" w:gutter="0" w:footer="0" w:header="0"/>
        </w:sectPr>
      </w:pPr>
    </w:p>
    <w:bookmarkStart w:id="31" w:name="page32"/>
    <w:bookmarkEnd w:id="31"/>
    <w:p>
      <w:pPr>
        <w:spacing w:after="0"/>
        <w:rPr>
          <w:sz w:val="20"/>
          <w:szCs w:val="20"/>
          <w:color w:val="auto"/>
        </w:rPr>
      </w:pPr>
      <w:r>
        <w:rPr>
          <w:rFonts w:ascii="Arial" w:cs="Arial" w:eastAsia="Arial" w:hAnsi="Arial"/>
          <w:sz w:val="16"/>
          <w:szCs w:val="16"/>
          <w:color w:val="auto"/>
        </w:rPr>
        <w:t>related to an increase in account values stemming from continued strong full-service accumulation net cash flow and strong performance in the equity markets.</w:t>
      </w:r>
    </w:p>
    <w:p>
      <w:pPr>
        <w:spacing w:after="0" w:line="200" w:lineRule="exact"/>
        <w:rPr>
          <w:sz w:val="20"/>
          <w:szCs w:val="20"/>
          <w:color w:val="auto"/>
        </w:rPr>
      </w:pPr>
    </w:p>
    <w:p>
      <w:pPr>
        <w:spacing w:after="0" w:line="2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Net investment income increased $75.6 million, or 9%, to $911.6 million for the three months ended June 30, 2006, from $836.0 million for the three months ended June 30, 2005. The increase was primarily related to an increase in average annualized yield on invested assets and cash and a $1,483.3 million, or 3%, increase in average invested assets and cash. The yield on average invested assets and cash was 6.1% for the three months ended June 30, 2006 and 5.8% for the three months ended June 30, 2005.</w:t>
      </w:r>
    </w:p>
    <w:p>
      <w:pPr>
        <w:spacing w:after="0" w:line="187" w:lineRule="exact"/>
        <w:rPr>
          <w:sz w:val="20"/>
          <w:szCs w:val="20"/>
          <w:color w:val="auto"/>
        </w:rPr>
      </w:pPr>
    </w:p>
    <w:p>
      <w:pPr>
        <w:ind w:right="20" w:firstLine="648"/>
        <w:spacing w:after="0" w:line="293" w:lineRule="auto"/>
        <w:rPr>
          <w:sz w:val="20"/>
          <w:szCs w:val="20"/>
          <w:color w:val="auto"/>
        </w:rPr>
      </w:pPr>
      <w:r>
        <w:rPr>
          <w:rFonts w:ascii="Arial" w:cs="Arial" w:eastAsia="Arial" w:hAnsi="Arial"/>
          <w:sz w:val="16"/>
          <w:szCs w:val="16"/>
          <w:color w:val="auto"/>
        </w:rPr>
        <w:t>Net realized/unrealized capital losses increased $29.3 million to $19.1 million of net realized/unrealized capital losses for the three months ended June 30, 2006, from $10.2 million of net realized/unrealized capital gains for the three months ended June 30, 2005. The increase was due to the non-recurrence of a large recovery of previously impaired securities as the result of a litigation settlement that occurred in second quarter 2005 and increased impairments in 2006 as the result of a change in our ability and intent to hold certain fixed maturity securities until recovery due to our need to fund our recently announced acquisition of WM Advisors, losses versus gains on the mark to market of fixed maturity trading securities and fewer gains on real estate sales. Partially offsetting these increases were fewer losses on the mark to market of derivatives and fewer losses on credit triggered bond sales.</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following table highlights the contributors to net realized/unrealized capital gains and losses for the three months ended June 30, 2006.</w:t>
      </w: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1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3000" w:type="dxa"/>
            <w:vAlign w:val="bottom"/>
            <w:tcBorders>
              <w:bottom w:val="single" w:sz="8" w:color="auto"/>
            </w:tcBorders>
            <w:gridSpan w:val="5"/>
          </w:tcPr>
          <w:p>
            <w:pPr>
              <w:jc w:val="right"/>
              <w:ind w:right="380"/>
              <w:spacing w:after="0"/>
              <w:rPr>
                <w:sz w:val="20"/>
                <w:szCs w:val="20"/>
                <w:color w:val="auto"/>
              </w:rPr>
            </w:pPr>
            <w:r>
              <w:rPr>
                <w:rFonts w:ascii="Arial" w:cs="Arial" w:eastAsia="Arial" w:hAnsi="Arial"/>
                <w:sz w:val="14"/>
                <w:szCs w:val="14"/>
                <w:b w:val="1"/>
                <w:bCs w:val="1"/>
                <w:color w:val="auto"/>
                <w:w w:val="92"/>
              </w:rPr>
              <w:t>For the three months ended June 30, 2006</w:t>
            </w:r>
          </w:p>
        </w:tc>
        <w:tc>
          <w:tcPr>
            <w:tcW w:w="1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5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60" w:type="dxa"/>
            <w:vAlign w:val="bottom"/>
          </w:tcPr>
          <w:p>
            <w:pPr>
              <w:spacing w:after="0"/>
              <w:rPr>
                <w:sz w:val="8"/>
                <w:szCs w:val="8"/>
                <w:color w:val="auto"/>
              </w:rPr>
            </w:pPr>
          </w:p>
        </w:tc>
        <w:tc>
          <w:tcPr>
            <w:tcW w:w="2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220" w:type="dxa"/>
            <w:vAlign w:val="bottom"/>
          </w:tcPr>
          <w:p>
            <w:pPr>
              <w:spacing w:after="0"/>
              <w:rPr>
                <w:sz w:val="8"/>
                <w:szCs w:val="8"/>
                <w:color w:val="auto"/>
              </w:rPr>
            </w:pPr>
          </w:p>
        </w:tc>
        <w:tc>
          <w:tcPr>
            <w:tcW w:w="260" w:type="dxa"/>
            <w:vAlign w:val="bottom"/>
          </w:tcPr>
          <w:p>
            <w:pPr>
              <w:spacing w:after="0"/>
              <w:rPr>
                <w:sz w:val="8"/>
                <w:szCs w:val="8"/>
                <w:color w:val="auto"/>
              </w:rPr>
            </w:pPr>
          </w:p>
        </w:tc>
        <w:tc>
          <w:tcPr>
            <w:tcW w:w="2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1160" w:type="dxa"/>
            <w:vAlign w:val="bottom"/>
          </w:tcPr>
          <w:p>
            <w:pPr>
              <w:jc w:val="center"/>
              <w:ind w:right="138"/>
              <w:spacing w:after="0" w:line="102" w:lineRule="exact"/>
              <w:rPr>
                <w:sz w:val="20"/>
                <w:szCs w:val="20"/>
                <w:color w:val="auto"/>
              </w:rPr>
            </w:pPr>
            <w:r>
              <w:rPr>
                <w:rFonts w:ascii="Arial" w:cs="Arial" w:eastAsia="Arial" w:hAnsi="Arial"/>
                <w:sz w:val="11"/>
                <w:szCs w:val="11"/>
                <w:b w:val="1"/>
                <w:bCs w:val="1"/>
                <w:color w:val="auto"/>
              </w:rPr>
              <w:t>Net realized/</w:t>
            </w: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5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52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w w:val="96"/>
              </w:rPr>
              <w:t>Impairments and</w:t>
            </w:r>
          </w:p>
        </w:tc>
        <w:tc>
          <w:tcPr>
            <w:tcW w:w="140" w:type="dxa"/>
            <w:vAlign w:val="bottom"/>
          </w:tcPr>
          <w:p>
            <w:pPr>
              <w:spacing w:after="0"/>
              <w:rPr>
                <w:sz w:val="11"/>
                <w:szCs w:val="11"/>
                <w:color w:val="auto"/>
              </w:rPr>
            </w:pPr>
          </w:p>
        </w:tc>
        <w:tc>
          <w:tcPr>
            <w:tcW w:w="1480" w:type="dxa"/>
            <w:vAlign w:val="bottom"/>
            <w:gridSpan w:val="2"/>
            <w:vMerge w:val="restart"/>
          </w:tcPr>
          <w:p>
            <w:pPr>
              <w:jc w:val="right"/>
              <w:ind w:right="500"/>
              <w:spacing w:after="0"/>
              <w:rPr>
                <w:sz w:val="20"/>
                <w:szCs w:val="20"/>
                <w:color w:val="auto"/>
              </w:rPr>
            </w:pPr>
            <w:r>
              <w:rPr>
                <w:rFonts w:ascii="Arial" w:cs="Arial" w:eastAsia="Arial" w:hAnsi="Arial"/>
                <w:sz w:val="14"/>
                <w:szCs w:val="14"/>
                <w:b w:val="1"/>
                <w:bCs w:val="1"/>
                <w:color w:val="auto"/>
              </w:rPr>
              <w:t>Other gains</w:t>
            </w:r>
          </w:p>
        </w:tc>
        <w:tc>
          <w:tcPr>
            <w:tcW w:w="260" w:type="dxa"/>
            <w:vAlign w:val="bottom"/>
          </w:tcPr>
          <w:p>
            <w:pPr>
              <w:spacing w:after="0"/>
              <w:rPr>
                <w:sz w:val="11"/>
                <w:szCs w:val="11"/>
                <w:color w:val="auto"/>
              </w:rPr>
            </w:pPr>
          </w:p>
        </w:tc>
        <w:tc>
          <w:tcPr>
            <w:tcW w:w="1260" w:type="dxa"/>
            <w:vAlign w:val="bottom"/>
            <w:gridSpan w:val="2"/>
            <w:vMerge w:val="restart"/>
          </w:tcPr>
          <w:p>
            <w:pPr>
              <w:jc w:val="right"/>
              <w:ind w:right="580"/>
              <w:spacing w:after="0"/>
              <w:rPr>
                <w:sz w:val="20"/>
                <w:szCs w:val="20"/>
                <w:color w:val="auto"/>
              </w:rPr>
            </w:pPr>
            <w:r>
              <w:rPr>
                <w:rFonts w:ascii="Arial" w:cs="Arial" w:eastAsia="Arial" w:hAnsi="Arial"/>
                <w:sz w:val="14"/>
                <w:szCs w:val="14"/>
                <w:b w:val="1"/>
                <w:bCs w:val="1"/>
                <w:color w:val="auto"/>
              </w:rPr>
              <w:t>Hedging</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4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92"/>
              </w:rPr>
              <w:t>unrealized</w:t>
            </w:r>
          </w:p>
        </w:tc>
        <w:tc>
          <w:tcPr>
            <w:tcW w:w="0" w:type="dxa"/>
            <w:vAlign w:val="bottom"/>
          </w:tcPr>
          <w:p>
            <w:pPr>
              <w:spacing w:after="0"/>
              <w:rPr>
                <w:sz w:val="1"/>
                <w:szCs w:val="1"/>
                <w:color w:val="auto"/>
              </w:rPr>
            </w:pPr>
          </w:p>
        </w:tc>
      </w:tr>
      <w:tr>
        <w:trPr>
          <w:trHeight w:val="135"/>
        </w:trPr>
        <w:tc>
          <w:tcPr>
            <w:tcW w:w="5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52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260" w:type="dxa"/>
            <w:vAlign w:val="bottom"/>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4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89"/>
              </w:rPr>
              <w:t>capital gains</w:t>
            </w:r>
          </w:p>
        </w:tc>
        <w:tc>
          <w:tcPr>
            <w:tcW w:w="0" w:type="dxa"/>
            <w:vAlign w:val="bottom"/>
          </w:tcPr>
          <w:p>
            <w:pPr>
              <w:spacing w:after="0"/>
              <w:rPr>
                <w:sz w:val="1"/>
                <w:szCs w:val="1"/>
                <w:color w:val="auto"/>
              </w:rPr>
            </w:pPr>
          </w:p>
        </w:tc>
      </w:tr>
      <w:tr>
        <w:trPr>
          <w:trHeight w:val="162"/>
        </w:trPr>
        <w:tc>
          <w:tcPr>
            <w:tcW w:w="5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2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credit losses</w:t>
            </w:r>
          </w:p>
        </w:tc>
        <w:tc>
          <w:tcPr>
            <w:tcW w:w="140" w:type="dxa"/>
            <w:vAlign w:val="bottom"/>
          </w:tcPr>
          <w:p>
            <w:pPr>
              <w:spacing w:after="0"/>
              <w:rPr>
                <w:sz w:val="14"/>
                <w:szCs w:val="14"/>
                <w:color w:val="auto"/>
              </w:rPr>
            </w:pPr>
          </w:p>
        </w:tc>
        <w:tc>
          <w:tcPr>
            <w:tcW w:w="148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rPr>
              <w:t>(losses)</w:t>
            </w:r>
          </w:p>
        </w:tc>
        <w:tc>
          <w:tcPr>
            <w:tcW w:w="260" w:type="dxa"/>
            <w:vAlign w:val="bottom"/>
          </w:tcPr>
          <w:p>
            <w:pPr>
              <w:spacing w:after="0"/>
              <w:rPr>
                <w:sz w:val="14"/>
                <w:szCs w:val="14"/>
                <w:color w:val="auto"/>
              </w:rPr>
            </w:pPr>
          </w:p>
        </w:tc>
        <w:tc>
          <w:tcPr>
            <w:tcW w:w="126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w w:val="94"/>
              </w:rPr>
              <w:t>adjustments</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3"/>
              </w:rPr>
              <w:t>(losses)</w:t>
            </w:r>
          </w:p>
        </w:tc>
        <w:tc>
          <w:tcPr>
            <w:tcW w:w="0" w:type="dxa"/>
            <w:vAlign w:val="bottom"/>
          </w:tcPr>
          <w:p>
            <w:pPr>
              <w:spacing w:after="0"/>
              <w:rPr>
                <w:sz w:val="1"/>
                <w:szCs w:val="1"/>
                <w:color w:val="auto"/>
              </w:rPr>
            </w:pPr>
          </w:p>
        </w:tc>
      </w:tr>
      <w:tr>
        <w:trPr>
          <w:trHeight w:val="129"/>
        </w:trPr>
        <w:tc>
          <w:tcPr>
            <w:tcW w:w="51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26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740" w:type="dxa"/>
            <w:vAlign w:val="bottom"/>
            <w:tcBorders>
              <w:top w:val="single" w:sz="8" w:color="auto"/>
            </w:tcBorders>
            <w:gridSpan w:val="3"/>
          </w:tcPr>
          <w:p>
            <w:pPr>
              <w:jc w:val="right"/>
              <w:spacing w:after="0" w:line="129" w:lineRule="exact"/>
              <w:rPr>
                <w:sz w:val="20"/>
                <w:szCs w:val="20"/>
                <w:color w:val="auto"/>
              </w:rPr>
            </w:pPr>
            <w:r>
              <w:rPr>
                <w:rFonts w:ascii="Arial" w:cs="Arial" w:eastAsia="Arial" w:hAnsi="Arial"/>
                <w:sz w:val="14"/>
                <w:szCs w:val="14"/>
                <w:b w:val="1"/>
                <w:bCs w:val="1"/>
                <w:color w:val="auto"/>
              </w:rPr>
              <w:t>(in millions)</w:t>
            </w:r>
          </w:p>
        </w:tc>
        <w:tc>
          <w:tcPr>
            <w:tcW w:w="110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16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Fixed maturity securities(1)</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5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(20.9)</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(57.2)</w:t>
            </w:r>
          </w:p>
        </w:tc>
        <w:tc>
          <w:tcPr>
            <w:tcW w:w="30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(75.8)</w:t>
            </w:r>
          </w:p>
        </w:tc>
        <w:tc>
          <w:tcPr>
            <w:tcW w:w="0" w:type="dxa"/>
            <w:vAlign w:val="bottom"/>
          </w:tcPr>
          <w:p>
            <w:pPr>
              <w:spacing w:after="0"/>
              <w:rPr>
                <w:sz w:val="1"/>
                <w:szCs w:val="1"/>
                <w:color w:val="auto"/>
              </w:rPr>
            </w:pPr>
          </w:p>
        </w:tc>
      </w:tr>
      <w:tr>
        <w:trPr>
          <w:trHeight w:val="216"/>
        </w:trPr>
        <w:tc>
          <w:tcPr>
            <w:tcW w:w="5100" w:type="dxa"/>
            <w:vAlign w:val="bottom"/>
          </w:tcPr>
          <w:p>
            <w:pPr>
              <w:spacing w:after="0"/>
              <w:rPr>
                <w:sz w:val="20"/>
                <w:szCs w:val="20"/>
                <w:color w:val="auto"/>
              </w:rPr>
            </w:pPr>
            <w:r>
              <w:rPr>
                <w:rFonts w:ascii="Arial" w:cs="Arial" w:eastAsia="Arial" w:hAnsi="Arial"/>
                <w:sz w:val="18"/>
                <w:szCs w:val="18"/>
                <w:color w:val="auto"/>
              </w:rPr>
              <w:t>Fixed maturity securities, trading</w:t>
            </w:r>
          </w:p>
        </w:tc>
        <w:tc>
          <w:tcPr>
            <w:tcW w:w="120" w:type="dxa"/>
            <w:vAlign w:val="bottom"/>
          </w:tcPr>
          <w:p>
            <w:pPr>
              <w:spacing w:after="0"/>
              <w:rPr>
                <w:sz w:val="18"/>
                <w:szCs w:val="18"/>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(3.4)</w:t>
            </w:r>
          </w:p>
        </w:tc>
        <w:tc>
          <w:tcPr>
            <w:tcW w:w="260" w:type="dxa"/>
            <w:vAlign w:val="bottom"/>
          </w:tcPr>
          <w:p>
            <w:pPr>
              <w:spacing w:after="0"/>
              <w:rPr>
                <w:sz w:val="18"/>
                <w:szCs w:val="18"/>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spacing w:after="0"/>
              <w:rPr>
                <w:sz w:val="20"/>
                <w:szCs w:val="20"/>
                <w:color w:val="auto"/>
              </w:rPr>
            </w:pPr>
            <w:r>
              <w:rPr>
                <w:rFonts w:ascii="Arial" w:cs="Arial" w:eastAsia="Arial" w:hAnsi="Arial"/>
                <w:sz w:val="18"/>
                <w:szCs w:val="18"/>
                <w:b w:val="1"/>
                <w:bCs w:val="1"/>
                <w:color w:val="auto"/>
              </w:rPr>
              <w:t>(3.4)</w:t>
            </w:r>
          </w:p>
        </w:tc>
        <w:tc>
          <w:tcPr>
            <w:tcW w:w="0" w:type="dxa"/>
            <w:vAlign w:val="bottom"/>
          </w:tcPr>
          <w:p>
            <w:pPr>
              <w:spacing w:after="0"/>
              <w:rPr>
                <w:sz w:val="1"/>
                <w:szCs w:val="1"/>
                <w:color w:val="auto"/>
              </w:rPr>
            </w:pPr>
          </w:p>
        </w:tc>
      </w:tr>
      <w:tr>
        <w:trPr>
          <w:trHeight w:val="216"/>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securities(2)</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(4.2)</w:t>
            </w:r>
          </w:p>
        </w:tc>
        <w:tc>
          <w:tcPr>
            <w:tcW w:w="2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(4.2)</w:t>
            </w:r>
          </w:p>
        </w:tc>
        <w:tc>
          <w:tcPr>
            <w:tcW w:w="0" w:type="dxa"/>
            <w:vAlign w:val="bottom"/>
          </w:tcPr>
          <w:p>
            <w:pPr>
              <w:spacing w:after="0"/>
              <w:rPr>
                <w:sz w:val="1"/>
                <w:szCs w:val="1"/>
                <w:color w:val="auto"/>
              </w:rPr>
            </w:pPr>
          </w:p>
        </w:tc>
      </w:tr>
      <w:tr>
        <w:trPr>
          <w:trHeight w:val="216"/>
        </w:trPr>
        <w:tc>
          <w:tcPr>
            <w:tcW w:w="5100" w:type="dxa"/>
            <w:vAlign w:val="bottom"/>
          </w:tcPr>
          <w:p>
            <w:pPr>
              <w:spacing w:after="0"/>
              <w:rPr>
                <w:sz w:val="20"/>
                <w:szCs w:val="20"/>
                <w:color w:val="auto"/>
              </w:rPr>
            </w:pPr>
            <w:r>
              <w:rPr>
                <w:rFonts w:ascii="Arial" w:cs="Arial" w:eastAsia="Arial" w:hAnsi="Arial"/>
                <w:sz w:val="18"/>
                <w:szCs w:val="18"/>
                <w:color w:val="auto"/>
              </w:rPr>
              <w:t>Mortgage loans on real estate(3)</w:t>
            </w: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b w:val="1"/>
                <w:bCs w:val="1"/>
                <w:color w:val="auto"/>
              </w:rPr>
              <w:t>1.3</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260" w:type="dxa"/>
            <w:vAlign w:val="bottom"/>
          </w:tcPr>
          <w:p>
            <w:pPr>
              <w:spacing w:after="0"/>
              <w:rPr>
                <w:sz w:val="18"/>
                <w:szCs w:val="18"/>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1.3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Derivatives</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26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62.4</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62.4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00" w:type="dxa"/>
            <w:vAlign w:val="bottom"/>
          </w:tcPr>
          <w:p>
            <w:pPr>
              <w:spacing w:after="0"/>
              <w:rPr>
                <w:sz w:val="20"/>
                <w:szCs w:val="20"/>
                <w:color w:val="auto"/>
              </w:rPr>
            </w:pPr>
            <w:r>
              <w:rPr>
                <w:rFonts w:ascii="Arial" w:cs="Arial" w:eastAsia="Arial" w:hAnsi="Arial"/>
                <w:sz w:val="18"/>
                <w:szCs w:val="18"/>
                <w:color w:val="auto"/>
              </w:rPr>
              <w:t>Other(4)</w:t>
            </w:r>
          </w:p>
        </w:tc>
        <w:tc>
          <w:tcPr>
            <w:tcW w:w="120" w:type="dxa"/>
            <w:vAlign w:val="bottom"/>
          </w:tcPr>
          <w:p>
            <w:pPr>
              <w:spacing w:after="0"/>
              <w:rPr>
                <w:sz w:val="18"/>
                <w:szCs w:val="18"/>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5.2</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(4.6)</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0.6</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100" w:type="dxa"/>
            <w:vAlign w:val="bottom"/>
            <w:tcBorders>
              <w:top w:val="single" w:sz="8" w:color="CCEEFF"/>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Total</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2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(19.6</w:t>
            </w:r>
          </w:p>
        </w:tc>
        <w:tc>
          <w:tcPr>
            <w:tcW w:w="260" w:type="dxa"/>
            <w:vAlign w:val="bottom"/>
            <w:tcBorders>
              <w:top w:val="single" w:sz="8" w:color="CCEEFF"/>
              <w:bottom w:val="single" w:sz="8" w:color="CCEEFF"/>
            </w:tcBorders>
            <w:shd w:val="clear" w:color="auto" w:fill="CCEEFF"/>
          </w:tcPr>
          <w:p>
            <w:pPr>
              <w:jc w:val="right"/>
              <w:ind w:right="120"/>
              <w:spacing w:after="0"/>
              <w:rPr>
                <w:sz w:val="20"/>
                <w:szCs w:val="20"/>
                <w:color w:val="auto"/>
              </w:rPr>
            </w:pPr>
            <w:r>
              <w:rPr>
                <w:rFonts w:ascii="Arial" w:cs="Arial" w:eastAsia="Arial" w:hAnsi="Arial"/>
                <w:sz w:val="16"/>
                <w:szCs w:val="16"/>
                <w:b w:val="1"/>
                <w:bCs w:val="1"/>
                <w:color w:val="auto"/>
                <w:w w:val="74"/>
              </w:rPr>
              <w:t>)</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(0.1</w:t>
            </w:r>
          </w:p>
        </w:tc>
        <w:tc>
          <w:tcPr>
            <w:tcW w:w="260" w:type="dxa"/>
            <w:vAlign w:val="bottom"/>
            <w:tcBorders>
              <w:top w:val="single" w:sz="8" w:color="CCEEFF"/>
              <w:bottom w:val="single" w:sz="8" w:color="CCEEFF"/>
            </w:tcBorders>
            <w:shd w:val="clear" w:color="auto" w:fill="CCEEFF"/>
          </w:tcPr>
          <w:p>
            <w:pPr>
              <w:jc w:val="right"/>
              <w:ind w:right="120"/>
              <w:spacing w:after="0"/>
              <w:rPr>
                <w:sz w:val="20"/>
                <w:szCs w:val="20"/>
                <w:color w:val="auto"/>
              </w:rPr>
            </w:pPr>
            <w:r>
              <w:rPr>
                <w:rFonts w:ascii="Arial" w:cs="Arial" w:eastAsia="Arial" w:hAnsi="Arial"/>
                <w:sz w:val="16"/>
                <w:szCs w:val="16"/>
                <w:b w:val="1"/>
                <w:bCs w:val="1"/>
                <w:color w:val="auto"/>
                <w:w w:val="74"/>
              </w:rPr>
              <w:t>)</w:t>
            </w: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0.6</w:t>
            </w: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(19.1</w:t>
            </w:r>
          </w:p>
        </w:tc>
        <w:tc>
          <w:tcPr>
            <w:tcW w:w="8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74"/>
              </w:rPr>
              <w:t>)</w:t>
            </w:r>
          </w:p>
        </w:tc>
        <w:tc>
          <w:tcPr>
            <w:tcW w:w="0" w:type="dxa"/>
            <w:vAlign w:val="bottom"/>
          </w:tcPr>
          <w:p>
            <w:pPr>
              <w:spacing w:after="0"/>
              <w:rPr>
                <w:sz w:val="1"/>
                <w:szCs w:val="1"/>
                <w:color w:val="auto"/>
              </w:rPr>
            </w:pPr>
          </w:p>
        </w:tc>
      </w:tr>
      <w:tr>
        <w:trPr>
          <w:trHeight w:val="20"/>
        </w:trPr>
        <w:tc>
          <w:tcPr>
            <w:tcW w:w="5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38938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660" w:right="100" w:hanging="652"/>
        <w:spacing w:after="0" w:line="276" w:lineRule="auto"/>
        <w:tabs>
          <w:tab w:leader="none" w:pos="614" w:val="left"/>
        </w:tabs>
        <w:numPr>
          <w:ilvl w:val="0"/>
          <w:numId w:val="12"/>
        </w:numPr>
        <w:rPr>
          <w:rFonts w:ascii="Arial" w:cs="Arial" w:eastAsia="Arial" w:hAnsi="Arial"/>
          <w:sz w:val="17"/>
          <w:szCs w:val="17"/>
          <w:color w:val="auto"/>
        </w:rPr>
      </w:pPr>
      <w:r>
        <w:rPr>
          <w:rFonts w:ascii="Arial" w:cs="Arial" w:eastAsia="Arial" w:hAnsi="Arial"/>
          <w:sz w:val="17"/>
          <w:szCs w:val="17"/>
          <w:color w:val="auto"/>
        </w:rPr>
        <w:t>Impairments include $0.6 million of credit impairment write-downs and $0.9 million in realized credit recoveries on the sale of previously impaired assets. As the result of the need to fund our recently announced acquisition of WM Advisors, impairments also include $16.0 million of write-downs that resulted from our determination that we no longer had the ability and intent to hold certain fixed maturity securities until they recovered in value. Credit losses include $5.2 million in realized losses related to credit triggered sales. Other gains (losses) include $2.9 million in net gains as the result of prepayment activity, gross realized gains of $0.5 million and gross realized losses of $1.1 million.</w:t>
      </w:r>
    </w:p>
    <w:p>
      <w:pPr>
        <w:spacing w:after="0" w:line="172" w:lineRule="exact"/>
        <w:rPr>
          <w:rFonts w:ascii="Arial" w:cs="Arial" w:eastAsia="Arial" w:hAnsi="Arial"/>
          <w:sz w:val="17"/>
          <w:szCs w:val="17"/>
          <w:color w:val="auto"/>
        </w:rPr>
      </w:pPr>
    </w:p>
    <w:p>
      <w:pPr>
        <w:ind w:left="620" w:hanging="612"/>
        <w:spacing w:after="0"/>
        <w:tabs>
          <w:tab w:leader="none" w:pos="6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Other gains (losses) include $4.2 million in mark to market of net realized/unrealized losses on trading securities.</w:t>
      </w:r>
    </w:p>
    <w:p>
      <w:pPr>
        <w:spacing w:after="0" w:line="225" w:lineRule="exact"/>
        <w:rPr>
          <w:rFonts w:ascii="Arial" w:cs="Arial" w:eastAsia="Arial" w:hAnsi="Arial"/>
          <w:sz w:val="18"/>
          <w:szCs w:val="18"/>
          <w:color w:val="auto"/>
        </w:rPr>
      </w:pPr>
    </w:p>
    <w:p>
      <w:pPr>
        <w:ind w:left="660" w:right="100" w:hanging="652"/>
        <w:spacing w:after="0" w:line="277" w:lineRule="auto"/>
        <w:tabs>
          <w:tab w:leader="none" w:pos="614" w:val="left"/>
        </w:tabs>
        <w:numPr>
          <w:ilvl w:val="0"/>
          <w:numId w:val="12"/>
        </w:numPr>
        <w:rPr>
          <w:rFonts w:ascii="Arial" w:cs="Arial" w:eastAsia="Arial" w:hAnsi="Arial"/>
          <w:sz w:val="18"/>
          <w:szCs w:val="18"/>
          <w:color w:val="auto"/>
        </w:rPr>
      </w:pPr>
      <w:r>
        <w:rPr>
          <w:rFonts w:ascii="Arial" w:cs="Arial" w:eastAsia="Arial" w:hAnsi="Arial"/>
          <w:sz w:val="18"/>
          <w:szCs w:val="18"/>
          <w:color w:val="auto"/>
        </w:rPr>
        <w:t>Impairments include $3.6 million in realized recoveries on the sale of previously impaired commercial mortgage loans and a $1.4 million increase in the commercial mortgage valuation allowance.</w:t>
      </w:r>
    </w:p>
    <w:p>
      <w:pPr>
        <w:spacing w:after="0" w:line="170" w:lineRule="exact"/>
        <w:rPr>
          <w:rFonts w:ascii="Arial" w:cs="Arial" w:eastAsia="Arial" w:hAnsi="Arial"/>
          <w:sz w:val="18"/>
          <w:szCs w:val="18"/>
          <w:color w:val="auto"/>
        </w:rPr>
      </w:pPr>
    </w:p>
    <w:p>
      <w:pPr>
        <w:ind w:left="620" w:hanging="612"/>
        <w:spacing w:after="0"/>
        <w:tabs>
          <w:tab w:leader="none" w:pos="6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Other gains (losses) include $2.6 million in mark to market net realized/unrealized gains on certain seed money investments.</w:t>
      </w:r>
    </w:p>
    <w:p>
      <w:pPr>
        <w:spacing w:after="0" w:line="225" w:lineRule="exact"/>
        <w:rPr>
          <w:sz w:val="20"/>
          <w:szCs w:val="20"/>
          <w:color w:val="auto"/>
        </w:rPr>
      </w:pPr>
    </w:p>
    <w:p>
      <w:pPr>
        <w:ind w:right="520" w:firstLine="648"/>
        <w:spacing w:after="0" w:line="297" w:lineRule="auto"/>
        <w:rPr>
          <w:sz w:val="20"/>
          <w:szCs w:val="20"/>
          <w:color w:val="auto"/>
        </w:rPr>
      </w:pPr>
      <w:r>
        <w:rPr>
          <w:rFonts w:ascii="Arial" w:cs="Arial" w:eastAsia="Arial" w:hAnsi="Arial"/>
          <w:sz w:val="16"/>
          <w:szCs w:val="16"/>
          <w:color w:val="auto"/>
        </w:rPr>
        <w:t>Benefits, claims and settlement expenses increased $195.1 million, or 15%, to $1,459.6 million for the three months ended June 30, 2006, from $1,264.5 million for the three months ended June 30, 2005. The increase was due to a $107.2 million increase from the Life and Health Insurance segment, primarily due to growthin the health insurance and specialty benefits businesses as well as individual life insurance methodology improvements related to reinsurance values in 2005. The increase also reflected a $87.2 million increase from the U.S. Asset Management and Accumulation segment, primarily reflecting the increase in reserves resulting from an increase in sales of single premium group annuities with life contingencies.</w:t>
      </w:r>
    </w:p>
    <w:p>
      <w:pPr>
        <w:spacing w:after="0" w:line="158" w:lineRule="exact"/>
        <w:rPr>
          <w:sz w:val="20"/>
          <w:szCs w:val="20"/>
          <w:color w:val="auto"/>
        </w:rPr>
      </w:pPr>
    </w:p>
    <w:p>
      <w:pPr>
        <w:ind w:right="260" w:firstLine="648"/>
        <w:spacing w:after="0" w:line="279" w:lineRule="auto"/>
        <w:rPr>
          <w:sz w:val="20"/>
          <w:szCs w:val="20"/>
          <w:color w:val="auto"/>
        </w:rPr>
      </w:pPr>
      <w:r>
        <w:rPr>
          <w:rFonts w:ascii="Arial" w:cs="Arial" w:eastAsia="Arial" w:hAnsi="Arial"/>
          <w:sz w:val="17"/>
          <w:szCs w:val="17"/>
          <w:color w:val="auto"/>
        </w:rPr>
        <w:t>Dividends to policyholders increased $0.3 million to $72.5 million for the three months ended June 30, 2006, from $72.2 million for the three months ended June 30, 2005. The increase was primarily due to a $1.7 million increase from the Life and Health segment due to an increase in the individual life insurance dividend crediting rates. Partially offsetting the increase was a $1.4 million decrease in the U.S. Asset Management and Accumulation segment primarily due to a decrease in dividends for our participating pension full-service accumulation products.</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40" w:firstLine="648"/>
        <w:spacing w:after="0" w:line="297" w:lineRule="auto"/>
        <w:rPr>
          <w:sz w:val="20"/>
          <w:szCs w:val="20"/>
          <w:color w:val="auto"/>
        </w:rPr>
      </w:pPr>
      <w:r>
        <w:rPr>
          <w:rFonts w:ascii="Arial" w:cs="Arial" w:eastAsia="Arial" w:hAnsi="Arial"/>
          <w:sz w:val="16"/>
          <w:szCs w:val="16"/>
          <w:color w:val="auto"/>
        </w:rPr>
        <w:t>Operating expenses increased $39.0 million, or 7%, to $619.8 million for the three months ended June 30, 2006, from $580.8 million for the three months ended June 30, 2005. The increase reflected a $28.1 million increase from the U.S. Asset Management and Accumulation segment, primarily due to an increase in deferred policy acquisition costs (“DPAC”) amortization, staff related costs and non-deferred sales compensation costs. In addition, the increase was due to a $6.4 million increase in the International Asset Management and Accumulation segment primarily due to an increase in compensation costs, professional fees, and distribution expenses partially offset by the net impact of DPAC and value of business acquired (“VOBA”) unlocking.</w:t>
      </w:r>
    </w:p>
    <w:p>
      <w:pPr>
        <w:spacing w:after="0" w:line="158" w:lineRule="exact"/>
        <w:rPr>
          <w:sz w:val="20"/>
          <w:szCs w:val="20"/>
          <w:color w:val="auto"/>
        </w:rPr>
      </w:pPr>
    </w:p>
    <w:p>
      <w:pPr>
        <w:ind w:right="20" w:firstLine="648"/>
        <w:spacing w:after="0" w:line="302" w:lineRule="auto"/>
        <w:rPr>
          <w:sz w:val="20"/>
          <w:szCs w:val="20"/>
          <w:color w:val="auto"/>
        </w:rPr>
      </w:pPr>
      <w:r>
        <w:rPr>
          <w:rFonts w:ascii="Arial" w:cs="Arial" w:eastAsia="Arial" w:hAnsi="Arial"/>
          <w:sz w:val="16"/>
          <w:szCs w:val="16"/>
          <w:color w:val="auto"/>
        </w:rPr>
        <w:t>Income taxes increased $18.4 million, or 31%, to $77.7 million for the three months ended June 30, 2006, from $59.3 million for the three months ended June 30, 2005. The effective income tax rate was 26% for the three months ended June 30, 2006, and 21% for the three months ended June 30, 2005. The effective income tax rate for the three months ended June 30, 2006, was lower than the corporate income tax rate of 35% primarily due to income tax deductions allowed for corporate dividends received and interest exclusion from taxable income. The effective income tax rate for the three months ended June 30, 2005,</w:t>
      </w:r>
    </w:p>
    <w:p>
      <w:pPr>
        <w:sectPr>
          <w:pgSz w:w="11900" w:h="16838" w:orient="portrait"/>
          <w:cols w:equalWidth="0" w:num="1">
            <w:col w:w="11420"/>
          </w:cols>
          <w:pgMar w:left="240" w:top="125" w:right="239" w:bottom="0" w:gutter="0" w:footer="0" w:header="0"/>
        </w:sectPr>
      </w:pPr>
    </w:p>
    <w:bookmarkStart w:id="32" w:name="page33"/>
    <w:bookmarkEnd w:id="32"/>
    <w:p>
      <w:pPr>
        <w:ind w:right="260"/>
        <w:spacing w:after="0" w:line="279" w:lineRule="auto"/>
        <w:rPr>
          <w:sz w:val="20"/>
          <w:szCs w:val="20"/>
          <w:color w:val="auto"/>
        </w:rPr>
      </w:pPr>
      <w:r>
        <w:rPr>
          <w:rFonts w:ascii="Arial" w:cs="Arial" w:eastAsia="Arial" w:hAnsi="Arial"/>
          <w:sz w:val="17"/>
          <w:szCs w:val="17"/>
          <w:color w:val="auto"/>
        </w:rPr>
        <w:t>was lower than the corporate income tax rate of 35% primarily due to income tax deductions allowed for corporate dividends received, tax credits on our investment in a synthetic fuel production facility, and interest exclusion from taxable income. The increase in the effective tax rate to 26% for the three months ended June 30, 2006, from 21% for the three months ended June 30, 2005, was primarily due to tax credits on our investment in a synthetic fuel production facility in 2005 with no corresponding activity for the three months ended June 30, 2006.</w:t>
      </w:r>
    </w:p>
    <w:p>
      <w:pPr>
        <w:spacing w:after="0" w:line="171"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As a result of the foregoing factors and the inclusion of income from discontinued operations for 2005, net of related income taxes, net income decreased $20.1 million, or 8%, to $218.8 million for the three months ended June 30, 2006, from $238.9 million for the three months ended June 30, 2005. The income from discontinued operations for the three months ended June 30, 2005, was related to a gain on the sale and operating revenues of a real estate property that qualifies for discontinued operations treatment under SFAS 144</w:t>
      </w:r>
      <w:r>
        <w:rPr>
          <w:rFonts w:ascii="Arial" w:cs="Arial" w:eastAsia="Arial" w:hAnsi="Arial"/>
          <w:sz w:val="18"/>
          <w:szCs w:val="18"/>
          <w:i w:val="1"/>
          <w:iCs w:val="1"/>
          <w:color w:val="auto"/>
        </w:rPr>
        <w:t>.</w:t>
      </w:r>
    </w:p>
    <w:p>
      <w:pPr>
        <w:spacing w:after="0" w:line="187"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Preferred stock dividends were $8.3 million for the three months ended June 30, 2006, with no corresponding activity for the three months ended June 30, 2005.</w:t>
      </w:r>
    </w:p>
    <w:p>
      <w:pPr>
        <w:spacing w:after="0" w:line="170" w:lineRule="exact"/>
        <w:rPr>
          <w:sz w:val="20"/>
          <w:szCs w:val="20"/>
          <w:color w:val="auto"/>
        </w:rPr>
      </w:pPr>
    </w:p>
    <w:p>
      <w:pPr>
        <w:ind w:right="480" w:firstLine="648"/>
        <w:spacing w:after="0" w:line="277" w:lineRule="auto"/>
        <w:rPr>
          <w:sz w:val="20"/>
          <w:szCs w:val="20"/>
          <w:color w:val="auto"/>
        </w:rPr>
      </w:pPr>
      <w:r>
        <w:rPr>
          <w:rFonts w:ascii="Arial" w:cs="Arial" w:eastAsia="Arial" w:hAnsi="Arial"/>
          <w:sz w:val="18"/>
          <w:szCs w:val="18"/>
          <w:color w:val="auto"/>
        </w:rPr>
        <w:t>Net income available to common stockholders decreased $28.4 million, or 12%, to $210.5 million for the three months ended June 30, 2006, from $238.9 million for the three months ended June 30, 2005.</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Six Months Ended June 30, 2006 Compared to Six Months Ended June 30, 2005</w:t>
      </w:r>
    </w:p>
    <w:p>
      <w:pPr>
        <w:spacing w:after="0" w:line="225" w:lineRule="exact"/>
        <w:rPr>
          <w:sz w:val="20"/>
          <w:szCs w:val="20"/>
          <w:color w:val="auto"/>
        </w:rPr>
      </w:pPr>
    </w:p>
    <w:p>
      <w:pPr>
        <w:ind w:right="20" w:firstLine="648"/>
        <w:spacing w:after="0" w:line="272" w:lineRule="auto"/>
        <w:rPr>
          <w:sz w:val="20"/>
          <w:szCs w:val="20"/>
          <w:color w:val="auto"/>
        </w:rPr>
      </w:pPr>
      <w:r>
        <w:rPr>
          <w:rFonts w:ascii="Arial" w:cs="Arial" w:eastAsia="Arial" w:hAnsi="Arial"/>
          <w:sz w:val="17"/>
          <w:szCs w:val="17"/>
          <w:color w:val="auto"/>
        </w:rPr>
        <w:t>Premiums and other considerations increased $263.4 million, or 14%, to $2,146.4 million for the six months ended June 30, 2006, from $1,883.0 million for the six months ended June 30, 2005. The increase was primarily due to a $171.6 million increase from the Life and Health Insurance segment, primarily related to increased covered medical members and improved retention in our health insurance business and strong sales and stable retention in our specialty benefits business. The increase also reflected a $106.8 million increase from the U.S. Asset Management and Accumulation segment, primarily a result of an increase in premiums from single premium group annuities with life contingencies, which are typically used to fund defined benefit pension plan terminations. The premium income we receive from these contracts fluctuates due to the variability in the number and size of pension plan terminations in the market, the interest rate environment and our ability to attract new sales.</w:t>
      </w:r>
    </w:p>
    <w:p>
      <w:pPr>
        <w:spacing w:after="0" w:line="178" w:lineRule="exact"/>
        <w:rPr>
          <w:sz w:val="20"/>
          <w:szCs w:val="20"/>
          <w:color w:val="auto"/>
        </w:rPr>
      </w:pPr>
    </w:p>
    <w:p>
      <w:pPr>
        <w:ind w:right="140" w:firstLine="648"/>
        <w:spacing w:after="0" w:line="340" w:lineRule="auto"/>
        <w:rPr>
          <w:sz w:val="20"/>
          <w:szCs w:val="20"/>
          <w:color w:val="auto"/>
        </w:rPr>
      </w:pPr>
      <w:r>
        <w:rPr>
          <w:rFonts w:ascii="Arial" w:cs="Arial" w:eastAsia="Arial" w:hAnsi="Arial"/>
          <w:sz w:val="15"/>
          <w:szCs w:val="15"/>
          <w:color w:val="auto"/>
        </w:rPr>
        <w:t>Fees and other revenues increased $77.6 million, or 9%, to $900.1 million for the six months ended June 30, 2006, from $822.5 million for the six months ended June 30, 2005. The increase was primarily due to a $72.9 million increase from the U.S. Asset Management and Accumulation segment primarily related to an increase in account values stemming from continued strong full-service accumulation net cash flow and strong performance in the equity markets.</w:t>
      </w:r>
    </w:p>
    <w:p>
      <w:pPr>
        <w:spacing w:after="0" w:line="131"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Net investment income increased $133.9 million, or 8%, to $1,763.8 million for the six months ended June 30, 2006, from $1,629.9 million for the six months ended June 30, 2005. The increase was primarily related to an increase in average annualized yield on invested assets and cash and a $1,152.6 million, or 2%, increase in average invested assets and cash. The yield on average invested assets and cash was 6.0% for the six months ended June 30, 2006 and 5.6% for the six months ended June 30, 2005.</w:t>
      </w:r>
    </w:p>
    <w:p>
      <w:pPr>
        <w:spacing w:after="0" w:line="187" w:lineRule="exact"/>
        <w:rPr>
          <w:sz w:val="20"/>
          <w:szCs w:val="20"/>
          <w:color w:val="auto"/>
        </w:rPr>
      </w:pPr>
    </w:p>
    <w:p>
      <w:pPr>
        <w:ind w:right="460" w:firstLine="648"/>
        <w:spacing w:after="0" w:line="257" w:lineRule="auto"/>
        <w:rPr>
          <w:sz w:val="20"/>
          <w:szCs w:val="20"/>
          <w:color w:val="auto"/>
        </w:rPr>
      </w:pPr>
      <w:r>
        <w:rPr>
          <w:rFonts w:ascii="Arial" w:cs="Arial" w:eastAsia="Arial" w:hAnsi="Arial"/>
          <w:sz w:val="18"/>
          <w:szCs w:val="18"/>
          <w:color w:val="auto"/>
        </w:rPr>
        <w:t>Net realized/unrealized capital gains increased $21.1 million to $29.8 million for the six months ended June 30, 2006, from $8.7 million for the six months ended June 30, 2005. The increase is due to the gain on the sale of stock of an equity method investment, fewer losses on the mark to market of derivatives, gains versus losses on the mark to market of certain seed money investments and fewer losses on credit triggered bond sales. Offsetting these increases were decreases resulting from the non-recurrence of a large recovery of previously impaired securities as the result of a litigation settlement that occurred in 2005,</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increased impairments in 2006 as the result of a change in our ability and intent to hold certain fixed maturity securities until recovery due to our need to fund our recently announced acquisition of WM Advisors, and fewer gains on the sale and call activity of fixed maturity securities.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following table highlights the contributors to net realized/unrealized capital gains and losses for the six months ended June 30, 2006.</w:t>
      </w: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1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960" w:type="dxa"/>
            <w:vAlign w:val="bottom"/>
            <w:tcBorders>
              <w:bottom w:val="single" w:sz="8" w:color="auto"/>
            </w:tcBorders>
            <w:gridSpan w:val="5"/>
          </w:tcPr>
          <w:p>
            <w:pPr>
              <w:jc w:val="right"/>
              <w:ind w:right="380"/>
              <w:spacing w:after="0"/>
              <w:rPr>
                <w:sz w:val="20"/>
                <w:szCs w:val="20"/>
                <w:color w:val="auto"/>
              </w:rPr>
            </w:pPr>
            <w:r>
              <w:rPr>
                <w:rFonts w:ascii="Arial" w:cs="Arial" w:eastAsia="Arial" w:hAnsi="Arial"/>
                <w:sz w:val="14"/>
                <w:szCs w:val="14"/>
                <w:b w:val="1"/>
                <w:bCs w:val="1"/>
                <w:color w:val="auto"/>
                <w:w w:val="93"/>
              </w:rPr>
              <w:t>For the six months ended June 30, 2006</w:t>
            </w:r>
          </w:p>
        </w:tc>
        <w:tc>
          <w:tcPr>
            <w:tcW w:w="1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5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60" w:type="dxa"/>
            <w:vAlign w:val="bottom"/>
          </w:tcPr>
          <w:p>
            <w:pPr>
              <w:spacing w:after="0"/>
              <w:rPr>
                <w:sz w:val="8"/>
                <w:szCs w:val="8"/>
                <w:color w:val="auto"/>
              </w:rPr>
            </w:pPr>
          </w:p>
        </w:tc>
        <w:tc>
          <w:tcPr>
            <w:tcW w:w="260" w:type="dxa"/>
            <w:vAlign w:val="bottom"/>
          </w:tcPr>
          <w:p>
            <w:pPr>
              <w:spacing w:after="0"/>
              <w:rPr>
                <w:sz w:val="8"/>
                <w:szCs w:val="8"/>
                <w:color w:val="auto"/>
              </w:rPr>
            </w:pPr>
          </w:p>
        </w:tc>
        <w:tc>
          <w:tcPr>
            <w:tcW w:w="1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1160" w:type="dxa"/>
            <w:vAlign w:val="bottom"/>
          </w:tcPr>
          <w:p>
            <w:pPr>
              <w:jc w:val="center"/>
              <w:ind w:right="138"/>
              <w:spacing w:after="0" w:line="102" w:lineRule="exact"/>
              <w:rPr>
                <w:sz w:val="20"/>
                <w:szCs w:val="20"/>
                <w:color w:val="auto"/>
              </w:rPr>
            </w:pPr>
            <w:r>
              <w:rPr>
                <w:rFonts w:ascii="Arial" w:cs="Arial" w:eastAsia="Arial" w:hAnsi="Arial"/>
                <w:sz w:val="11"/>
                <w:szCs w:val="11"/>
                <w:b w:val="1"/>
                <w:bCs w:val="1"/>
                <w:color w:val="auto"/>
              </w:rPr>
              <w:t>Net realized/</w:t>
            </w: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5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52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w w:val="96"/>
              </w:rPr>
              <w:t>Impairments and</w:t>
            </w:r>
          </w:p>
        </w:tc>
        <w:tc>
          <w:tcPr>
            <w:tcW w:w="180" w:type="dxa"/>
            <w:vAlign w:val="bottom"/>
          </w:tcPr>
          <w:p>
            <w:pPr>
              <w:spacing w:after="0"/>
              <w:rPr>
                <w:sz w:val="11"/>
                <w:szCs w:val="11"/>
                <w:color w:val="auto"/>
              </w:rPr>
            </w:pPr>
          </w:p>
        </w:tc>
        <w:tc>
          <w:tcPr>
            <w:tcW w:w="1440" w:type="dxa"/>
            <w:vAlign w:val="bottom"/>
            <w:gridSpan w:val="2"/>
            <w:vMerge w:val="restart"/>
          </w:tcPr>
          <w:p>
            <w:pPr>
              <w:jc w:val="right"/>
              <w:ind w:right="580"/>
              <w:spacing w:after="0"/>
              <w:rPr>
                <w:sz w:val="20"/>
                <w:szCs w:val="20"/>
                <w:color w:val="auto"/>
              </w:rPr>
            </w:pPr>
            <w:r>
              <w:rPr>
                <w:rFonts w:ascii="Arial" w:cs="Arial" w:eastAsia="Arial" w:hAnsi="Arial"/>
                <w:sz w:val="14"/>
                <w:szCs w:val="14"/>
                <w:b w:val="1"/>
                <w:bCs w:val="1"/>
                <w:color w:val="auto"/>
              </w:rPr>
              <w:t>Other gains</w:t>
            </w:r>
          </w:p>
        </w:tc>
        <w:tc>
          <w:tcPr>
            <w:tcW w:w="260" w:type="dxa"/>
            <w:vAlign w:val="bottom"/>
          </w:tcPr>
          <w:p>
            <w:pPr>
              <w:spacing w:after="0"/>
              <w:rPr>
                <w:sz w:val="11"/>
                <w:szCs w:val="11"/>
                <w:color w:val="auto"/>
              </w:rPr>
            </w:pPr>
          </w:p>
        </w:tc>
        <w:tc>
          <w:tcPr>
            <w:tcW w:w="1260" w:type="dxa"/>
            <w:vAlign w:val="bottom"/>
            <w:gridSpan w:val="2"/>
            <w:vMerge w:val="restart"/>
          </w:tcPr>
          <w:p>
            <w:pPr>
              <w:jc w:val="right"/>
              <w:ind w:right="500"/>
              <w:spacing w:after="0"/>
              <w:rPr>
                <w:sz w:val="20"/>
                <w:szCs w:val="20"/>
                <w:color w:val="auto"/>
              </w:rPr>
            </w:pPr>
            <w:r>
              <w:rPr>
                <w:rFonts w:ascii="Arial" w:cs="Arial" w:eastAsia="Arial" w:hAnsi="Arial"/>
                <w:sz w:val="14"/>
                <w:szCs w:val="14"/>
                <w:b w:val="1"/>
                <w:bCs w:val="1"/>
                <w:color w:val="auto"/>
              </w:rPr>
              <w:t>Hedging</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4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2"/>
              </w:rPr>
              <w:t>unrealized</w:t>
            </w:r>
          </w:p>
        </w:tc>
        <w:tc>
          <w:tcPr>
            <w:tcW w:w="0" w:type="dxa"/>
            <w:vAlign w:val="bottom"/>
          </w:tcPr>
          <w:p>
            <w:pPr>
              <w:spacing w:after="0"/>
              <w:rPr>
                <w:sz w:val="1"/>
                <w:szCs w:val="1"/>
                <w:color w:val="auto"/>
              </w:rPr>
            </w:pPr>
          </w:p>
        </w:tc>
      </w:tr>
      <w:tr>
        <w:trPr>
          <w:trHeight w:val="135"/>
        </w:trPr>
        <w:tc>
          <w:tcPr>
            <w:tcW w:w="5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520" w:type="dxa"/>
            <w:vAlign w:val="bottom"/>
            <w:gridSpan w:val="2"/>
            <w:vMerge w:val="continue"/>
          </w:tcPr>
          <w:p>
            <w:pPr>
              <w:spacing w:after="0"/>
              <w:rPr>
                <w:sz w:val="11"/>
                <w:szCs w:val="11"/>
                <w:color w:val="auto"/>
              </w:rPr>
            </w:pPr>
          </w:p>
        </w:tc>
        <w:tc>
          <w:tcPr>
            <w:tcW w:w="180" w:type="dxa"/>
            <w:vAlign w:val="bottom"/>
          </w:tcPr>
          <w:p>
            <w:pPr>
              <w:spacing w:after="0"/>
              <w:rPr>
                <w:sz w:val="11"/>
                <w:szCs w:val="11"/>
                <w:color w:val="auto"/>
              </w:rPr>
            </w:pPr>
          </w:p>
        </w:tc>
        <w:tc>
          <w:tcPr>
            <w:tcW w:w="1440" w:type="dxa"/>
            <w:vAlign w:val="bottom"/>
            <w:gridSpan w:val="2"/>
            <w:vMerge w:val="continue"/>
          </w:tcPr>
          <w:p>
            <w:pPr>
              <w:spacing w:after="0"/>
              <w:rPr>
                <w:sz w:val="11"/>
                <w:szCs w:val="11"/>
                <w:color w:val="auto"/>
              </w:rPr>
            </w:pPr>
          </w:p>
        </w:tc>
        <w:tc>
          <w:tcPr>
            <w:tcW w:w="260" w:type="dxa"/>
            <w:vAlign w:val="bottom"/>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4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89"/>
              </w:rPr>
              <w:t>capital gains</w:t>
            </w:r>
          </w:p>
        </w:tc>
        <w:tc>
          <w:tcPr>
            <w:tcW w:w="0" w:type="dxa"/>
            <w:vAlign w:val="bottom"/>
          </w:tcPr>
          <w:p>
            <w:pPr>
              <w:spacing w:after="0"/>
              <w:rPr>
                <w:sz w:val="1"/>
                <w:szCs w:val="1"/>
                <w:color w:val="auto"/>
              </w:rPr>
            </w:pPr>
          </w:p>
        </w:tc>
      </w:tr>
      <w:tr>
        <w:trPr>
          <w:trHeight w:val="162"/>
        </w:trPr>
        <w:tc>
          <w:tcPr>
            <w:tcW w:w="5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2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credit losses</w:t>
            </w:r>
          </w:p>
        </w:tc>
        <w:tc>
          <w:tcPr>
            <w:tcW w:w="180" w:type="dxa"/>
            <w:vAlign w:val="bottom"/>
          </w:tcPr>
          <w:p>
            <w:pPr>
              <w:spacing w:after="0"/>
              <w:rPr>
                <w:sz w:val="14"/>
                <w:szCs w:val="14"/>
                <w:color w:val="auto"/>
              </w:rPr>
            </w:pPr>
          </w:p>
        </w:tc>
        <w:tc>
          <w:tcPr>
            <w:tcW w:w="1440" w:type="dxa"/>
            <w:vAlign w:val="bottom"/>
            <w:gridSpan w:val="2"/>
          </w:tcPr>
          <w:p>
            <w:pPr>
              <w:jc w:val="right"/>
              <w:ind w:right="720"/>
              <w:spacing w:after="0"/>
              <w:rPr>
                <w:sz w:val="20"/>
                <w:szCs w:val="20"/>
                <w:color w:val="auto"/>
              </w:rPr>
            </w:pPr>
            <w:r>
              <w:rPr>
                <w:rFonts w:ascii="Arial" w:cs="Arial" w:eastAsia="Arial" w:hAnsi="Arial"/>
                <w:sz w:val="14"/>
                <w:szCs w:val="14"/>
                <w:b w:val="1"/>
                <w:bCs w:val="1"/>
                <w:color w:val="auto"/>
              </w:rPr>
              <w:t>(losses)</w:t>
            </w:r>
          </w:p>
        </w:tc>
        <w:tc>
          <w:tcPr>
            <w:tcW w:w="260" w:type="dxa"/>
            <w:vAlign w:val="bottom"/>
          </w:tcPr>
          <w:p>
            <w:pPr>
              <w:spacing w:after="0"/>
              <w:rPr>
                <w:sz w:val="14"/>
                <w:szCs w:val="14"/>
                <w:color w:val="auto"/>
              </w:rPr>
            </w:pPr>
          </w:p>
        </w:tc>
        <w:tc>
          <w:tcPr>
            <w:tcW w:w="126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w w:val="94"/>
              </w:rPr>
              <w:t>adjustments</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3"/>
              </w:rPr>
              <w:t>(losses)</w:t>
            </w:r>
          </w:p>
        </w:tc>
        <w:tc>
          <w:tcPr>
            <w:tcW w:w="0" w:type="dxa"/>
            <w:vAlign w:val="bottom"/>
          </w:tcPr>
          <w:p>
            <w:pPr>
              <w:spacing w:after="0"/>
              <w:rPr>
                <w:sz w:val="1"/>
                <w:szCs w:val="1"/>
                <w:color w:val="auto"/>
              </w:rPr>
            </w:pPr>
          </w:p>
        </w:tc>
      </w:tr>
      <w:tr>
        <w:trPr>
          <w:trHeight w:val="129"/>
        </w:trPr>
        <w:tc>
          <w:tcPr>
            <w:tcW w:w="51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26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700" w:type="dxa"/>
            <w:vAlign w:val="bottom"/>
            <w:tcBorders>
              <w:top w:val="single" w:sz="8" w:color="auto"/>
            </w:tcBorders>
            <w:gridSpan w:val="3"/>
          </w:tcPr>
          <w:p>
            <w:pPr>
              <w:jc w:val="right"/>
              <w:spacing w:after="0" w:line="129" w:lineRule="exact"/>
              <w:rPr>
                <w:sz w:val="20"/>
                <w:szCs w:val="20"/>
                <w:color w:val="auto"/>
              </w:rPr>
            </w:pPr>
            <w:r>
              <w:rPr>
                <w:rFonts w:ascii="Arial" w:cs="Arial" w:eastAsia="Arial" w:hAnsi="Arial"/>
                <w:sz w:val="14"/>
                <w:szCs w:val="14"/>
                <w:b w:val="1"/>
                <w:bCs w:val="1"/>
                <w:color w:val="auto"/>
              </w:rPr>
              <w:t>(in millions)</w:t>
            </w:r>
          </w:p>
        </w:tc>
        <w:tc>
          <w:tcPr>
            <w:tcW w:w="110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16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Fixed maturity securities(1)</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5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(29.6)</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4.6</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1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(132.3)</w:t>
            </w:r>
          </w:p>
        </w:tc>
        <w:tc>
          <w:tcPr>
            <w:tcW w:w="30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(157.3)</w:t>
            </w:r>
          </w:p>
        </w:tc>
        <w:tc>
          <w:tcPr>
            <w:tcW w:w="0" w:type="dxa"/>
            <w:vAlign w:val="bottom"/>
          </w:tcPr>
          <w:p>
            <w:pPr>
              <w:spacing w:after="0"/>
              <w:rPr>
                <w:sz w:val="1"/>
                <w:szCs w:val="1"/>
                <w:color w:val="auto"/>
              </w:rPr>
            </w:pPr>
          </w:p>
        </w:tc>
      </w:tr>
      <w:tr>
        <w:trPr>
          <w:trHeight w:val="216"/>
        </w:trPr>
        <w:tc>
          <w:tcPr>
            <w:tcW w:w="5100" w:type="dxa"/>
            <w:vAlign w:val="bottom"/>
          </w:tcPr>
          <w:p>
            <w:pPr>
              <w:spacing w:after="0"/>
              <w:rPr>
                <w:sz w:val="20"/>
                <w:szCs w:val="20"/>
                <w:color w:val="auto"/>
              </w:rPr>
            </w:pPr>
            <w:r>
              <w:rPr>
                <w:rFonts w:ascii="Arial" w:cs="Arial" w:eastAsia="Arial" w:hAnsi="Arial"/>
                <w:sz w:val="18"/>
                <w:szCs w:val="18"/>
                <w:color w:val="auto"/>
              </w:rPr>
              <w:t>Fixed maturity securities, trading</w:t>
            </w:r>
          </w:p>
        </w:tc>
        <w:tc>
          <w:tcPr>
            <w:tcW w:w="120" w:type="dxa"/>
            <w:vAlign w:val="bottom"/>
          </w:tcPr>
          <w:p>
            <w:pPr>
              <w:spacing w:after="0"/>
              <w:rPr>
                <w:sz w:val="18"/>
                <w:szCs w:val="18"/>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(6.9)</w:t>
            </w:r>
          </w:p>
        </w:tc>
        <w:tc>
          <w:tcPr>
            <w:tcW w:w="26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(6.9)</w:t>
            </w:r>
          </w:p>
        </w:tc>
        <w:tc>
          <w:tcPr>
            <w:tcW w:w="0" w:type="dxa"/>
            <w:vAlign w:val="bottom"/>
          </w:tcPr>
          <w:p>
            <w:pPr>
              <w:spacing w:after="0"/>
              <w:rPr>
                <w:sz w:val="1"/>
                <w:szCs w:val="1"/>
                <w:color w:val="auto"/>
              </w:rPr>
            </w:pPr>
          </w:p>
        </w:tc>
      </w:tr>
      <w:tr>
        <w:trPr>
          <w:trHeight w:val="216"/>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Equity securities(2)</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4.5</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00" w:type="dxa"/>
            <w:vAlign w:val="bottom"/>
          </w:tcPr>
          <w:p>
            <w:pPr>
              <w:spacing w:after="0"/>
              <w:rPr>
                <w:sz w:val="20"/>
                <w:szCs w:val="20"/>
                <w:color w:val="auto"/>
              </w:rPr>
            </w:pPr>
            <w:r>
              <w:rPr>
                <w:rFonts w:ascii="Arial" w:cs="Arial" w:eastAsia="Arial" w:hAnsi="Arial"/>
                <w:sz w:val="18"/>
                <w:szCs w:val="18"/>
                <w:color w:val="auto"/>
              </w:rPr>
              <w:t>Mortgage loans on real estate(3)</w:t>
            </w: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b w:val="1"/>
                <w:bCs w:val="1"/>
                <w:color w:val="auto"/>
              </w:rPr>
              <w:t>0.9</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26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0.9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Derivatives</w:t>
            </w:r>
          </w:p>
        </w:tc>
        <w:tc>
          <w:tcPr>
            <w:tcW w:w="1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26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142.3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142.3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00" w:type="dxa"/>
            <w:vAlign w:val="bottom"/>
          </w:tcPr>
          <w:p>
            <w:pPr>
              <w:spacing w:after="0"/>
              <w:rPr>
                <w:sz w:val="20"/>
                <w:szCs w:val="20"/>
                <w:color w:val="auto"/>
              </w:rPr>
            </w:pPr>
            <w:r>
              <w:rPr>
                <w:rFonts w:ascii="Arial" w:cs="Arial" w:eastAsia="Arial" w:hAnsi="Arial"/>
                <w:sz w:val="18"/>
                <w:szCs w:val="18"/>
                <w:color w:val="auto"/>
              </w:rPr>
              <w:t>Other(4)</w:t>
            </w:r>
          </w:p>
        </w:tc>
        <w:tc>
          <w:tcPr>
            <w:tcW w:w="120" w:type="dxa"/>
            <w:vAlign w:val="bottom"/>
          </w:tcPr>
          <w:p>
            <w:pPr>
              <w:spacing w:after="0"/>
              <w:rPr>
                <w:sz w:val="18"/>
                <w:szCs w:val="18"/>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b w:val="1"/>
                <w:bCs w:val="1"/>
                <w:color w:val="auto"/>
              </w:rPr>
              <w:t>56.6</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(10.3)</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46.3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100" w:type="dxa"/>
            <w:vAlign w:val="bottom"/>
            <w:tcBorders>
              <w:top w:val="single" w:sz="8" w:color="CCEEFF"/>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Total</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2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(28.7</w:t>
            </w:r>
          </w:p>
        </w:tc>
        <w:tc>
          <w:tcPr>
            <w:tcW w:w="260" w:type="dxa"/>
            <w:vAlign w:val="bottom"/>
            <w:tcBorders>
              <w:top w:val="single" w:sz="8" w:color="CCEEFF"/>
              <w:bottom w:val="single" w:sz="8" w:color="CCEEFF"/>
            </w:tcBorders>
            <w:shd w:val="clear" w:color="auto" w:fill="CCEEFF"/>
          </w:tcPr>
          <w:p>
            <w:pPr>
              <w:jc w:val="right"/>
              <w:ind w:right="120"/>
              <w:spacing w:after="0"/>
              <w:rPr>
                <w:sz w:val="20"/>
                <w:szCs w:val="20"/>
                <w:color w:val="auto"/>
              </w:rPr>
            </w:pPr>
            <w:r>
              <w:rPr>
                <w:rFonts w:ascii="Arial" w:cs="Arial" w:eastAsia="Arial" w:hAnsi="Arial"/>
                <w:sz w:val="16"/>
                <w:szCs w:val="16"/>
                <w:b w:val="1"/>
                <w:bCs w:val="1"/>
                <w:color w:val="auto"/>
                <w:w w:val="74"/>
              </w:rPr>
              <w:t>)</w:t>
            </w: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58.8</w:t>
            </w:r>
          </w:p>
        </w:tc>
        <w:tc>
          <w:tcPr>
            <w:tcW w:w="260" w:type="dxa"/>
            <w:vAlign w:val="bottom"/>
            <w:tcBorders>
              <w:top w:val="single" w:sz="8" w:color="CCEEFF"/>
              <w:bottom w:val="single" w:sz="8" w:color="CCEEFF"/>
            </w:tcBorders>
            <w:shd w:val="clear" w:color="auto" w:fill="CCEEFF"/>
          </w:tcPr>
          <w:p>
            <w:pPr>
              <w:spacing w:after="0"/>
              <w:rPr>
                <w:sz w:val="19"/>
                <w:szCs w:val="19"/>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(0.3</w:t>
            </w:r>
          </w:p>
        </w:tc>
        <w:tc>
          <w:tcPr>
            <w:tcW w:w="160" w:type="dxa"/>
            <w:vAlign w:val="bottom"/>
            <w:tcBorders>
              <w:top w:val="single" w:sz="8" w:color="CCEEFF"/>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b w:val="1"/>
                <w:bCs w:val="1"/>
                <w:color w:val="auto"/>
                <w:w w:val="74"/>
              </w:rPr>
              <w:t>)</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29.8</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389380"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660" w:hanging="652"/>
        <w:spacing w:after="0" w:line="301" w:lineRule="auto"/>
        <w:tabs>
          <w:tab w:leader="none" w:pos="644" w:val="left"/>
        </w:tabs>
        <w:numPr>
          <w:ilvl w:val="0"/>
          <w:numId w:val="13"/>
        </w:numPr>
        <w:rPr>
          <w:rFonts w:ascii="Arial" w:cs="Arial" w:eastAsia="Arial" w:hAnsi="Arial"/>
          <w:sz w:val="16"/>
          <w:szCs w:val="16"/>
          <w:color w:val="auto"/>
        </w:rPr>
      </w:pPr>
      <w:r>
        <w:rPr>
          <w:rFonts w:ascii="Arial" w:cs="Arial" w:eastAsia="Arial" w:hAnsi="Arial"/>
          <w:sz w:val="16"/>
          <w:szCs w:val="16"/>
          <w:color w:val="auto"/>
        </w:rPr>
        <w:t>Impairments include $8.7 million of credit impairment write-downs and $3.0 million in realized credit recoveries on the sale of previously impaired assets. As the result of the need to fund our recently announced acquisition of WM Advisors, impairments also include $16.0 million of write-downs that resulted from our determination that we no longer had the ability and intent to hold certain fixed maturity securities until they recovered in value. Credit losses include $0.2 million in realized gains and $8.1 million in realized losses related to credit triggered sales. Other gains (losses) include $2.5 million in net gains as the result of prepayment activity, gross realized gains of $4.2 million and gross realized losses of $2.1 million.</w:t>
      </w:r>
    </w:p>
    <w:p>
      <w:pPr>
        <w:spacing w:after="0" w:line="223" w:lineRule="exact"/>
        <w:rPr>
          <w:rFonts w:ascii="Arial" w:cs="Arial" w:eastAsia="Arial" w:hAnsi="Arial"/>
          <w:sz w:val="16"/>
          <w:szCs w:val="16"/>
          <w:color w:val="auto"/>
        </w:rPr>
      </w:pPr>
    </w:p>
    <w:p>
      <w:pPr>
        <w:ind w:left="660" w:hanging="652"/>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Other gains (losses) include $4.1 million in mark to market of net realized/unrealized gains on trading securities.</w:t>
      </w:r>
    </w:p>
    <w:p>
      <w:pPr>
        <w:sectPr>
          <w:pgSz w:w="11900" w:h="16838" w:orient="portrait"/>
          <w:cols w:equalWidth="0" w:num="1">
            <w:col w:w="11420"/>
          </w:cols>
          <w:pgMar w:left="240" w:top="125" w:right="239" w:bottom="302" w:gutter="0" w:footer="0" w:header="0"/>
        </w:sectPr>
      </w:pPr>
    </w:p>
    <w:bookmarkStart w:id="33" w:name="page34"/>
    <w:bookmarkEnd w:id="33"/>
    <w:p>
      <w:pPr>
        <w:ind w:left="660" w:right="460" w:hanging="652"/>
        <w:spacing w:after="0" w:line="360" w:lineRule="auto"/>
        <w:tabs>
          <w:tab w:leader="none" w:pos="657" w:val="left"/>
        </w:tabs>
        <w:numPr>
          <w:ilvl w:val="0"/>
          <w:numId w:val="14"/>
        </w:numPr>
        <w:rPr>
          <w:rFonts w:ascii="Arial" w:cs="Arial" w:eastAsia="Arial" w:hAnsi="Arial"/>
          <w:sz w:val="16"/>
          <w:szCs w:val="16"/>
          <w:color w:val="auto"/>
        </w:rPr>
      </w:pPr>
      <w:r>
        <w:rPr>
          <w:rFonts w:ascii="Arial" w:cs="Arial" w:eastAsia="Arial" w:hAnsi="Arial"/>
          <w:sz w:val="16"/>
          <w:szCs w:val="16"/>
          <w:color w:val="auto"/>
        </w:rPr>
        <w:t>Impairments include $2.5 million in realized losses due to the sale of commercial mortgage loans, $3.6 million in realized recoveries on the sale of previously impaired commercial mortgage loans, and a $0.7 million decrease in the commercial mortgage valuation allowance.</w:t>
      </w:r>
    </w:p>
    <w:p>
      <w:pPr>
        <w:spacing w:after="0" w:line="177" w:lineRule="exact"/>
        <w:rPr>
          <w:rFonts w:ascii="Arial" w:cs="Arial" w:eastAsia="Arial" w:hAnsi="Arial"/>
          <w:sz w:val="16"/>
          <w:szCs w:val="16"/>
          <w:color w:val="auto"/>
        </w:rPr>
      </w:pPr>
    </w:p>
    <w:p>
      <w:pPr>
        <w:ind w:left="660" w:right="240" w:hanging="652"/>
        <w:spacing w:after="0" w:line="293" w:lineRule="auto"/>
        <w:tabs>
          <w:tab w:leader="none" w:pos="657" w:val="left"/>
        </w:tabs>
        <w:numPr>
          <w:ilvl w:val="0"/>
          <w:numId w:val="14"/>
        </w:numPr>
        <w:rPr>
          <w:rFonts w:ascii="Arial" w:cs="Arial" w:eastAsia="Arial" w:hAnsi="Arial"/>
          <w:sz w:val="18"/>
          <w:szCs w:val="18"/>
          <w:color w:val="auto"/>
        </w:rPr>
      </w:pPr>
      <w:r>
        <w:rPr>
          <w:rFonts w:ascii="Arial" w:cs="Arial" w:eastAsia="Arial" w:hAnsi="Arial"/>
          <w:sz w:val="18"/>
          <w:szCs w:val="18"/>
          <w:color w:val="auto"/>
        </w:rPr>
        <w:t>Other gains (losses) include a $44.3 million realized gain on the sale of stock of an equity method investment and $10.4 million in mark to market net realized/unrealized gains on certain seed money investments.</w:t>
      </w:r>
    </w:p>
    <w:p>
      <w:pPr>
        <w:spacing w:after="0" w:line="156"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color w:val="auto"/>
        </w:rPr>
        <w:t>Benefits, claims and settlement expenses increased $302.6 million, or 12%, to $2,801.4 million for the six months ended June 30, 2006, from $2,498.8 million for the six months ended June 30, 2005. The increase was due to a $162.5 million increase from the Life and Health Insurance segment, primarily due to growth in the health insurance and specialty benefits businesses. The increase also reflected a $140.2 million increase from the U.S. Asset Management and Accumulation segment, primarily reflecting the increase in reserves resulting from an increase in sales of single premium group annuities with life contingencies.</w:t>
      </w:r>
    </w:p>
    <w:p>
      <w:pPr>
        <w:spacing w:after="0" w:line="188" w:lineRule="exact"/>
        <w:rPr>
          <w:sz w:val="20"/>
          <w:szCs w:val="20"/>
          <w:color w:val="auto"/>
        </w:rPr>
      </w:pPr>
    </w:p>
    <w:p>
      <w:pPr>
        <w:ind w:right="320" w:firstLine="648"/>
        <w:spacing w:after="0" w:line="259" w:lineRule="auto"/>
        <w:rPr>
          <w:sz w:val="20"/>
          <w:szCs w:val="20"/>
          <w:color w:val="auto"/>
        </w:rPr>
      </w:pPr>
      <w:r>
        <w:rPr>
          <w:rFonts w:ascii="Arial" w:cs="Arial" w:eastAsia="Arial" w:hAnsi="Arial"/>
          <w:sz w:val="18"/>
          <w:szCs w:val="18"/>
          <w:color w:val="auto"/>
        </w:rPr>
        <w:t>Dividends to policyholders decreased $0.7 million to $144.4 million for the six months ended June 30, 2006, from $145.1 million for the six months ended June 30, 2005. The decrease was primarily due to a $2.4 million decrease in dividends for our participating pension full-service accumulation products. Partially offsetting the decrease was a $1.7 million increase in dividends for our Life and Health segment primarily due to an increase in the individual life insurance dividend crediting rates.</w:t>
      </w:r>
    </w:p>
    <w:p>
      <w:pPr>
        <w:spacing w:after="0" w:line="187" w:lineRule="exact"/>
        <w:rPr>
          <w:sz w:val="20"/>
          <w:szCs w:val="20"/>
          <w:color w:val="auto"/>
        </w:rPr>
      </w:pPr>
    </w:p>
    <w:p>
      <w:pPr>
        <w:ind w:right="180" w:firstLine="648"/>
        <w:spacing w:after="0" w:line="263" w:lineRule="auto"/>
        <w:rPr>
          <w:sz w:val="20"/>
          <w:szCs w:val="20"/>
          <w:color w:val="auto"/>
        </w:rPr>
      </w:pPr>
      <w:r>
        <w:rPr>
          <w:rFonts w:ascii="Arial" w:cs="Arial" w:eastAsia="Arial" w:hAnsi="Arial"/>
          <w:sz w:val="18"/>
          <w:szCs w:val="18"/>
          <w:color w:val="auto"/>
        </w:rPr>
        <w:t xml:space="preserve">Operating expenses increased $86.5 million, or 8%, to $1,224.2 million for the six months ended June 30, 2006, from $1,137.7 million for the six months ended June 30, 2005. The increase reflected a $51.5 million increase from the U.S. Asset Management and Accumulation segment, primarily </w:t>
      </w:r>
      <w:r>
        <w:rPr>
          <w:rFonts w:ascii="Arial" w:cs="Arial" w:eastAsia="Arial" w:hAnsi="Arial"/>
          <w:sz w:val="17"/>
          <w:szCs w:val="17"/>
          <w:color w:val="auto"/>
        </w:rPr>
        <w:t>due to an</w:t>
      </w:r>
      <w:r>
        <w:rPr>
          <w:rFonts w:ascii="Arial" w:cs="Arial" w:eastAsia="Arial" w:hAnsi="Arial"/>
          <w:sz w:val="18"/>
          <w:szCs w:val="18"/>
          <w:color w:val="auto"/>
        </w:rPr>
        <w:t xml:space="preserve"> </w:t>
      </w:r>
      <w:r>
        <w:rPr>
          <w:rFonts w:ascii="Arial" w:cs="Arial" w:eastAsia="Arial" w:hAnsi="Arial"/>
          <w:sz w:val="17"/>
          <w:szCs w:val="17"/>
          <w:color w:val="auto"/>
        </w:rPr>
        <w:t>increase in DPAC amortization, staff related costs and non-deferred sales compensation costs. The increase was also due to a $35.7 million increase from the Life and Health Insurance segment, primarily due to growth in the specialty benefits and insured medical businesses, partially offset by lower non-deferred sales related expenses in our individual life insurance business.</w:t>
      </w:r>
    </w:p>
    <w:p>
      <w:pPr>
        <w:spacing w:after="0" w:line="188"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Income taxes increased $23.4 million, or 17%, to $157.4 million for the six months ended June 30, 2006, from $134.0 million for the six months ended June 30, 2005. The effective income tax rate was 23% for the six months ended June 30, 2006, and 24% for the six months ended June 30, 2005. The effective income tax rate for the six months ended June 30,</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80"/>
        <w:spacing w:after="0" w:line="279" w:lineRule="auto"/>
        <w:rPr>
          <w:sz w:val="20"/>
          <w:szCs w:val="20"/>
          <w:color w:val="auto"/>
        </w:rPr>
      </w:pPr>
      <w:r>
        <w:rPr>
          <w:rFonts w:ascii="Arial" w:cs="Arial" w:eastAsia="Arial" w:hAnsi="Arial"/>
          <w:sz w:val="17"/>
          <w:szCs w:val="17"/>
          <w:color w:val="auto"/>
        </w:rPr>
        <w:t>2006, was lower than the corporate income tax rate of 35% primarily due to income tax deductions allowed for corporate dividends received, a favorable court ruling on a contested IRS issue for 1991 and later years, and interest exclusion from taxable income. The effective income tax rate for the six months ended June 30, 2005, was lower than the corporate income tax rate of 35% primarily due to income tax deductions allowed for corporate dividends received, tax credits on our investment in a synthetic fuel production facility and interest exclusion from taxable income.</w:t>
      </w:r>
    </w:p>
    <w:p>
      <w:pPr>
        <w:spacing w:after="0" w:line="171"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As a result of the foregoing factors and the inclusion of income from discontinued operations for 2005, net of related income taxes, net income increased $68.3 million, or 15%, to $512.7 million for the six months ended June 30, 2006, from $444.4 million for the six months ended June 30, 2005. The income from discontinued operations for the six months ended June 30, 2005, was related to a gain on the sale and operating revenues of a real estate property that qualifies for discontinued operations treatment under SFAS 144.</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Preferred stock dividends were $16.5 million for the six months ended June 30, 2006, with no corresponding activity for the six months ended June 30,</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2005.</w:t>
      </w:r>
    </w:p>
    <w:p>
      <w:pPr>
        <w:spacing w:after="0" w:line="211" w:lineRule="exact"/>
        <w:rPr>
          <w:sz w:val="20"/>
          <w:szCs w:val="20"/>
          <w:color w:val="auto"/>
        </w:rPr>
      </w:pPr>
    </w:p>
    <w:p>
      <w:pPr>
        <w:ind w:right="660" w:firstLine="648"/>
        <w:spacing w:after="0" w:line="277" w:lineRule="auto"/>
        <w:rPr>
          <w:sz w:val="20"/>
          <w:szCs w:val="20"/>
          <w:color w:val="auto"/>
        </w:rPr>
      </w:pPr>
      <w:r>
        <w:rPr>
          <w:rFonts w:ascii="Arial" w:cs="Arial" w:eastAsia="Arial" w:hAnsi="Arial"/>
          <w:sz w:val="18"/>
          <w:szCs w:val="18"/>
          <w:color w:val="auto"/>
        </w:rPr>
        <w:t>Net income available to common stockholders increased $51.8 million, or 12%, to $496.2 million for the six months ended June 30, 2006, from $444.4 million for the six months ended June 30, 2005.</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by Segment</w:t>
      </w:r>
    </w:p>
    <w:p>
      <w:pPr>
        <w:spacing w:after="0" w:line="229" w:lineRule="exact"/>
        <w:rPr>
          <w:sz w:val="20"/>
          <w:szCs w:val="20"/>
          <w:color w:val="auto"/>
        </w:rPr>
      </w:pPr>
    </w:p>
    <w:p>
      <w:pPr>
        <w:ind w:right="160" w:firstLine="648"/>
        <w:spacing w:after="0" w:line="293" w:lineRule="auto"/>
        <w:rPr>
          <w:sz w:val="20"/>
          <w:szCs w:val="20"/>
          <w:color w:val="auto"/>
        </w:rPr>
      </w:pPr>
      <w:r>
        <w:rPr>
          <w:rFonts w:ascii="Arial" w:cs="Arial" w:eastAsia="Arial" w:hAnsi="Arial"/>
          <w:sz w:val="16"/>
          <w:szCs w:val="16"/>
          <w:color w:val="auto"/>
        </w:rPr>
        <w:t>We use segment operating earnings for goal setting, determining employee compensation, and evaluating performance on a basis comparable to that used by securities analysts. Segment operating earnings are determined by adjusting U.S. GAAP net income available to common stockholders for net realized/unrealized capital gains and losses, as adjusted, and other after-tax adjustments we believe are not indicative of overall operating trends. Note that after-tax adjustments have occurred in the past and could recur in future reporting periods. While these items may be significant components in understanding and assessing our consolidated financial performance, we believe the presentation of segment operating earnings enhances the understanding of our results of operations by highlighting earnings attributable to the normal, ongoing operations of our businesses.</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segment information as of or for the periods indicated:</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320" w:type="dxa"/>
            <w:vAlign w:val="bottom"/>
            <w:gridSpan w:val="5"/>
          </w:tcPr>
          <w:p>
            <w:pPr>
              <w:jc w:val="right"/>
              <w:ind w:right="520"/>
              <w:spacing w:after="0"/>
              <w:rPr>
                <w:sz w:val="20"/>
                <w:szCs w:val="20"/>
                <w:color w:val="auto"/>
              </w:rPr>
            </w:pPr>
            <w:r>
              <w:rPr>
                <w:rFonts w:ascii="Arial" w:cs="Arial" w:eastAsia="Arial" w:hAnsi="Arial"/>
                <w:sz w:val="14"/>
                <w:szCs w:val="14"/>
                <w:b w:val="1"/>
                <w:bCs w:val="1"/>
                <w:color w:val="auto"/>
                <w:w w:val="96"/>
              </w:rPr>
              <w:t>For the three months ended</w:t>
            </w: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120" w:type="dxa"/>
            <w:vAlign w:val="bottom"/>
            <w:gridSpan w:val="5"/>
          </w:tcPr>
          <w:p>
            <w:pPr>
              <w:jc w:val="right"/>
              <w:ind w:right="480"/>
              <w:spacing w:after="0"/>
              <w:rPr>
                <w:sz w:val="20"/>
                <w:szCs w:val="20"/>
                <w:color w:val="auto"/>
              </w:rPr>
            </w:pPr>
            <w:r>
              <w:rPr>
                <w:rFonts w:ascii="Arial" w:cs="Arial" w:eastAsia="Arial" w:hAnsi="Arial"/>
                <w:sz w:val="14"/>
                <w:szCs w:val="14"/>
                <w:b w:val="1"/>
                <w:bCs w:val="1"/>
                <w:color w:val="auto"/>
                <w:w w:val="95"/>
              </w:rPr>
              <w:t>For the six months ended</w:t>
            </w:r>
          </w:p>
        </w:tc>
        <w:tc>
          <w:tcPr>
            <w:tcW w:w="0" w:type="dxa"/>
            <w:vAlign w:val="bottom"/>
          </w:tcPr>
          <w:p>
            <w:pPr>
              <w:spacing w:after="0"/>
              <w:rPr>
                <w:sz w:val="1"/>
                <w:szCs w:val="1"/>
                <w:color w:val="auto"/>
              </w:rPr>
            </w:pPr>
          </w:p>
        </w:tc>
      </w:tr>
      <w:tr>
        <w:trPr>
          <w:trHeight w:val="162"/>
        </w:trPr>
        <w:tc>
          <w:tcPr>
            <w:tcW w:w="638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gridSpan w:val="3"/>
          </w:tcPr>
          <w:p>
            <w:pPr>
              <w:jc w:val="right"/>
              <w:ind w:right="45"/>
              <w:spacing w:after="0"/>
              <w:rPr>
                <w:sz w:val="20"/>
                <w:szCs w:val="20"/>
                <w:color w:val="auto"/>
              </w:rPr>
            </w:pPr>
            <w:r>
              <w:rPr>
                <w:rFonts w:ascii="Arial" w:cs="Arial" w:eastAsia="Arial" w:hAnsi="Arial"/>
                <w:sz w:val="14"/>
                <w:szCs w:val="14"/>
                <w:b w:val="1"/>
                <w:bCs w:val="1"/>
                <w:color w:val="auto"/>
              </w:rPr>
              <w:t>June 30,</w:t>
            </w:r>
          </w:p>
        </w:tc>
        <w:tc>
          <w:tcPr>
            <w:tcW w:w="80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jc w:val="right"/>
              <w:ind w:right="65"/>
              <w:spacing w:after="0"/>
              <w:rPr>
                <w:sz w:val="20"/>
                <w:szCs w:val="20"/>
                <w:color w:val="auto"/>
              </w:rPr>
            </w:pPr>
            <w:r>
              <w:rPr>
                <w:rFonts w:ascii="Arial" w:cs="Arial" w:eastAsia="Arial" w:hAnsi="Arial"/>
                <w:sz w:val="14"/>
                <w:szCs w:val="14"/>
                <w:b w:val="1"/>
                <w:bCs w:val="1"/>
                <w:color w:val="auto"/>
              </w:rPr>
              <w:t>June 30,</w:t>
            </w:r>
          </w:p>
        </w:tc>
        <w:tc>
          <w:tcPr>
            <w:tcW w:w="7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638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840" w:type="dxa"/>
            <w:vAlign w:val="bottom"/>
            <w:tcBorders>
              <w:bottom w:val="single" w:sz="8" w:color="auto"/>
            </w:tcBorders>
          </w:tcPr>
          <w:p>
            <w:pPr>
              <w:jc w:val="right"/>
              <w:ind w:right="315"/>
              <w:spacing w:after="0" w:line="129" w:lineRule="exact"/>
              <w:rPr>
                <w:sz w:val="20"/>
                <w:szCs w:val="20"/>
                <w:color w:val="auto"/>
              </w:rPr>
            </w:pPr>
            <w:r>
              <w:rPr>
                <w:rFonts w:ascii="Arial" w:cs="Arial" w:eastAsia="Arial" w:hAnsi="Arial"/>
                <w:sz w:val="14"/>
                <w:szCs w:val="14"/>
                <w:b w:val="1"/>
                <w:bCs w:val="1"/>
                <w:color w:val="auto"/>
              </w:rPr>
              <w:t>2006</w:t>
            </w:r>
          </w:p>
        </w:tc>
        <w:tc>
          <w:tcPr>
            <w:tcW w:w="280" w:type="dxa"/>
            <w:vAlign w:val="bottom"/>
            <w:tcBorders>
              <w:bottom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jc w:val="right"/>
              <w:ind w:right="274"/>
              <w:spacing w:after="0" w:line="129" w:lineRule="exact"/>
              <w:rPr>
                <w:sz w:val="20"/>
                <w:szCs w:val="20"/>
                <w:color w:val="auto"/>
              </w:rPr>
            </w:pPr>
            <w:r>
              <w:rPr>
                <w:rFonts w:ascii="Arial" w:cs="Arial" w:eastAsia="Arial" w:hAnsi="Arial"/>
                <w:sz w:val="14"/>
                <w:szCs w:val="14"/>
                <w:b w:val="1"/>
                <w:bCs w:val="1"/>
                <w:color w:val="auto"/>
              </w:rPr>
              <w:t>2005</w:t>
            </w:r>
          </w:p>
        </w:tc>
        <w:tc>
          <w:tcPr>
            <w:tcW w:w="1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jc w:val="right"/>
              <w:ind w:right="295"/>
              <w:spacing w:after="0" w:line="129" w:lineRule="exact"/>
              <w:rPr>
                <w:sz w:val="20"/>
                <w:szCs w:val="20"/>
                <w:color w:val="auto"/>
              </w:rPr>
            </w:pPr>
            <w:r>
              <w:rPr>
                <w:rFonts w:ascii="Arial" w:cs="Arial" w:eastAsia="Arial" w:hAnsi="Arial"/>
                <w:sz w:val="14"/>
                <w:szCs w:val="14"/>
                <w:b w:val="1"/>
                <w:bCs w:val="1"/>
                <w:color w:val="auto"/>
              </w:rPr>
              <w:t>2006</w:t>
            </w:r>
          </w:p>
        </w:tc>
        <w:tc>
          <w:tcPr>
            <w:tcW w:w="28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292"/>
              <w:spacing w:after="0" w:line="129" w:lineRule="exact"/>
              <w:rPr>
                <w:sz w:val="20"/>
                <w:szCs w:val="20"/>
                <w:color w:val="auto"/>
              </w:rPr>
            </w:pPr>
            <w:r>
              <w:rPr>
                <w:rFonts w:ascii="Arial" w:cs="Arial" w:eastAsia="Arial" w:hAnsi="Arial"/>
                <w:sz w:val="14"/>
                <w:szCs w:val="14"/>
                <w:b w:val="1"/>
                <w:bCs w:val="1"/>
                <w:color w:val="auto"/>
              </w:rPr>
              <w:t>2005</w:t>
            </w: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360" w:type="dxa"/>
            <w:vAlign w:val="bottom"/>
            <w:gridSpan w:val="4"/>
          </w:tcPr>
          <w:p>
            <w:pPr>
              <w:jc w:val="right"/>
              <w:ind w:right="5"/>
              <w:spacing w:after="0" w:line="129" w:lineRule="exact"/>
              <w:rPr>
                <w:sz w:val="20"/>
                <w:szCs w:val="20"/>
                <w:color w:val="auto"/>
              </w:rPr>
            </w:pPr>
            <w:r>
              <w:rPr>
                <w:rFonts w:ascii="Arial" w:cs="Arial" w:eastAsia="Arial" w:hAnsi="Arial"/>
                <w:sz w:val="14"/>
                <w:szCs w:val="14"/>
                <w:b w:val="1"/>
                <w:bCs w:val="1"/>
                <w:color w:val="auto"/>
              </w:rPr>
              <w:t>(in millions</w:t>
            </w:r>
            <w:r>
              <w:rPr>
                <w:rFonts w:ascii="Arial" w:cs="Arial" w:eastAsia="Arial" w:hAnsi="Arial"/>
                <w:sz w:val="14"/>
                <w:szCs w:val="14"/>
                <w:color w:val="auto"/>
              </w:rPr>
              <w:t>)</w:t>
            </w:r>
          </w:p>
        </w:tc>
        <w:tc>
          <w:tcPr>
            <w:tcW w:w="7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revenues by segment</w:t>
            </w: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tcPr>
          <w:p>
            <w:pPr>
              <w:spacing w:after="0"/>
              <w:rPr>
                <w:sz w:val="20"/>
                <w:szCs w:val="20"/>
                <w:color w:val="auto"/>
              </w:rPr>
            </w:pPr>
            <w:r>
              <w:rPr>
                <w:rFonts w:ascii="Arial" w:cs="Arial" w:eastAsia="Arial" w:hAnsi="Arial"/>
                <w:sz w:val="18"/>
                <w:szCs w:val="18"/>
                <w:color w:val="auto"/>
              </w:rPr>
              <w:t>U.S. Asset Management and Accumulation</w:t>
            </w:r>
          </w:p>
        </w:tc>
        <w:tc>
          <w:tcPr>
            <w:tcW w:w="220" w:type="dxa"/>
            <w:vAlign w:val="bottom"/>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1,116.2</w:t>
            </w:r>
          </w:p>
        </w:tc>
        <w:tc>
          <w:tcPr>
            <w:tcW w:w="280" w:type="dxa"/>
            <w:vAlign w:val="bottom"/>
          </w:tcPr>
          <w:p>
            <w:pPr>
              <w:spacing w:after="0"/>
              <w:rPr>
                <w:sz w:val="18"/>
                <w:szCs w:val="18"/>
                <w:color w:val="auto"/>
              </w:rPr>
            </w:pPr>
          </w:p>
        </w:tc>
        <w:tc>
          <w:tcPr>
            <w:tcW w:w="220" w:type="dxa"/>
            <w:vAlign w:val="bottom"/>
          </w:tcPr>
          <w:p>
            <w:pPr>
              <w:jc w:val="right"/>
              <w:ind w:right="65"/>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971.1</w:t>
            </w:r>
          </w:p>
        </w:tc>
        <w:tc>
          <w:tcPr>
            <w:tcW w:w="180" w:type="dxa"/>
            <w:vAlign w:val="bottom"/>
          </w:tcPr>
          <w:p>
            <w:pPr>
              <w:spacing w:after="0"/>
              <w:rPr>
                <w:sz w:val="18"/>
                <w:szCs w:val="18"/>
                <w:color w:val="auto"/>
              </w:rPr>
            </w:pPr>
          </w:p>
        </w:tc>
        <w:tc>
          <w:tcPr>
            <w:tcW w:w="380" w:type="dxa"/>
            <w:vAlign w:val="bottom"/>
            <w:gridSpan w:val="2"/>
          </w:tcPr>
          <w:p>
            <w:pPr>
              <w:jc w:val="right"/>
              <w:ind w:right="125"/>
              <w:spacing w:after="0"/>
              <w:rPr>
                <w:sz w:val="20"/>
                <w:szCs w:val="20"/>
                <w:color w:val="auto"/>
              </w:rPr>
            </w:pPr>
            <w:r>
              <w:rPr>
                <w:rFonts w:ascii="Arial" w:cs="Arial" w:eastAsia="Arial" w:hAnsi="Arial"/>
                <w:sz w:val="18"/>
                <w:szCs w:val="18"/>
                <w:b w:val="1"/>
                <w:bCs w:val="1"/>
                <w:color w:val="auto"/>
              </w:rPr>
              <w:t>$</w:t>
            </w: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2,166.0</w:t>
            </w:r>
          </w:p>
        </w:tc>
        <w:tc>
          <w:tcPr>
            <w:tcW w:w="280" w:type="dxa"/>
            <w:vAlign w:val="bottom"/>
          </w:tcPr>
          <w:p>
            <w:pPr>
              <w:spacing w:after="0"/>
              <w:rPr>
                <w:sz w:val="18"/>
                <w:szCs w:val="18"/>
                <w:color w:val="auto"/>
              </w:rPr>
            </w:pP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1,928.4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International Asset Management and Accumulation</w:t>
            </w: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164.2</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158.2</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307.6</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291.0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tcPr>
          <w:p>
            <w:pPr>
              <w:spacing w:after="0"/>
              <w:rPr>
                <w:sz w:val="20"/>
                <w:szCs w:val="20"/>
                <w:color w:val="auto"/>
              </w:rPr>
            </w:pPr>
            <w:r>
              <w:rPr>
                <w:rFonts w:ascii="Arial" w:cs="Arial" w:eastAsia="Arial" w:hAnsi="Arial"/>
                <w:sz w:val="18"/>
                <w:szCs w:val="18"/>
                <w:color w:val="auto"/>
              </w:rPr>
              <w:t>Life and Health Insurance</w:t>
            </w: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1,183.1</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1,089.5</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2,342.7</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2,158.1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Corporate and Other(1)</w:t>
            </w: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(28.0)</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(5.9)</w:t>
            </w: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(38.1)</w:t>
            </w:r>
          </w:p>
        </w:tc>
        <w:tc>
          <w:tcPr>
            <w:tcW w:w="0" w:type="dxa"/>
            <w:vAlign w:val="bottom"/>
          </w:tcPr>
          <w:p>
            <w:pPr>
              <w:spacing w:after="0"/>
              <w:rPr>
                <w:sz w:val="1"/>
                <w:szCs w:val="1"/>
                <w:color w:val="auto"/>
              </w:rPr>
            </w:pPr>
          </w:p>
        </w:tc>
      </w:tr>
      <w:tr>
        <w:trPr>
          <w:trHeight w:val="210"/>
        </w:trPr>
        <w:tc>
          <w:tcPr>
            <w:tcW w:w="6380" w:type="dxa"/>
            <w:vAlign w:val="bottom"/>
          </w:tcPr>
          <w:p>
            <w:pPr>
              <w:ind w:left="180"/>
              <w:spacing w:after="0"/>
              <w:rPr>
                <w:sz w:val="20"/>
                <w:szCs w:val="20"/>
                <w:color w:val="auto"/>
              </w:rPr>
            </w:pPr>
            <w:r>
              <w:rPr>
                <w:rFonts w:ascii="Arial" w:cs="Arial" w:eastAsia="Arial" w:hAnsi="Arial"/>
                <w:sz w:val="18"/>
                <w:szCs w:val="18"/>
                <w:color w:val="auto"/>
              </w:rPr>
              <w:t>Total segment operating revenues</w:t>
            </w:r>
          </w:p>
        </w:tc>
        <w:tc>
          <w:tcPr>
            <w:tcW w:w="22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2,467.3</w:t>
            </w:r>
          </w:p>
        </w:tc>
        <w:tc>
          <w:tcPr>
            <w:tcW w:w="2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2,190.8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4,810.4</w:t>
            </w:r>
          </w:p>
        </w:tc>
        <w:tc>
          <w:tcPr>
            <w:tcW w:w="28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4,339.4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Add:</w:t>
            </w: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6380" w:type="dxa"/>
            <w:vAlign w:val="bottom"/>
          </w:tcPr>
          <w:p>
            <w:pPr>
              <w:spacing w:after="0" w:line="201" w:lineRule="exact"/>
              <w:rPr>
                <w:sz w:val="20"/>
                <w:szCs w:val="20"/>
                <w:color w:val="auto"/>
              </w:rPr>
            </w:pPr>
            <w:r>
              <w:rPr>
                <w:rFonts w:ascii="Arial" w:cs="Arial" w:eastAsia="Arial" w:hAnsi="Arial"/>
                <w:sz w:val="18"/>
                <w:szCs w:val="18"/>
                <w:color w:val="auto"/>
                <w:w w:val="96"/>
              </w:rPr>
              <w:t>Net realized/unrealized capital gains (losses), including recognition of front-end fee</w:t>
            </w:r>
          </w:p>
        </w:tc>
        <w:tc>
          <w:tcPr>
            <w:tcW w:w="220" w:type="dxa"/>
            <w:vAlign w:val="bottom"/>
          </w:tcPr>
          <w:p>
            <w:pPr>
              <w:spacing w:after="0"/>
              <w:rPr>
                <w:sz w:val="17"/>
                <w:szCs w:val="17"/>
                <w:color w:val="auto"/>
              </w:rPr>
            </w:pPr>
          </w:p>
        </w:tc>
        <w:tc>
          <w:tcPr>
            <w:tcW w:w="112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(18.9)</w:t>
            </w: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29.7</w:t>
            </w: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380" w:type="dxa"/>
            <w:vAlign w:val="bottom"/>
          </w:tcPr>
          <w:p>
            <w:pPr>
              <w:ind w:left="180"/>
              <w:spacing w:after="0"/>
              <w:rPr>
                <w:sz w:val="20"/>
                <w:szCs w:val="20"/>
                <w:color w:val="auto"/>
              </w:rPr>
            </w:pPr>
            <w:r>
              <w:rPr>
                <w:rFonts w:ascii="Arial" w:cs="Arial" w:eastAsia="Arial" w:hAnsi="Arial"/>
                <w:sz w:val="18"/>
                <w:szCs w:val="18"/>
                <w:color w:val="auto"/>
              </w:rPr>
              <w:t>revenues and certain market value adjustments to fee revenues(2)</w:t>
            </w:r>
          </w:p>
        </w:tc>
        <w:tc>
          <w:tcPr>
            <w:tcW w:w="220" w:type="dxa"/>
            <w:vAlign w:val="bottom"/>
          </w:tcPr>
          <w:p>
            <w:pPr>
              <w:spacing w:after="0"/>
              <w:rPr>
                <w:sz w:val="20"/>
                <w:szCs w:val="20"/>
                <w:color w:val="auto"/>
              </w:rPr>
            </w:pPr>
          </w:p>
        </w:tc>
        <w:tc>
          <w:tcPr>
            <w:tcW w:w="1120" w:type="dxa"/>
            <w:vAlign w:val="bottom"/>
            <w:gridSpan w:val="2"/>
            <w:vMerge w:val="continue"/>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10.6</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40" w:type="dxa"/>
            <w:vAlign w:val="bottom"/>
            <w:vMerge w:val="continue"/>
          </w:tcPr>
          <w:p>
            <w:pPr>
              <w:spacing w:after="0"/>
              <w:rPr>
                <w:sz w:val="20"/>
                <w:szCs w:val="20"/>
                <w:color w:val="auto"/>
              </w:rPr>
            </w:pP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6.6</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Subtract:</w:t>
            </w: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Operating revenues from a discontinued real estate investment</w:t>
            </w:r>
          </w:p>
        </w:tc>
        <w:tc>
          <w:tcPr>
            <w:tcW w:w="2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¾</w:t>
            </w:r>
          </w:p>
        </w:tc>
        <w:tc>
          <w:tcPr>
            <w:tcW w:w="28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18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¾</w:t>
            </w:r>
          </w:p>
        </w:tc>
        <w:tc>
          <w:tcPr>
            <w:tcW w:w="28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w:t>
            </w:r>
          </w:p>
        </w:tc>
        <w:tc>
          <w:tcPr>
            <w:tcW w:w="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3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revenue per consolidated statements of operations</w:t>
            </w: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2,448.4</w:t>
            </w:r>
          </w:p>
        </w:tc>
        <w:tc>
          <w:tcPr>
            <w:tcW w:w="28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2,200.4</w:t>
            </w:r>
          </w:p>
        </w:tc>
        <w:tc>
          <w:tcPr>
            <w:tcW w:w="18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b w:val="1"/>
                <w:bCs w:val="1"/>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4,840.1</w:t>
            </w:r>
          </w:p>
        </w:tc>
        <w:tc>
          <w:tcPr>
            <w:tcW w:w="28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4,344.1</w:t>
            </w:r>
          </w:p>
        </w:tc>
        <w:tc>
          <w:tcPr>
            <w:tcW w:w="8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3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193" w:right="239" w:bottom="0" w:gutter="0" w:footer="0" w:header="0"/>
        </w:sectPr>
      </w:pPr>
    </w:p>
    <w:bookmarkStart w:id="34" w:name="page35"/>
    <w:bookmarkEnd w:id="34"/>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4205605</wp:posOffset>
            </wp:positionH>
            <wp:positionV relativeFrom="page">
              <wp:posOffset>88900</wp:posOffset>
            </wp:positionV>
            <wp:extent cx="3147060" cy="260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3147060" cy="260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earnings (loss) by segment, net of related income taxes:</w:t>
            </w:r>
          </w:p>
        </w:tc>
        <w:tc>
          <w:tcPr>
            <w:tcW w:w="3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tcPr>
          <w:p>
            <w:pPr>
              <w:spacing w:after="0"/>
              <w:rPr>
                <w:sz w:val="20"/>
                <w:szCs w:val="20"/>
                <w:color w:val="auto"/>
              </w:rPr>
            </w:pPr>
            <w:r>
              <w:rPr>
                <w:rFonts w:ascii="Arial" w:cs="Arial" w:eastAsia="Arial" w:hAnsi="Arial"/>
                <w:sz w:val="18"/>
                <w:szCs w:val="18"/>
                <w:color w:val="auto"/>
              </w:rPr>
              <w:t>U.S. Asset Management and Accumulation</w:t>
            </w:r>
          </w:p>
        </w:tc>
        <w:tc>
          <w:tcPr>
            <w:tcW w:w="360" w:type="dxa"/>
            <w:vAlign w:val="bottom"/>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151.2</w:t>
            </w:r>
          </w:p>
        </w:tc>
        <w:tc>
          <w:tcPr>
            <w:tcW w:w="280" w:type="dxa"/>
            <w:vAlign w:val="bottom"/>
          </w:tcPr>
          <w:p>
            <w:pPr>
              <w:spacing w:after="0"/>
              <w:rPr>
                <w:sz w:val="18"/>
                <w:szCs w:val="18"/>
                <w:color w:val="auto"/>
              </w:rPr>
            </w:pPr>
          </w:p>
        </w:tc>
        <w:tc>
          <w:tcPr>
            <w:tcW w:w="340" w:type="dxa"/>
            <w:vAlign w:val="bottom"/>
          </w:tcPr>
          <w:p>
            <w:pPr>
              <w:jc w:val="right"/>
              <w:ind w:right="185"/>
              <w:spacing w:after="0"/>
              <w:rPr>
                <w:sz w:val="20"/>
                <w:szCs w:val="20"/>
                <w:color w:val="auto"/>
              </w:rPr>
            </w:pPr>
            <w:r>
              <w:rPr>
                <w:rFonts w:ascii="Arial" w:cs="Arial" w:eastAsia="Arial" w:hAnsi="Arial"/>
                <w:sz w:val="15"/>
                <w:szCs w:val="15"/>
                <w:color w:val="auto"/>
                <w:w w:val="71"/>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130.5</w:t>
            </w:r>
          </w:p>
        </w:tc>
        <w:tc>
          <w:tcPr>
            <w:tcW w:w="180" w:type="dxa"/>
            <w:vAlign w:val="bottom"/>
          </w:tcPr>
          <w:p>
            <w:pPr>
              <w:spacing w:after="0"/>
              <w:rPr>
                <w:sz w:val="18"/>
                <w:szCs w:val="18"/>
                <w:color w:val="auto"/>
              </w:rPr>
            </w:pPr>
          </w:p>
        </w:tc>
        <w:tc>
          <w:tcPr>
            <w:tcW w:w="44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rPr>
              <w:t>$</w:t>
            </w: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309.0</w:t>
            </w: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269.1</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International Asset Management and Accumulation</w:t>
            </w:r>
          </w:p>
        </w:tc>
        <w:tc>
          <w:tcPr>
            <w:tcW w:w="3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16.1</w:t>
            </w: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33.7</w:t>
            </w: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28.6</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tcPr>
          <w:p>
            <w:pPr>
              <w:spacing w:after="0"/>
              <w:rPr>
                <w:sz w:val="20"/>
                <w:szCs w:val="20"/>
                <w:color w:val="auto"/>
              </w:rPr>
            </w:pPr>
            <w:r>
              <w:rPr>
                <w:rFonts w:ascii="Arial" w:cs="Arial" w:eastAsia="Arial" w:hAnsi="Arial"/>
                <w:sz w:val="18"/>
                <w:szCs w:val="18"/>
                <w:color w:val="auto"/>
              </w:rPr>
              <w:t>Life and Health Insurance</w:t>
            </w:r>
          </w:p>
        </w:tc>
        <w:tc>
          <w:tcPr>
            <w:tcW w:w="3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65.2</w:t>
            </w: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76.3</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135.6</w:t>
            </w: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145.8</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Corporate and Other</w:t>
            </w:r>
          </w:p>
        </w:tc>
        <w:tc>
          <w:tcPr>
            <w:tcW w:w="3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(7.3)</w:t>
            </w:r>
          </w:p>
        </w:tc>
        <w:tc>
          <w:tcPr>
            <w:tcW w:w="3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(4.9)</w:t>
            </w: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(12.9)</w:t>
            </w:r>
          </w:p>
        </w:tc>
        <w:tc>
          <w:tcPr>
            <w:tcW w:w="3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380" w:type="dxa"/>
            <w:vAlign w:val="bottom"/>
          </w:tcPr>
          <w:p>
            <w:pPr>
              <w:ind w:left="180"/>
              <w:spacing w:after="0"/>
              <w:rPr>
                <w:sz w:val="20"/>
                <w:szCs w:val="20"/>
                <w:color w:val="auto"/>
              </w:rPr>
            </w:pPr>
            <w:r>
              <w:rPr>
                <w:rFonts w:ascii="Arial" w:cs="Arial" w:eastAsia="Arial" w:hAnsi="Arial"/>
                <w:sz w:val="18"/>
                <w:szCs w:val="18"/>
                <w:color w:val="auto"/>
              </w:rPr>
              <w:t>Total segment operating earnings, net of related income taxes</w:t>
            </w:r>
          </w:p>
        </w:tc>
        <w:tc>
          <w:tcPr>
            <w:tcW w:w="3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225.2</w:t>
            </w:r>
          </w:p>
        </w:tc>
        <w:tc>
          <w:tcPr>
            <w:tcW w:w="28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221.0</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465.4</w:t>
            </w:r>
          </w:p>
        </w:tc>
        <w:tc>
          <w:tcPr>
            <w:tcW w:w="28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430.2</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Net realized/unrealized capital gains (losses), as adjusted(2)</w:t>
            </w:r>
          </w:p>
        </w:tc>
        <w:tc>
          <w:tcPr>
            <w:tcW w:w="3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(12.9)</w:t>
            </w: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12.0</w:t>
            </w: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tcPr>
          <w:p>
            <w:pPr>
              <w:spacing w:after="0"/>
              <w:rPr>
                <w:sz w:val="20"/>
                <w:szCs w:val="20"/>
                <w:color w:val="auto"/>
              </w:rPr>
            </w:pPr>
            <w:r>
              <w:rPr>
                <w:rFonts w:ascii="Arial" w:cs="Arial" w:eastAsia="Arial" w:hAnsi="Arial"/>
                <w:sz w:val="18"/>
                <w:szCs w:val="18"/>
                <w:color w:val="auto"/>
              </w:rPr>
              <w:t>Other after-tax adjustments(3)</w:t>
            </w:r>
          </w:p>
        </w:tc>
        <w:tc>
          <w:tcPr>
            <w:tcW w:w="36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(1.8)</w:t>
            </w:r>
          </w:p>
        </w:tc>
        <w:tc>
          <w:tcPr>
            <w:tcW w:w="3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14.7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18.8</w:t>
            </w: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14.7</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380" w:type="dxa"/>
            <w:vAlign w:val="bottom"/>
            <w:vMerge w:val="restart"/>
            <w:shd w:val="clear" w:color="auto" w:fill="CCEEFF"/>
          </w:tcPr>
          <w:p>
            <w:pPr>
              <w:ind w:left="180"/>
              <w:spacing w:after="0" w:line="201" w:lineRule="exact"/>
              <w:rPr>
                <w:sz w:val="20"/>
                <w:szCs w:val="20"/>
                <w:color w:val="auto"/>
              </w:rPr>
            </w:pPr>
            <w:r>
              <w:rPr>
                <w:rFonts w:ascii="Arial" w:cs="Arial" w:eastAsia="Arial" w:hAnsi="Arial"/>
                <w:sz w:val="18"/>
                <w:szCs w:val="18"/>
                <w:color w:val="auto"/>
              </w:rPr>
              <w:t>Net income available to common stockholders per consolidated statements of</w:t>
            </w:r>
          </w:p>
        </w:tc>
        <w:tc>
          <w:tcPr>
            <w:tcW w:w="3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6380" w:type="dxa"/>
            <w:vAlign w:val="bottom"/>
            <w:vMerge w:val="continue"/>
            <w:shd w:val="clear" w:color="auto" w:fill="CCEEFF"/>
          </w:tcPr>
          <w:p>
            <w:pPr>
              <w:spacing w:after="0"/>
              <w:rPr>
                <w:sz w:val="15"/>
                <w:szCs w:val="15"/>
                <w:color w:val="auto"/>
              </w:rPr>
            </w:pPr>
          </w:p>
        </w:tc>
        <w:tc>
          <w:tcPr>
            <w:tcW w:w="360" w:type="dxa"/>
            <w:vAlign w:val="bottom"/>
            <w:vMerge w:val="restart"/>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79"/>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210.5</w:t>
            </w:r>
          </w:p>
        </w:tc>
        <w:tc>
          <w:tcPr>
            <w:tcW w:w="280" w:type="dxa"/>
            <w:vAlign w:val="bottom"/>
            <w:shd w:val="clear" w:color="auto" w:fill="CCEEFF"/>
          </w:tcPr>
          <w:p>
            <w:pPr>
              <w:spacing w:after="0"/>
              <w:rPr>
                <w:sz w:val="15"/>
                <w:szCs w:val="15"/>
                <w:color w:val="auto"/>
              </w:rPr>
            </w:pPr>
          </w:p>
        </w:tc>
        <w:tc>
          <w:tcPr>
            <w:tcW w:w="340" w:type="dxa"/>
            <w:vAlign w:val="bottom"/>
            <w:vMerge w:val="restart"/>
            <w:shd w:val="clear" w:color="auto" w:fill="CCEEFF"/>
          </w:tcPr>
          <w:p>
            <w:pPr>
              <w:jc w:val="right"/>
              <w:ind w:right="185"/>
              <w:spacing w:after="0"/>
              <w:rPr>
                <w:sz w:val="20"/>
                <w:szCs w:val="20"/>
                <w:color w:val="auto"/>
              </w:rPr>
            </w:pPr>
            <w:r>
              <w:rPr>
                <w:rFonts w:ascii="Arial" w:cs="Arial" w:eastAsia="Arial" w:hAnsi="Arial"/>
                <w:sz w:val="15"/>
                <w:szCs w:val="15"/>
                <w:color w:val="auto"/>
                <w:w w:val="71"/>
              </w:rPr>
              <w:t>$</w:t>
            </w: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238.9</w:t>
            </w:r>
          </w:p>
        </w:tc>
        <w:tc>
          <w:tcPr>
            <w:tcW w:w="180" w:type="dxa"/>
            <w:vAlign w:val="bottom"/>
            <w:shd w:val="clear" w:color="auto" w:fill="CCEEFF"/>
          </w:tcPr>
          <w:p>
            <w:pPr>
              <w:spacing w:after="0"/>
              <w:rPr>
                <w:sz w:val="15"/>
                <w:szCs w:val="15"/>
                <w:color w:val="auto"/>
              </w:rPr>
            </w:pPr>
          </w:p>
        </w:tc>
        <w:tc>
          <w:tcPr>
            <w:tcW w:w="44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8"/>
                <w:szCs w:val="18"/>
                <w:b w:val="1"/>
                <w:bCs w:val="1"/>
                <w:color w:val="auto"/>
              </w:rPr>
              <w:t>$</w:t>
            </w: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496.2</w:t>
            </w:r>
          </w:p>
        </w:tc>
        <w:tc>
          <w:tcPr>
            <w:tcW w:w="280" w:type="dxa"/>
            <w:vAlign w:val="bottom"/>
            <w:shd w:val="clear" w:color="auto" w:fill="CCEEFF"/>
          </w:tcPr>
          <w:p>
            <w:pPr>
              <w:spacing w:after="0"/>
              <w:rPr>
                <w:sz w:val="15"/>
                <w:szCs w:val="15"/>
                <w:color w:val="auto"/>
              </w:rPr>
            </w:pPr>
          </w:p>
        </w:tc>
        <w:tc>
          <w:tcPr>
            <w:tcW w:w="340" w:type="dxa"/>
            <w:vAlign w:val="bottom"/>
            <w:vMerge w:val="restart"/>
            <w:shd w:val="clear" w:color="auto" w:fill="CCEEFF"/>
          </w:tcPr>
          <w:p>
            <w:pPr>
              <w:jc w:val="right"/>
              <w:ind w:right="185"/>
              <w:spacing w:after="0"/>
              <w:rPr>
                <w:sz w:val="20"/>
                <w:szCs w:val="20"/>
                <w:color w:val="auto"/>
              </w:rPr>
            </w:pPr>
            <w:r>
              <w:rPr>
                <w:rFonts w:ascii="Arial" w:cs="Arial" w:eastAsia="Arial" w:hAnsi="Arial"/>
                <w:sz w:val="15"/>
                <w:szCs w:val="15"/>
                <w:color w:val="auto"/>
                <w:w w:val="71"/>
              </w:rPr>
              <w:t>$</w:t>
            </w: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444.4</w:t>
            </w:r>
          </w:p>
        </w:tc>
        <w:tc>
          <w:tcPr>
            <w:tcW w:w="80" w:type="dxa"/>
            <w:vAlign w:val="bottom"/>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7"/>
        </w:trPr>
        <w:tc>
          <w:tcPr>
            <w:tcW w:w="63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operations</w:t>
            </w:r>
          </w:p>
        </w:tc>
        <w:tc>
          <w:tcPr>
            <w:tcW w:w="360" w:type="dxa"/>
            <w:vAlign w:val="bottom"/>
            <w:vMerge w:val="continue"/>
            <w:shd w:val="clear" w:color="auto" w:fill="CCEEFF"/>
          </w:tcPr>
          <w:p>
            <w:pPr>
              <w:spacing w:after="0"/>
              <w:rPr>
                <w:sz w:val="18"/>
                <w:szCs w:val="18"/>
                <w:color w:val="auto"/>
              </w:rPr>
            </w:pPr>
          </w:p>
        </w:tc>
        <w:tc>
          <w:tcPr>
            <w:tcW w:w="700" w:type="dxa"/>
            <w:vAlign w:val="bottom"/>
            <w:vMerge w:val="continue"/>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vMerge w:val="continue"/>
            <w:shd w:val="clear" w:color="auto" w:fill="CCEEFF"/>
          </w:tcPr>
          <w:p>
            <w:pPr>
              <w:spacing w:after="0"/>
              <w:rPr>
                <w:sz w:val="18"/>
                <w:szCs w:val="18"/>
                <w:color w:val="auto"/>
              </w:rPr>
            </w:pPr>
          </w:p>
        </w:tc>
        <w:tc>
          <w:tcPr>
            <w:tcW w:w="680" w:type="dxa"/>
            <w:vAlign w:val="bottom"/>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40" w:type="dxa"/>
            <w:vAlign w:val="bottom"/>
            <w:gridSpan w:val="2"/>
            <w:vMerge w:val="continue"/>
            <w:shd w:val="clear" w:color="auto" w:fill="CCEEFF"/>
          </w:tcPr>
          <w:p>
            <w:pPr>
              <w:spacing w:after="0"/>
              <w:rPr>
                <w:sz w:val="18"/>
                <w:szCs w:val="18"/>
                <w:color w:val="auto"/>
              </w:rPr>
            </w:pPr>
          </w:p>
        </w:tc>
        <w:tc>
          <w:tcPr>
            <w:tcW w:w="680" w:type="dxa"/>
            <w:vAlign w:val="bottom"/>
            <w:vMerge w:val="continue"/>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vMerge w:val="continue"/>
            <w:shd w:val="clear" w:color="auto" w:fill="CCEEFF"/>
          </w:tcPr>
          <w:p>
            <w:pPr>
              <w:spacing w:after="0"/>
              <w:rPr>
                <w:sz w:val="18"/>
                <w:szCs w:val="18"/>
                <w:color w:val="auto"/>
              </w:rPr>
            </w:pPr>
          </w:p>
        </w:tc>
        <w:tc>
          <w:tcPr>
            <w:tcW w:w="680" w:type="dxa"/>
            <w:vAlign w:val="bottom"/>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380" w:type="dxa"/>
            <w:vAlign w:val="bottom"/>
            <w:tcBorders>
              <w:top w:val="single" w:sz="8" w:color="CCEEFF"/>
              <w:bottom w:val="single" w:sz="8" w:color="CCEEFF"/>
            </w:tcBorders>
            <w:vMerge w:val="restart"/>
          </w:tcPr>
          <w:p>
            <w:pPr>
              <w:ind w:left="5620"/>
              <w:spacing w:after="0"/>
              <w:rPr>
                <w:sz w:val="20"/>
                <w:szCs w:val="20"/>
                <w:color w:val="auto"/>
              </w:rPr>
            </w:pPr>
            <w:r>
              <w:rPr>
                <w:rFonts w:ascii="Arial" w:cs="Arial" w:eastAsia="Arial" w:hAnsi="Arial"/>
                <w:sz w:val="18"/>
                <w:szCs w:val="18"/>
                <w:color w:val="auto"/>
              </w:rPr>
              <w:t>50</w:t>
            </w:r>
          </w:p>
        </w:tc>
        <w:tc>
          <w:tcPr>
            <w:tcW w:w="3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83"/>
        </w:trPr>
        <w:tc>
          <w:tcPr>
            <w:tcW w:w="6380" w:type="dxa"/>
            <w:vAlign w:val="bottom"/>
            <w:vMerge w:val="continue"/>
          </w:tcPr>
          <w:p>
            <w:pPr>
              <w:spacing w:after="0"/>
              <w:rPr>
                <w:sz w:val="24"/>
                <w:szCs w:val="24"/>
                <w:color w:val="auto"/>
              </w:rPr>
            </w:pPr>
          </w:p>
        </w:tc>
        <w:tc>
          <w:tcPr>
            <w:tcW w:w="3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6380" w:type="dxa"/>
            <w:vAlign w:val="bottom"/>
            <w:tcBorders>
              <w:bottom w:val="single" w:sz="8" w:color="010101"/>
            </w:tcBorders>
          </w:tcPr>
          <w:p>
            <w:pPr>
              <w:spacing w:after="0"/>
              <w:rPr>
                <w:sz w:val="24"/>
                <w:szCs w:val="24"/>
                <w:color w:val="auto"/>
              </w:rPr>
            </w:pPr>
          </w:p>
        </w:tc>
        <w:tc>
          <w:tcPr>
            <w:tcW w:w="360" w:type="dxa"/>
            <w:vAlign w:val="bottom"/>
            <w:tcBorders>
              <w:bottom w:val="single" w:sz="8" w:color="010101"/>
            </w:tcBorders>
          </w:tcPr>
          <w:p>
            <w:pPr>
              <w:spacing w:after="0"/>
              <w:rPr>
                <w:sz w:val="24"/>
                <w:szCs w:val="24"/>
                <w:color w:val="auto"/>
              </w:rPr>
            </w:pPr>
          </w:p>
        </w:tc>
        <w:tc>
          <w:tcPr>
            <w:tcW w:w="70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340" w:type="dxa"/>
            <w:vAlign w:val="bottom"/>
            <w:tcBorders>
              <w:bottom w:val="single" w:sz="8" w:color="010101"/>
            </w:tcBorders>
          </w:tcPr>
          <w:p>
            <w:pPr>
              <w:spacing w:after="0"/>
              <w:rPr>
                <w:sz w:val="24"/>
                <w:szCs w:val="24"/>
                <w:color w:val="auto"/>
              </w:rPr>
            </w:pPr>
          </w:p>
        </w:tc>
        <w:tc>
          <w:tcPr>
            <w:tcW w:w="68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340" w:type="dxa"/>
            <w:vAlign w:val="bottom"/>
            <w:tcBorders>
              <w:bottom w:val="single" w:sz="8" w:color="010101"/>
            </w:tcBorders>
          </w:tcPr>
          <w:p>
            <w:pPr>
              <w:spacing w:after="0"/>
              <w:rPr>
                <w:sz w:val="24"/>
                <w:szCs w:val="24"/>
                <w:color w:val="auto"/>
              </w:rPr>
            </w:pPr>
          </w:p>
        </w:tc>
        <w:tc>
          <w:tcPr>
            <w:tcW w:w="68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340" w:type="dxa"/>
            <w:vAlign w:val="bottom"/>
            <w:tcBorders>
              <w:bottom w:val="single" w:sz="8" w:color="010101"/>
            </w:tcBorders>
          </w:tcPr>
          <w:p>
            <w:pPr>
              <w:spacing w:after="0"/>
              <w:rPr>
                <w:sz w:val="24"/>
                <w:szCs w:val="24"/>
                <w:color w:val="auto"/>
              </w:rPr>
            </w:pPr>
          </w:p>
        </w:tc>
        <w:tc>
          <w:tcPr>
            <w:tcW w:w="68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0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8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540" w:type="dxa"/>
            <w:vAlign w:val="bottom"/>
            <w:gridSpan w:val="2"/>
          </w:tcPr>
          <w:p>
            <w:pPr>
              <w:ind w:left="120"/>
              <w:spacing w:after="0"/>
              <w:rPr>
                <w:sz w:val="20"/>
                <w:szCs w:val="20"/>
                <w:color w:val="auto"/>
              </w:rPr>
            </w:pPr>
            <w:r>
              <w:rPr>
                <w:rFonts w:ascii="Arial" w:cs="Arial" w:eastAsia="Arial" w:hAnsi="Arial"/>
                <w:sz w:val="14"/>
                <w:szCs w:val="14"/>
                <w:b w:val="1"/>
                <w:bCs w:val="1"/>
                <w:color w:val="auto"/>
              </w:rPr>
              <w:t>June 30, 2006</w:t>
            </w:r>
          </w:p>
        </w:tc>
        <w:tc>
          <w:tcPr>
            <w:tcW w:w="120" w:type="dxa"/>
            <w:vAlign w:val="bottom"/>
          </w:tcPr>
          <w:p>
            <w:pPr>
              <w:spacing w:after="0"/>
              <w:rPr>
                <w:sz w:val="14"/>
                <w:szCs w:val="14"/>
                <w:color w:val="auto"/>
              </w:rPr>
            </w:pPr>
          </w:p>
        </w:tc>
        <w:tc>
          <w:tcPr>
            <w:tcW w:w="1400" w:type="dxa"/>
            <w:vAlign w:val="bottom"/>
            <w:gridSpan w:val="2"/>
          </w:tcPr>
          <w:p>
            <w:pPr>
              <w:ind w:left="40"/>
              <w:spacing w:after="0"/>
              <w:rPr>
                <w:sz w:val="20"/>
                <w:szCs w:val="20"/>
                <w:color w:val="auto"/>
              </w:rPr>
            </w:pPr>
            <w:r>
              <w:rPr>
                <w:rFonts w:ascii="Arial" w:cs="Arial" w:eastAsia="Arial" w:hAnsi="Arial"/>
                <w:sz w:val="14"/>
                <w:szCs w:val="14"/>
                <w:b w:val="1"/>
                <w:bCs w:val="1"/>
                <w:color w:val="auto"/>
              </w:rPr>
              <w:t>December 31, 2005</w:t>
            </w:r>
          </w:p>
        </w:tc>
      </w:tr>
      <w:tr>
        <w:trPr>
          <w:trHeight w:val="129"/>
        </w:trPr>
        <w:tc>
          <w:tcPr>
            <w:tcW w:w="816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3020" w:type="dxa"/>
            <w:vAlign w:val="bottom"/>
            <w:tcBorders>
              <w:top w:val="single" w:sz="8" w:color="auto"/>
            </w:tcBorders>
            <w:gridSpan w:val="4"/>
          </w:tcPr>
          <w:p>
            <w:pPr>
              <w:jc w:val="right"/>
              <w:ind w:right="1153"/>
              <w:spacing w:after="0" w:line="129" w:lineRule="exact"/>
              <w:rPr>
                <w:sz w:val="20"/>
                <w:szCs w:val="20"/>
                <w:color w:val="auto"/>
              </w:rPr>
            </w:pPr>
            <w:r>
              <w:rPr>
                <w:rFonts w:ascii="Arial" w:cs="Arial" w:eastAsia="Arial" w:hAnsi="Arial"/>
                <w:sz w:val="14"/>
                <w:szCs w:val="14"/>
                <w:b w:val="1"/>
                <w:bCs w:val="1"/>
                <w:color w:val="auto"/>
              </w:rPr>
              <w:t>(in millions)</w:t>
            </w:r>
          </w:p>
        </w:tc>
        <w:tc>
          <w:tcPr>
            <w:tcW w:w="40" w:type="dxa"/>
            <w:vAlign w:val="bottom"/>
          </w:tcPr>
          <w:p>
            <w:pPr>
              <w:spacing w:after="0"/>
              <w:rPr>
                <w:sz w:val="11"/>
                <w:szCs w:val="11"/>
                <w:color w:val="auto"/>
              </w:rPr>
            </w:pPr>
          </w:p>
        </w:tc>
      </w:tr>
      <w:tr>
        <w:trPr>
          <w:trHeight w:val="216"/>
        </w:trPr>
        <w:tc>
          <w:tcPr>
            <w:tcW w:w="8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 by segment:</w:t>
            </w:r>
          </w:p>
        </w:tc>
        <w:tc>
          <w:tcPr>
            <w:tcW w:w="2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r>
      <w:tr>
        <w:trPr>
          <w:trHeight w:val="216"/>
        </w:trPr>
        <w:tc>
          <w:tcPr>
            <w:tcW w:w="8160" w:type="dxa"/>
            <w:vAlign w:val="bottom"/>
          </w:tcPr>
          <w:p>
            <w:pPr>
              <w:spacing w:after="0"/>
              <w:rPr>
                <w:sz w:val="20"/>
                <w:szCs w:val="20"/>
                <w:color w:val="auto"/>
              </w:rPr>
            </w:pPr>
            <w:r>
              <w:rPr>
                <w:rFonts w:ascii="Arial" w:cs="Arial" w:eastAsia="Arial" w:hAnsi="Arial"/>
                <w:sz w:val="18"/>
                <w:szCs w:val="18"/>
                <w:color w:val="auto"/>
              </w:rPr>
              <w:t>U.S. Asset Management and Accumulation(4)</w:t>
            </w:r>
          </w:p>
        </w:tc>
        <w:tc>
          <w:tcPr>
            <w:tcW w:w="200" w:type="dxa"/>
            <w:vAlign w:val="bottom"/>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108,160.0</w:t>
            </w:r>
          </w:p>
        </w:tc>
        <w:tc>
          <w:tcPr>
            <w:tcW w:w="2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103,506.1</w:t>
            </w:r>
          </w:p>
        </w:tc>
        <w:tc>
          <w:tcPr>
            <w:tcW w:w="40" w:type="dxa"/>
            <w:vAlign w:val="bottom"/>
          </w:tcPr>
          <w:p>
            <w:pPr>
              <w:spacing w:after="0"/>
              <w:rPr>
                <w:sz w:val="18"/>
                <w:szCs w:val="18"/>
                <w:color w:val="auto"/>
              </w:rPr>
            </w:pPr>
          </w:p>
        </w:tc>
      </w:tr>
      <w:tr>
        <w:trPr>
          <w:trHeight w:val="216"/>
        </w:trPr>
        <w:tc>
          <w:tcPr>
            <w:tcW w:w="8160" w:type="dxa"/>
            <w:vAlign w:val="bottom"/>
            <w:shd w:val="clear" w:color="auto" w:fill="CCEEFF"/>
          </w:tcPr>
          <w:p>
            <w:pPr>
              <w:spacing w:after="0"/>
              <w:rPr>
                <w:sz w:val="20"/>
                <w:szCs w:val="20"/>
                <w:color w:val="auto"/>
              </w:rPr>
            </w:pPr>
            <w:r>
              <w:rPr>
                <w:rFonts w:ascii="Arial" w:cs="Arial" w:eastAsia="Arial" w:hAnsi="Arial"/>
                <w:sz w:val="18"/>
                <w:szCs w:val="18"/>
                <w:color w:val="auto"/>
              </w:rPr>
              <w:t>International Asset Management and Accumulation</w:t>
            </w:r>
          </w:p>
        </w:tc>
        <w:tc>
          <w:tcPr>
            <w:tcW w:w="20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6,833.2</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6,856.2</w:t>
            </w:r>
          </w:p>
        </w:tc>
        <w:tc>
          <w:tcPr>
            <w:tcW w:w="40" w:type="dxa"/>
            <w:vAlign w:val="bottom"/>
            <w:shd w:val="clear" w:color="auto" w:fill="CCEEFF"/>
          </w:tcPr>
          <w:p>
            <w:pPr>
              <w:spacing w:after="0"/>
              <w:rPr>
                <w:sz w:val="18"/>
                <w:szCs w:val="18"/>
                <w:color w:val="auto"/>
              </w:rPr>
            </w:pPr>
          </w:p>
        </w:tc>
      </w:tr>
      <w:tr>
        <w:trPr>
          <w:trHeight w:val="216"/>
        </w:trPr>
        <w:tc>
          <w:tcPr>
            <w:tcW w:w="8160" w:type="dxa"/>
            <w:vAlign w:val="bottom"/>
          </w:tcPr>
          <w:p>
            <w:pPr>
              <w:spacing w:after="0"/>
              <w:rPr>
                <w:sz w:val="20"/>
                <w:szCs w:val="20"/>
                <w:color w:val="auto"/>
              </w:rPr>
            </w:pPr>
            <w:r>
              <w:rPr>
                <w:rFonts w:ascii="Arial" w:cs="Arial" w:eastAsia="Arial" w:hAnsi="Arial"/>
                <w:sz w:val="18"/>
                <w:szCs w:val="18"/>
                <w:color w:val="auto"/>
              </w:rPr>
              <w:t>Life and Health Insurance</w:t>
            </w:r>
          </w:p>
        </w:tc>
        <w:tc>
          <w:tcPr>
            <w:tcW w:w="2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13,951.7</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14,080.2</w:t>
            </w:r>
          </w:p>
        </w:tc>
        <w:tc>
          <w:tcPr>
            <w:tcW w:w="40" w:type="dxa"/>
            <w:vAlign w:val="bottom"/>
          </w:tcPr>
          <w:p>
            <w:pPr>
              <w:spacing w:after="0"/>
              <w:rPr>
                <w:sz w:val="18"/>
                <w:szCs w:val="18"/>
                <w:color w:val="auto"/>
              </w:rPr>
            </w:pPr>
          </w:p>
        </w:tc>
      </w:tr>
      <w:tr>
        <w:trPr>
          <w:trHeight w:val="216"/>
        </w:trPr>
        <w:tc>
          <w:tcPr>
            <w:tcW w:w="8160" w:type="dxa"/>
            <w:vAlign w:val="bottom"/>
            <w:shd w:val="clear" w:color="auto" w:fill="CCEEFF"/>
          </w:tcPr>
          <w:p>
            <w:pPr>
              <w:spacing w:after="0"/>
              <w:rPr>
                <w:sz w:val="20"/>
                <w:szCs w:val="20"/>
                <w:color w:val="auto"/>
              </w:rPr>
            </w:pPr>
            <w:r>
              <w:rPr>
                <w:rFonts w:ascii="Arial" w:cs="Arial" w:eastAsia="Arial" w:hAnsi="Arial"/>
                <w:sz w:val="18"/>
                <w:szCs w:val="18"/>
                <w:color w:val="auto"/>
              </w:rPr>
              <w:t>Corporate and Other(5)</w:t>
            </w:r>
          </w:p>
        </w:tc>
        <w:tc>
          <w:tcPr>
            <w:tcW w:w="20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2,484.5</w:t>
            </w:r>
          </w:p>
        </w:tc>
        <w:tc>
          <w:tcPr>
            <w:tcW w:w="2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2,592.9</w:t>
            </w:r>
          </w:p>
        </w:tc>
        <w:tc>
          <w:tcPr>
            <w:tcW w:w="40" w:type="dxa"/>
            <w:vAlign w:val="bottom"/>
            <w:shd w:val="clear" w:color="auto" w:fill="CCEEFF"/>
          </w:tcPr>
          <w:p>
            <w:pPr>
              <w:spacing w:after="0"/>
              <w:rPr>
                <w:sz w:val="18"/>
                <w:szCs w:val="18"/>
                <w:color w:val="auto"/>
              </w:rPr>
            </w:pPr>
          </w:p>
        </w:tc>
      </w:tr>
      <w:tr>
        <w:trPr>
          <w:trHeight w:val="210"/>
        </w:trPr>
        <w:tc>
          <w:tcPr>
            <w:tcW w:w="8160" w:type="dxa"/>
            <w:vAlign w:val="bottom"/>
          </w:tcPr>
          <w:p>
            <w:pPr>
              <w:ind w:left="180"/>
              <w:spacing w:after="0"/>
              <w:rPr>
                <w:sz w:val="20"/>
                <w:szCs w:val="20"/>
                <w:color w:val="auto"/>
              </w:rPr>
            </w:pPr>
            <w:r>
              <w:rPr>
                <w:rFonts w:ascii="Arial" w:cs="Arial" w:eastAsia="Arial" w:hAnsi="Arial"/>
                <w:sz w:val="18"/>
                <w:szCs w:val="18"/>
                <w:color w:val="auto"/>
              </w:rPr>
              <w:t>Total consolidated assets</w:t>
            </w: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131,429.4</w:t>
            </w:r>
          </w:p>
        </w:tc>
        <w:tc>
          <w:tcPr>
            <w:tcW w:w="26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127,035.4</w:t>
            </w:r>
          </w:p>
        </w:tc>
        <w:tc>
          <w:tcPr>
            <w:tcW w:w="40" w:type="dxa"/>
            <w:vAlign w:val="bottom"/>
          </w:tcPr>
          <w:p>
            <w:pPr>
              <w:spacing w:after="0"/>
              <w:rPr>
                <w:sz w:val="18"/>
                <w:szCs w:val="18"/>
                <w:color w:val="auto"/>
              </w:rPr>
            </w:pPr>
          </w:p>
        </w:tc>
      </w:tr>
      <w:tr>
        <w:trPr>
          <w:trHeight w:val="20"/>
        </w:trPr>
        <w:tc>
          <w:tcPr>
            <w:tcW w:w="8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171450</wp:posOffset>
            </wp:positionV>
            <wp:extent cx="138938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357" w:lineRule="exact"/>
        <w:rPr>
          <w:sz w:val="20"/>
          <w:szCs w:val="20"/>
          <w:color w:val="auto"/>
        </w:rPr>
      </w:pPr>
    </w:p>
    <w:p>
      <w:pPr>
        <w:ind w:left="660" w:right="160" w:hanging="652"/>
        <w:spacing w:after="0" w:line="277" w:lineRule="auto"/>
        <w:tabs>
          <w:tab w:leader="none" w:pos="692"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Includes inter-segment eliminations primarily related to internal investment management fee revenues and commission fee revenues paid to U.S. Asset Management and Accumulation agents for selling Life and Health Insurance segment insurance products.</w:t>
      </w:r>
    </w:p>
    <w:p>
      <w:pPr>
        <w:spacing w:after="0" w:line="237" w:lineRule="exact"/>
        <w:rPr>
          <w:rFonts w:ascii="Arial" w:cs="Arial" w:eastAsia="Arial" w:hAnsi="Arial"/>
          <w:sz w:val="18"/>
          <w:szCs w:val="18"/>
          <w:color w:val="auto"/>
        </w:rPr>
      </w:pPr>
    </w:p>
    <w:p>
      <w:pPr>
        <w:ind w:left="660" w:right="60" w:hanging="652"/>
        <w:spacing w:after="0" w:line="301" w:lineRule="auto"/>
        <w:tabs>
          <w:tab w:leader="none" w:pos="657" w:val="left"/>
        </w:tabs>
        <w:numPr>
          <w:ilvl w:val="0"/>
          <w:numId w:val="15"/>
        </w:numPr>
        <w:rPr>
          <w:rFonts w:ascii="Arial" w:cs="Arial" w:eastAsia="Arial" w:hAnsi="Arial"/>
          <w:sz w:val="16"/>
          <w:szCs w:val="16"/>
          <w:color w:val="auto"/>
        </w:rPr>
      </w:pPr>
      <w:r>
        <w:rPr>
          <w:rFonts w:ascii="Arial" w:cs="Arial" w:eastAsia="Arial" w:hAnsi="Arial"/>
          <w:sz w:val="16"/>
          <w:szCs w:val="16"/>
          <w:color w:val="auto"/>
        </w:rPr>
        <w:t>In addition to sales activity and other than temporary impairments, net realized/unrealized capital gains (losses) include unrealized gains (losses) on mark to market changes in certain seed money investments and investments classified as trading securities, as well as unrealized gains (losses) on certain derivatives. Net realized/unrealized capital gains (losses), as adjusted, are net of income taxes, net realized capital gains and losses distributed, minority interest capital gains and losses, related changes in the amortization pattern of deferred policy acquisition and sales inducement costs, recognition of front-end fee revenues for sales charges on pension products and services and certain market value adjustments to fee revenues.</w:t>
      </w:r>
    </w:p>
    <w:p>
      <w:pPr>
        <w:spacing w:after="0" w:line="1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0" w:type="dxa"/>
            <w:vAlign w:val="bottom"/>
            <w:gridSpan w:val="5"/>
          </w:tcPr>
          <w:p>
            <w:pPr>
              <w:jc w:val="right"/>
              <w:ind w:right="420"/>
              <w:spacing w:after="0"/>
              <w:rPr>
                <w:sz w:val="20"/>
                <w:szCs w:val="20"/>
                <w:color w:val="auto"/>
              </w:rPr>
            </w:pPr>
            <w:r>
              <w:rPr>
                <w:rFonts w:ascii="Arial" w:cs="Arial" w:eastAsia="Arial" w:hAnsi="Arial"/>
                <w:sz w:val="14"/>
                <w:szCs w:val="14"/>
                <w:b w:val="1"/>
                <w:bCs w:val="1"/>
                <w:color w:val="auto"/>
                <w:w w:val="95"/>
              </w:rPr>
              <w:t>For the three months ended</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00" w:type="dxa"/>
            <w:vAlign w:val="bottom"/>
            <w:gridSpan w:val="5"/>
          </w:tcPr>
          <w:p>
            <w:pPr>
              <w:jc w:val="right"/>
              <w:ind w:right="320"/>
              <w:spacing w:after="0"/>
              <w:rPr>
                <w:sz w:val="20"/>
                <w:szCs w:val="20"/>
                <w:color w:val="auto"/>
              </w:rPr>
            </w:pPr>
            <w:r>
              <w:rPr>
                <w:rFonts w:ascii="Arial" w:cs="Arial" w:eastAsia="Arial" w:hAnsi="Arial"/>
                <w:sz w:val="14"/>
                <w:szCs w:val="14"/>
                <w:b w:val="1"/>
                <w:bCs w:val="1"/>
                <w:color w:val="auto"/>
                <w:w w:val="92"/>
              </w:rPr>
              <w:t>For the six months ended</w:t>
            </w:r>
          </w:p>
        </w:tc>
        <w:tc>
          <w:tcPr>
            <w:tcW w:w="0" w:type="dxa"/>
            <w:vAlign w:val="bottom"/>
          </w:tcPr>
          <w:p>
            <w:pPr>
              <w:spacing w:after="0"/>
              <w:rPr>
                <w:sz w:val="1"/>
                <w:szCs w:val="1"/>
                <w:color w:val="auto"/>
              </w:rPr>
            </w:pPr>
          </w:p>
        </w:tc>
      </w:tr>
      <w:tr>
        <w:trPr>
          <w:trHeight w:val="162"/>
        </w:trPr>
        <w:tc>
          <w:tcPr>
            <w:tcW w:w="67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4"/>
                <w:szCs w:val="14"/>
                <w:b w:val="1"/>
                <w:bCs w:val="1"/>
                <w:color w:val="auto"/>
              </w:rPr>
              <w:t>June 30,</w:t>
            </w:r>
          </w:p>
        </w:tc>
        <w:tc>
          <w:tcPr>
            <w:tcW w:w="7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gridSpan w:val="3"/>
          </w:tcPr>
          <w:p>
            <w:pPr>
              <w:jc w:val="right"/>
              <w:ind w:right="25"/>
              <w:spacing w:after="0"/>
              <w:rPr>
                <w:sz w:val="20"/>
                <w:szCs w:val="20"/>
                <w:color w:val="auto"/>
              </w:rPr>
            </w:pPr>
            <w:r>
              <w:rPr>
                <w:rFonts w:ascii="Arial" w:cs="Arial" w:eastAsia="Arial" w:hAnsi="Arial"/>
                <w:sz w:val="14"/>
                <w:szCs w:val="14"/>
                <w:b w:val="1"/>
                <w:bCs w:val="1"/>
                <w:color w:val="auto"/>
              </w:rPr>
              <w:t>June 30,</w:t>
            </w:r>
          </w:p>
        </w:tc>
        <w:tc>
          <w:tcPr>
            <w:tcW w:w="7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670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jc w:val="right"/>
              <w:ind w:right="254"/>
              <w:spacing w:after="0" w:line="129" w:lineRule="exact"/>
              <w:rPr>
                <w:sz w:val="20"/>
                <w:szCs w:val="20"/>
                <w:color w:val="auto"/>
              </w:rPr>
            </w:pPr>
            <w:r>
              <w:rPr>
                <w:rFonts w:ascii="Arial" w:cs="Arial" w:eastAsia="Arial" w:hAnsi="Arial"/>
                <w:sz w:val="14"/>
                <w:szCs w:val="14"/>
                <w:b w:val="1"/>
                <w:bCs w:val="1"/>
                <w:color w:val="auto"/>
              </w:rPr>
              <w:t>2006</w:t>
            </w:r>
          </w:p>
        </w:tc>
        <w:tc>
          <w:tcPr>
            <w:tcW w:w="280" w:type="dxa"/>
            <w:vAlign w:val="bottom"/>
            <w:tcBorders>
              <w:bottom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jc w:val="right"/>
              <w:ind w:right="253"/>
              <w:spacing w:after="0" w:line="129" w:lineRule="exact"/>
              <w:rPr>
                <w:sz w:val="20"/>
                <w:szCs w:val="20"/>
                <w:color w:val="auto"/>
              </w:rPr>
            </w:pPr>
            <w:r>
              <w:rPr>
                <w:rFonts w:ascii="Arial" w:cs="Arial" w:eastAsia="Arial" w:hAnsi="Arial"/>
                <w:sz w:val="14"/>
                <w:szCs w:val="14"/>
                <w:b w:val="1"/>
                <w:bCs w:val="1"/>
                <w:color w:val="auto"/>
              </w:rPr>
              <w:t>2005</w:t>
            </w:r>
          </w:p>
        </w:tc>
        <w:tc>
          <w:tcPr>
            <w:tcW w:w="16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jc w:val="right"/>
              <w:ind w:right="234"/>
              <w:spacing w:after="0" w:line="129" w:lineRule="exact"/>
              <w:rPr>
                <w:sz w:val="20"/>
                <w:szCs w:val="20"/>
                <w:color w:val="auto"/>
              </w:rPr>
            </w:pPr>
            <w:r>
              <w:rPr>
                <w:rFonts w:ascii="Arial" w:cs="Arial" w:eastAsia="Arial" w:hAnsi="Arial"/>
                <w:sz w:val="14"/>
                <w:szCs w:val="14"/>
                <w:b w:val="1"/>
                <w:bCs w:val="1"/>
                <w:color w:val="auto"/>
              </w:rPr>
              <w:t>2006</w:t>
            </w:r>
          </w:p>
        </w:tc>
        <w:tc>
          <w:tcPr>
            <w:tcW w:w="300" w:type="dxa"/>
            <w:vAlign w:val="bottom"/>
            <w:tcBorders>
              <w:bottom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jc w:val="right"/>
              <w:ind w:right="232"/>
              <w:spacing w:after="0" w:line="129" w:lineRule="exact"/>
              <w:rPr>
                <w:sz w:val="20"/>
                <w:szCs w:val="20"/>
                <w:color w:val="auto"/>
              </w:rPr>
            </w:pPr>
            <w:r>
              <w:rPr>
                <w:rFonts w:ascii="Arial" w:cs="Arial" w:eastAsia="Arial" w:hAnsi="Arial"/>
                <w:sz w:val="14"/>
                <w:szCs w:val="14"/>
                <w:b w:val="1"/>
                <w:bCs w:val="1"/>
                <w:color w:val="auto"/>
              </w:rPr>
              <w:t>2005</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60" w:type="dxa"/>
            <w:vAlign w:val="bottom"/>
            <w:gridSpan w:val="4"/>
          </w:tcPr>
          <w:p>
            <w:pPr>
              <w:jc w:val="right"/>
              <w:spacing w:after="0" w:line="129" w:lineRule="exact"/>
              <w:rPr>
                <w:sz w:val="20"/>
                <w:szCs w:val="20"/>
                <w:color w:val="auto"/>
              </w:rPr>
            </w:pPr>
            <w:r>
              <w:rPr>
                <w:rFonts w:ascii="Arial" w:cs="Arial" w:eastAsia="Arial" w:hAnsi="Arial"/>
                <w:sz w:val="14"/>
                <w:szCs w:val="14"/>
                <w:b w:val="1"/>
                <w:bCs w:val="1"/>
                <w:color w:val="auto"/>
              </w:rPr>
              <w:t>(in millions)</w:t>
            </w:r>
          </w:p>
        </w:tc>
        <w:tc>
          <w:tcPr>
            <w:tcW w:w="6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6700" w:type="dxa"/>
            <w:vAlign w:val="bottom"/>
            <w:shd w:val="clear" w:color="auto" w:fill="CCEEFF"/>
          </w:tcPr>
          <w:p>
            <w:pPr>
              <w:spacing w:after="0"/>
              <w:rPr>
                <w:sz w:val="20"/>
                <w:szCs w:val="20"/>
                <w:color w:val="auto"/>
              </w:rPr>
            </w:pPr>
            <w:r>
              <w:rPr>
                <w:rFonts w:ascii="Arial" w:cs="Arial" w:eastAsia="Arial" w:hAnsi="Arial"/>
                <w:sz w:val="18"/>
                <w:szCs w:val="18"/>
                <w:color w:val="auto"/>
              </w:rPr>
              <w:t>Net realized/unrealized capital gains (losses)</w:t>
            </w: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(19.1)</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w:t>
            </w:r>
          </w:p>
        </w:tc>
        <w:tc>
          <w:tcPr>
            <w:tcW w:w="16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85"/>
              <w:spacing w:after="0"/>
              <w:rPr>
                <w:sz w:val="20"/>
                <w:szCs w:val="20"/>
                <w:color w:val="auto"/>
              </w:rPr>
            </w:pPr>
            <w:r>
              <w:rPr>
                <w:rFonts w:ascii="Arial" w:cs="Arial" w:eastAsia="Arial" w:hAnsi="Arial"/>
                <w:sz w:val="18"/>
                <w:szCs w:val="18"/>
                <w:b w:val="1"/>
                <w:bCs w:val="1"/>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29.8</w:t>
            </w:r>
          </w:p>
        </w:tc>
        <w:tc>
          <w:tcPr>
            <w:tcW w:w="3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700" w:type="dxa"/>
            <w:vAlign w:val="bottom"/>
          </w:tcPr>
          <w:p>
            <w:pPr>
              <w:spacing w:after="0"/>
              <w:rPr>
                <w:sz w:val="20"/>
                <w:szCs w:val="20"/>
                <w:color w:val="auto"/>
              </w:rPr>
            </w:pPr>
            <w:r>
              <w:rPr>
                <w:rFonts w:ascii="Arial" w:cs="Arial" w:eastAsia="Arial" w:hAnsi="Arial"/>
                <w:sz w:val="18"/>
                <w:szCs w:val="18"/>
                <w:color w:val="auto"/>
              </w:rPr>
              <w:t>Certain market value adjustments to fee revenues</w:t>
            </w:r>
          </w:p>
        </w:tc>
        <w:tc>
          <w:tcPr>
            <w:tcW w:w="160" w:type="dxa"/>
            <w:vAlign w:val="bottom"/>
          </w:tcPr>
          <w:p>
            <w:pPr>
              <w:spacing w:after="0"/>
              <w:rPr>
                <w:sz w:val="18"/>
                <w:szCs w:val="18"/>
                <w:color w:val="auto"/>
              </w:rPr>
            </w:pPr>
          </w:p>
        </w:tc>
        <w:tc>
          <w:tcPr>
            <w:tcW w:w="10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(0.3)</w:t>
            </w:r>
          </w:p>
        </w:tc>
        <w:tc>
          <w:tcPr>
            <w:tcW w:w="2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(1.0)</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(1.2)</w:t>
            </w:r>
          </w:p>
        </w:tc>
        <w:tc>
          <w:tcPr>
            <w:tcW w:w="20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16"/>
        </w:trPr>
        <w:tc>
          <w:tcPr>
            <w:tcW w:w="6700" w:type="dxa"/>
            <w:vAlign w:val="bottom"/>
            <w:shd w:val="clear" w:color="auto" w:fill="CCEEFF"/>
          </w:tcPr>
          <w:p>
            <w:pPr>
              <w:spacing w:after="0"/>
              <w:rPr>
                <w:sz w:val="20"/>
                <w:szCs w:val="20"/>
                <w:color w:val="auto"/>
              </w:rPr>
            </w:pPr>
            <w:r>
              <w:rPr>
                <w:rFonts w:ascii="Arial" w:cs="Arial" w:eastAsia="Arial" w:hAnsi="Arial"/>
                <w:sz w:val="18"/>
                <w:szCs w:val="18"/>
                <w:color w:val="auto"/>
              </w:rPr>
              <w:t>Recognition of front-end fee revenues</w:t>
            </w:r>
          </w:p>
        </w:tc>
        <w:tc>
          <w:tcPr>
            <w:tcW w:w="16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0.5</w:t>
            </w:r>
          </w:p>
        </w:tc>
        <w:tc>
          <w:tcPr>
            <w:tcW w:w="28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w:t>
            </w:r>
          </w:p>
        </w:tc>
        <w:tc>
          <w:tcPr>
            <w:tcW w:w="3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2"/>
        </w:trPr>
        <w:tc>
          <w:tcPr>
            <w:tcW w:w="6700" w:type="dxa"/>
            <w:vAlign w:val="bottom"/>
          </w:tcPr>
          <w:p>
            <w:pPr>
              <w:ind w:left="180"/>
              <w:spacing w:after="0" w:line="182" w:lineRule="exact"/>
              <w:rPr>
                <w:sz w:val="20"/>
                <w:szCs w:val="20"/>
                <w:color w:val="auto"/>
              </w:rPr>
            </w:pPr>
            <w:r>
              <w:rPr>
                <w:rFonts w:ascii="Arial" w:cs="Arial" w:eastAsia="Arial" w:hAnsi="Arial"/>
                <w:sz w:val="18"/>
                <w:szCs w:val="18"/>
                <w:color w:val="auto"/>
                <w:w w:val="98"/>
              </w:rPr>
              <w:t>Net realized/unrealized capital gains (losses), including recognition of front-end fee</w:t>
            </w:r>
          </w:p>
        </w:tc>
        <w:tc>
          <w:tcPr>
            <w:tcW w:w="160" w:type="dxa"/>
            <w:vAlign w:val="bottom"/>
          </w:tcPr>
          <w:p>
            <w:pPr>
              <w:spacing w:after="0"/>
              <w:rPr>
                <w:sz w:val="15"/>
                <w:szCs w:val="15"/>
                <w:color w:val="auto"/>
              </w:rPr>
            </w:pPr>
          </w:p>
        </w:tc>
        <w:tc>
          <w:tcPr>
            <w:tcW w:w="108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(18.9)</w:t>
            </w:r>
          </w:p>
        </w:tc>
        <w:tc>
          <w:tcPr>
            <w:tcW w:w="2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29.7</w:t>
            </w:r>
          </w:p>
        </w:tc>
        <w:tc>
          <w:tcPr>
            <w:tcW w:w="3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6700" w:type="dxa"/>
            <w:vAlign w:val="bottom"/>
          </w:tcPr>
          <w:p>
            <w:pPr>
              <w:ind w:left="360"/>
              <w:spacing w:after="0"/>
              <w:rPr>
                <w:sz w:val="20"/>
                <w:szCs w:val="20"/>
                <w:color w:val="auto"/>
              </w:rPr>
            </w:pPr>
            <w:r>
              <w:rPr>
                <w:rFonts w:ascii="Arial" w:cs="Arial" w:eastAsia="Arial" w:hAnsi="Arial"/>
                <w:sz w:val="18"/>
                <w:szCs w:val="18"/>
                <w:color w:val="auto"/>
              </w:rPr>
              <w:t>revenues and certain market value adjustments to fee revenues</w:t>
            </w:r>
          </w:p>
        </w:tc>
        <w:tc>
          <w:tcPr>
            <w:tcW w:w="160" w:type="dxa"/>
            <w:vAlign w:val="bottom"/>
          </w:tcPr>
          <w:p>
            <w:pPr>
              <w:spacing w:after="0"/>
              <w:rPr>
                <w:sz w:val="20"/>
                <w:szCs w:val="20"/>
                <w:color w:val="auto"/>
              </w:rPr>
            </w:pPr>
          </w:p>
        </w:tc>
        <w:tc>
          <w:tcPr>
            <w:tcW w:w="1080" w:type="dxa"/>
            <w:vAlign w:val="bottom"/>
            <w:gridSpan w:val="2"/>
            <w:vMerge w:val="continue"/>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10.6</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vMerge w:val="continue"/>
          </w:tcPr>
          <w:p>
            <w:pPr>
              <w:spacing w:after="0"/>
              <w:rPr>
                <w:sz w:val="20"/>
                <w:szCs w:val="20"/>
                <w:color w:val="auto"/>
              </w:rPr>
            </w:pPr>
          </w:p>
        </w:tc>
        <w:tc>
          <w:tcPr>
            <w:tcW w:w="3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67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9"/>
              </w:rPr>
              <w:t>Amortization of deferred policy acquisition and sales inducement costs related to net</w:t>
            </w:r>
          </w:p>
        </w:tc>
        <w:tc>
          <w:tcPr>
            <w:tcW w:w="160" w:type="dxa"/>
            <w:vAlign w:val="bottom"/>
            <w:shd w:val="clear" w:color="auto" w:fill="CCEEFF"/>
          </w:tcPr>
          <w:p>
            <w:pPr>
              <w:spacing w:after="0"/>
              <w:rPr>
                <w:sz w:val="17"/>
                <w:szCs w:val="17"/>
                <w:color w:val="auto"/>
              </w:rPr>
            </w:pPr>
          </w:p>
        </w:tc>
        <w:tc>
          <w:tcPr>
            <w:tcW w:w="108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(0.6)</w:t>
            </w:r>
          </w:p>
        </w:tc>
        <w:tc>
          <w:tcPr>
            <w:tcW w:w="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8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(1.2)</w:t>
            </w: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7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realized capital gains (losses)</w:t>
            </w:r>
          </w:p>
        </w:tc>
        <w:tc>
          <w:tcPr>
            <w:tcW w:w="160" w:type="dxa"/>
            <w:vAlign w:val="bottom"/>
            <w:shd w:val="clear" w:color="auto" w:fill="CCEEFF"/>
          </w:tcPr>
          <w:p>
            <w:pPr>
              <w:spacing w:after="0"/>
              <w:rPr>
                <w:sz w:val="20"/>
                <w:szCs w:val="20"/>
                <w:color w:val="auto"/>
              </w:rPr>
            </w:pPr>
          </w:p>
        </w:tc>
        <w:tc>
          <w:tcPr>
            <w:tcW w:w="1080" w:type="dxa"/>
            <w:vAlign w:val="bottom"/>
            <w:gridSpan w:val="2"/>
            <w:vMerge w:val="continue"/>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w:t>
            </w:r>
          </w:p>
        </w:tc>
        <w:tc>
          <w:tcPr>
            <w:tcW w:w="1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980" w:type="dxa"/>
            <w:vAlign w:val="bottom"/>
            <w:gridSpan w:val="2"/>
            <w:vMerge w:val="continue"/>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16"/>
        </w:trPr>
        <w:tc>
          <w:tcPr>
            <w:tcW w:w="6700" w:type="dxa"/>
            <w:vAlign w:val="bottom"/>
          </w:tcPr>
          <w:p>
            <w:pPr>
              <w:spacing w:after="0"/>
              <w:rPr>
                <w:sz w:val="20"/>
                <w:szCs w:val="20"/>
                <w:color w:val="auto"/>
              </w:rPr>
            </w:pPr>
            <w:r>
              <w:rPr>
                <w:rFonts w:ascii="Arial" w:cs="Arial" w:eastAsia="Arial" w:hAnsi="Arial"/>
                <w:sz w:val="18"/>
                <w:szCs w:val="18"/>
                <w:color w:val="auto"/>
              </w:rPr>
              <w:t>Capital losses (gains) distributed</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¾</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0.2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(3.6)</w:t>
            </w:r>
          </w:p>
        </w:tc>
        <w:tc>
          <w:tcPr>
            <w:tcW w:w="20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6700" w:type="dxa"/>
            <w:vAlign w:val="bottom"/>
            <w:shd w:val="clear" w:color="auto" w:fill="CCEEFF"/>
          </w:tcPr>
          <w:p>
            <w:pPr>
              <w:spacing w:after="0"/>
              <w:rPr>
                <w:sz w:val="20"/>
                <w:szCs w:val="20"/>
                <w:color w:val="auto"/>
              </w:rPr>
            </w:pPr>
            <w:r>
              <w:rPr>
                <w:rFonts w:ascii="Arial" w:cs="Arial" w:eastAsia="Arial" w:hAnsi="Arial"/>
                <w:sz w:val="18"/>
                <w:szCs w:val="18"/>
                <w:color w:val="auto"/>
              </w:rPr>
              <w:t>Minority interest capital losses (gains)</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(1.8)</w:t>
            </w:r>
          </w:p>
        </w:tc>
        <w:tc>
          <w:tcPr>
            <w:tcW w:w="2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182"/>
        </w:trPr>
        <w:tc>
          <w:tcPr>
            <w:tcW w:w="6700" w:type="dxa"/>
            <w:vAlign w:val="bottom"/>
          </w:tcPr>
          <w:p>
            <w:pPr>
              <w:ind w:left="180"/>
              <w:spacing w:after="0" w:line="182" w:lineRule="exact"/>
              <w:rPr>
                <w:sz w:val="20"/>
                <w:szCs w:val="20"/>
                <w:color w:val="auto"/>
              </w:rPr>
            </w:pPr>
            <w:r>
              <w:rPr>
                <w:rFonts w:ascii="Arial" w:cs="Arial" w:eastAsia="Arial" w:hAnsi="Arial"/>
                <w:sz w:val="18"/>
                <w:szCs w:val="18"/>
                <w:color w:val="auto"/>
                <w:w w:val="98"/>
              </w:rPr>
              <w:t>Net realized/unrealized capital gains (losses), including recognition of front-end fee</w:t>
            </w:r>
          </w:p>
        </w:tc>
        <w:tc>
          <w:tcPr>
            <w:tcW w:w="16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4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680" w:type="dxa"/>
            <w:vAlign w:val="bottom"/>
            <w:tcBorders>
              <w:top w:val="single" w:sz="8" w:color="auto"/>
            </w:tcBorders>
          </w:tcPr>
          <w:p>
            <w:pPr>
              <w:spacing w:after="0"/>
              <w:rPr>
                <w:sz w:val="15"/>
                <w:szCs w:val="15"/>
                <w:color w:val="auto"/>
              </w:rPr>
            </w:pPr>
          </w:p>
        </w:tc>
        <w:tc>
          <w:tcPr>
            <w:tcW w:w="300" w:type="dxa"/>
            <w:vAlign w:val="bottom"/>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72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6700" w:type="dxa"/>
            <w:vAlign w:val="bottom"/>
          </w:tcPr>
          <w:p>
            <w:pPr>
              <w:ind w:left="360"/>
              <w:spacing w:after="0"/>
              <w:rPr>
                <w:sz w:val="20"/>
                <w:szCs w:val="20"/>
                <w:color w:val="auto"/>
              </w:rPr>
            </w:pPr>
            <w:r>
              <w:rPr>
                <w:rFonts w:ascii="Arial" w:cs="Arial" w:eastAsia="Arial" w:hAnsi="Arial"/>
                <w:sz w:val="18"/>
                <w:szCs w:val="18"/>
                <w:color w:val="auto"/>
              </w:rPr>
              <w:t>revenues and certain market value adjustments to fee revenues, net of related</w:t>
            </w: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700" w:type="dxa"/>
            <w:vAlign w:val="bottom"/>
          </w:tcPr>
          <w:p>
            <w:pPr>
              <w:ind w:left="360"/>
              <w:spacing w:after="0"/>
              <w:rPr>
                <w:sz w:val="20"/>
                <w:szCs w:val="20"/>
                <w:color w:val="auto"/>
              </w:rPr>
            </w:pPr>
            <w:r>
              <w:rPr>
                <w:rFonts w:ascii="Arial" w:cs="Arial" w:eastAsia="Arial" w:hAnsi="Arial"/>
                <w:sz w:val="18"/>
                <w:szCs w:val="18"/>
                <w:color w:val="auto"/>
                <w:w w:val="94"/>
              </w:rPr>
              <w:t>amortization of deferred policy acquisition costs and sales inducement costs, capital</w:t>
            </w:r>
          </w:p>
        </w:tc>
        <w:tc>
          <w:tcPr>
            <w:tcW w:w="160" w:type="dxa"/>
            <w:vAlign w:val="bottom"/>
          </w:tcPr>
          <w:p>
            <w:pPr>
              <w:spacing w:after="0"/>
              <w:rPr>
                <w:sz w:val="18"/>
                <w:szCs w:val="18"/>
                <w:color w:val="auto"/>
              </w:rPr>
            </w:pPr>
          </w:p>
        </w:tc>
        <w:tc>
          <w:tcPr>
            <w:tcW w:w="1080" w:type="dxa"/>
            <w:vAlign w:val="bottom"/>
            <w:gridSpan w:val="2"/>
            <w:vMerge w:val="restart"/>
          </w:tcPr>
          <w:p>
            <w:pPr>
              <w:jc w:val="right"/>
              <w:ind w:right="140"/>
              <w:spacing w:after="0"/>
              <w:rPr>
                <w:sz w:val="20"/>
                <w:szCs w:val="20"/>
                <w:color w:val="auto"/>
              </w:rPr>
            </w:pPr>
            <w:r>
              <w:rPr>
                <w:rFonts w:ascii="Arial" w:cs="Arial" w:eastAsia="Arial" w:hAnsi="Arial"/>
                <w:sz w:val="18"/>
                <w:szCs w:val="18"/>
                <w:b w:val="1"/>
                <w:bCs w:val="1"/>
                <w:color w:val="auto"/>
              </w:rPr>
              <w:t>(17.7)</w:t>
            </w: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23.1</w:t>
            </w:r>
          </w:p>
        </w:tc>
        <w:tc>
          <w:tcPr>
            <w:tcW w:w="3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700" w:type="dxa"/>
            <w:vAlign w:val="bottom"/>
          </w:tcPr>
          <w:p>
            <w:pPr>
              <w:ind w:left="360"/>
              <w:spacing w:after="0"/>
              <w:rPr>
                <w:sz w:val="20"/>
                <w:szCs w:val="20"/>
                <w:color w:val="auto"/>
              </w:rPr>
            </w:pPr>
            <w:r>
              <w:rPr>
                <w:rFonts w:ascii="Arial" w:cs="Arial" w:eastAsia="Arial" w:hAnsi="Arial"/>
                <w:sz w:val="18"/>
                <w:szCs w:val="18"/>
                <w:color w:val="auto"/>
              </w:rPr>
              <w:t>losses (gains) distributed, and minority interest capital losses (gains)</w:t>
            </w:r>
          </w:p>
        </w:tc>
        <w:tc>
          <w:tcPr>
            <w:tcW w:w="160" w:type="dxa"/>
            <w:vAlign w:val="bottom"/>
          </w:tcPr>
          <w:p>
            <w:pPr>
              <w:spacing w:after="0"/>
              <w:rPr>
                <w:sz w:val="20"/>
                <w:szCs w:val="20"/>
                <w:color w:val="auto"/>
              </w:rPr>
            </w:pPr>
          </w:p>
        </w:tc>
        <w:tc>
          <w:tcPr>
            <w:tcW w:w="1080" w:type="dxa"/>
            <w:vAlign w:val="bottom"/>
            <w:gridSpan w:val="2"/>
            <w:vMerge w:val="continue"/>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6.2</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vMerge w:val="continue"/>
          </w:tcPr>
          <w:p>
            <w:pPr>
              <w:spacing w:after="0"/>
              <w:rPr>
                <w:sz w:val="20"/>
                <w:szCs w:val="20"/>
                <w:color w:val="auto"/>
              </w:rPr>
            </w:pPr>
          </w:p>
        </w:tc>
        <w:tc>
          <w:tcPr>
            <w:tcW w:w="3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700" w:type="dxa"/>
            <w:vAlign w:val="bottom"/>
            <w:shd w:val="clear" w:color="auto" w:fill="CCEEFF"/>
          </w:tcPr>
          <w:p>
            <w:pPr>
              <w:spacing w:after="0"/>
              <w:rPr>
                <w:sz w:val="20"/>
                <w:szCs w:val="20"/>
                <w:color w:val="auto"/>
              </w:rPr>
            </w:pPr>
            <w:r>
              <w:rPr>
                <w:rFonts w:ascii="Arial" w:cs="Arial" w:eastAsia="Arial" w:hAnsi="Arial"/>
                <w:sz w:val="18"/>
                <w:szCs w:val="18"/>
                <w:color w:val="auto"/>
              </w:rPr>
              <w:t>Income tax effect</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4.8</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(11.1)</w:t>
            </w:r>
          </w:p>
        </w:tc>
        <w:tc>
          <w:tcPr>
            <w:tcW w:w="2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23"/>
        </w:trPr>
        <w:tc>
          <w:tcPr>
            <w:tcW w:w="6700" w:type="dxa"/>
            <w:vAlign w:val="bottom"/>
          </w:tcPr>
          <w:p>
            <w:pPr>
              <w:ind w:left="180"/>
              <w:spacing w:after="0"/>
              <w:rPr>
                <w:sz w:val="20"/>
                <w:szCs w:val="20"/>
                <w:color w:val="auto"/>
              </w:rPr>
            </w:pPr>
            <w:r>
              <w:rPr>
                <w:rFonts w:ascii="Arial" w:cs="Arial" w:eastAsia="Arial" w:hAnsi="Arial"/>
                <w:sz w:val="18"/>
                <w:szCs w:val="18"/>
                <w:color w:val="auto"/>
              </w:rPr>
              <w:t>Net realized/unrealized capital gains (losses), as adjusted</w:t>
            </w: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(12.9</w:t>
            </w:r>
          </w:p>
        </w:tc>
        <w:tc>
          <w:tcPr>
            <w:tcW w:w="280" w:type="dxa"/>
            <w:vAlign w:val="bottom"/>
          </w:tcPr>
          <w:p>
            <w:pPr>
              <w:jc w:val="right"/>
              <w:ind w:right="140"/>
              <w:spacing w:after="0"/>
              <w:rPr>
                <w:sz w:val="20"/>
                <w:szCs w:val="20"/>
                <w:color w:val="auto"/>
              </w:rPr>
            </w:pPr>
            <w:r>
              <w:rPr>
                <w:rFonts w:ascii="Arial" w:cs="Arial" w:eastAsia="Arial" w:hAnsi="Arial"/>
                <w:sz w:val="16"/>
                <w:szCs w:val="16"/>
                <w:b w:val="1"/>
                <w:bCs w:val="1"/>
                <w:color w:val="auto"/>
                <w:w w:val="74"/>
              </w:rPr>
              <w:t>)</w:t>
            </w: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12.0</w:t>
            </w:r>
          </w:p>
        </w:tc>
        <w:tc>
          <w:tcPr>
            <w:tcW w:w="30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(0.5</w:t>
            </w:r>
          </w:p>
        </w:tc>
        <w:tc>
          <w:tcPr>
            <w:tcW w:w="10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67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23" w:lineRule="exact"/>
        <w:rPr>
          <w:sz w:val="20"/>
          <w:szCs w:val="20"/>
          <w:color w:val="auto"/>
        </w:rPr>
      </w:pPr>
    </w:p>
    <w:p>
      <w:pPr>
        <w:ind w:left="640" w:right="400" w:hanging="632"/>
        <w:spacing w:after="0" w:line="293" w:lineRule="auto"/>
        <w:tabs>
          <w:tab w:leader="none" w:pos="655" w:val="left"/>
        </w:tabs>
        <w:numPr>
          <w:ilvl w:val="0"/>
          <w:numId w:val="16"/>
        </w:numPr>
        <w:rPr>
          <w:rFonts w:ascii="Arial" w:cs="Arial" w:eastAsia="Arial" w:hAnsi="Arial"/>
          <w:sz w:val="18"/>
          <w:szCs w:val="18"/>
          <w:color w:val="auto"/>
        </w:rPr>
      </w:pPr>
      <w:r>
        <w:rPr>
          <w:rFonts w:ascii="Arial" w:cs="Arial" w:eastAsia="Arial" w:hAnsi="Arial"/>
          <w:sz w:val="18"/>
          <w:szCs w:val="18"/>
          <w:color w:val="auto"/>
        </w:rPr>
        <w:t>For the three months ended June 30, 2006, other after-tax adjustments of $1.8 million included the negative effect of a change in estimate associated with a favorable court ruling on a contested IRS issue for 1991 and later years.</w:t>
      </w:r>
    </w:p>
    <w:p>
      <w:pPr>
        <w:spacing w:after="0" w:line="156" w:lineRule="exact"/>
        <w:rPr>
          <w:rFonts w:ascii="Arial" w:cs="Arial" w:eastAsia="Arial" w:hAnsi="Arial"/>
          <w:sz w:val="18"/>
          <w:szCs w:val="18"/>
          <w:color w:val="auto"/>
        </w:rPr>
      </w:pPr>
    </w:p>
    <w:p>
      <w:pPr>
        <w:ind w:left="640" w:right="520"/>
        <w:spacing w:after="0" w:line="277" w:lineRule="auto"/>
        <w:rPr>
          <w:rFonts w:ascii="Arial" w:cs="Arial" w:eastAsia="Arial" w:hAnsi="Arial"/>
          <w:sz w:val="18"/>
          <w:szCs w:val="18"/>
          <w:color w:val="auto"/>
        </w:rPr>
      </w:pPr>
      <w:r>
        <w:rPr>
          <w:rFonts w:ascii="Arial" w:cs="Arial" w:eastAsia="Arial" w:hAnsi="Arial"/>
          <w:sz w:val="18"/>
          <w:szCs w:val="18"/>
          <w:color w:val="auto"/>
        </w:rPr>
        <w:t>For the three months ended June 30, 2005, other after-tax adjustments reflect a $14.7 million gain on sale of a real estate property that qualifies for discontinued operations treatment under SFAS 144.</w:t>
      </w:r>
    </w:p>
    <w:p>
      <w:pPr>
        <w:spacing w:after="0" w:line="170" w:lineRule="exact"/>
        <w:rPr>
          <w:rFonts w:ascii="Arial" w:cs="Arial" w:eastAsia="Arial" w:hAnsi="Arial"/>
          <w:sz w:val="18"/>
          <w:szCs w:val="18"/>
          <w:color w:val="auto"/>
        </w:rPr>
      </w:pPr>
    </w:p>
    <w:p>
      <w:pPr>
        <w:ind w:left="640" w:right="700"/>
        <w:spacing w:after="0" w:line="277" w:lineRule="auto"/>
        <w:rPr>
          <w:rFonts w:ascii="Arial" w:cs="Arial" w:eastAsia="Arial" w:hAnsi="Arial"/>
          <w:sz w:val="18"/>
          <w:szCs w:val="18"/>
          <w:color w:val="auto"/>
        </w:rPr>
      </w:pPr>
      <w:r>
        <w:rPr>
          <w:rFonts w:ascii="Arial" w:cs="Arial" w:eastAsia="Arial" w:hAnsi="Arial"/>
          <w:sz w:val="18"/>
          <w:szCs w:val="18"/>
          <w:color w:val="auto"/>
        </w:rPr>
        <w:t>For the six months ended June 30, 2006, other after-tax adjustments of $18.8 million included the positive effect of a favorable court ruling on a contested IRS issue for 1991 and later years.</w:t>
      </w:r>
    </w:p>
    <w:p>
      <w:pPr>
        <w:spacing w:after="0" w:line="170" w:lineRule="exact"/>
        <w:rPr>
          <w:rFonts w:ascii="Arial" w:cs="Arial" w:eastAsia="Arial" w:hAnsi="Arial"/>
          <w:sz w:val="18"/>
          <w:szCs w:val="18"/>
          <w:color w:val="auto"/>
        </w:rPr>
      </w:pPr>
    </w:p>
    <w:p>
      <w:pPr>
        <w:ind w:left="640" w:right="680"/>
        <w:spacing w:after="0" w:line="277" w:lineRule="auto"/>
        <w:rPr>
          <w:rFonts w:ascii="Arial" w:cs="Arial" w:eastAsia="Arial" w:hAnsi="Arial"/>
          <w:sz w:val="18"/>
          <w:szCs w:val="18"/>
          <w:color w:val="auto"/>
        </w:rPr>
      </w:pPr>
      <w:r>
        <w:rPr>
          <w:rFonts w:ascii="Arial" w:cs="Arial" w:eastAsia="Arial" w:hAnsi="Arial"/>
          <w:sz w:val="18"/>
          <w:szCs w:val="18"/>
          <w:color w:val="auto"/>
        </w:rPr>
        <w:t>For the six months ended June 30, 2005, other after-tax adjustments reflect a $14.7 million gain on sale of a real estate property that qualifies for discontinued operations treatment under SFAS 144.</w:t>
      </w:r>
    </w:p>
    <w:p>
      <w:pPr>
        <w:spacing w:after="0" w:line="237" w:lineRule="exact"/>
        <w:rPr>
          <w:rFonts w:ascii="Arial" w:cs="Arial" w:eastAsia="Arial" w:hAnsi="Arial"/>
          <w:sz w:val="18"/>
          <w:szCs w:val="18"/>
          <w:color w:val="auto"/>
        </w:rPr>
      </w:pPr>
    </w:p>
    <w:p>
      <w:pPr>
        <w:ind w:left="640" w:right="100" w:hanging="632"/>
        <w:spacing w:after="0" w:line="320" w:lineRule="auto"/>
        <w:tabs>
          <w:tab w:leader="none" w:pos="655" w:val="left"/>
        </w:tabs>
        <w:numPr>
          <w:ilvl w:val="0"/>
          <w:numId w:val="16"/>
        </w:numPr>
        <w:rPr>
          <w:rFonts w:ascii="Arial" w:cs="Arial" w:eastAsia="Arial" w:hAnsi="Arial"/>
          <w:sz w:val="16"/>
          <w:szCs w:val="16"/>
          <w:color w:val="auto"/>
        </w:rPr>
      </w:pPr>
      <w:r>
        <w:rPr>
          <w:rFonts w:ascii="Arial" w:cs="Arial" w:eastAsia="Arial" w:hAnsi="Arial"/>
          <w:sz w:val="16"/>
          <w:szCs w:val="16"/>
          <w:color w:val="auto"/>
        </w:rPr>
        <w:t>U.S. Asset Management and Accumulation separate account assets include shares of the Principal Financial Group stock allocated to a separate account, a result of our demutualization. The value of the separate account was $775.5 million and $726.6 million at June 30, 2006 and December 31, 2005, respectively. Changes in the fair value of the separate account are reflected in both separate account assets and separate account liabilities.</w:t>
      </w:r>
    </w:p>
    <w:p>
      <w:pPr>
        <w:spacing w:after="0" w:line="35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60"/>
          </w:cols>
          <w:pgMar w:left="240" w:top="396" w:right="199" w:bottom="0" w:gutter="0" w:footer="0" w:header="0"/>
        </w:sectPr>
      </w:pPr>
    </w:p>
    <w:bookmarkStart w:id="35" w:name="page36"/>
    <w:bookmarkEnd w:id="35"/>
    <w:p>
      <w:pPr>
        <w:ind w:left="640" w:right="140" w:hanging="632"/>
        <w:spacing w:after="0" w:line="264" w:lineRule="auto"/>
        <w:tabs>
          <w:tab w:leader="none" w:pos="655" w:val="left"/>
        </w:tabs>
        <w:numPr>
          <w:ilvl w:val="0"/>
          <w:numId w:val="17"/>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309880</wp:posOffset>
            </wp:positionV>
            <wp:extent cx="7267575" cy="298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67575" cy="29845"/>
                    </a:xfrm>
                    <a:prstGeom prst="rect">
                      <a:avLst/>
                    </a:prstGeom>
                    <a:noFill/>
                  </pic:spPr>
                </pic:pic>
              </a:graphicData>
            </a:graphic>
          </wp:anchor>
        </w:drawing>
        <w:t>Includes inter-segment elimination amounts related to an internal line of credit and internally generated mortgage loans. The Corporate and Other segment managed a revolving line of credit used by other segments. The U.S. Asset Management and Accumulation segment and Life and Health Insurance segment reported mortgage loan assets issued for real estate joint ventures. These mortgage loans were reported as liabilities in the Corporate and Other segment.</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Asset Management and Accumulation Segment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 Asset Management and Accumulation Segment Summary Financial Data</w:t>
      </w:r>
    </w:p>
    <w:p>
      <w:pPr>
        <w:spacing w:after="0" w:line="225" w:lineRule="exact"/>
        <w:rPr>
          <w:sz w:val="20"/>
          <w:szCs w:val="20"/>
          <w:color w:val="auto"/>
        </w:rPr>
      </w:pPr>
    </w:p>
    <w:p>
      <w:pPr>
        <w:ind w:left="380"/>
        <w:spacing w:after="0"/>
        <w:rPr>
          <w:sz w:val="20"/>
          <w:szCs w:val="20"/>
          <w:color w:val="auto"/>
        </w:rPr>
      </w:pPr>
      <w:r>
        <w:rPr>
          <w:rFonts w:ascii="Arial" w:cs="Arial" w:eastAsia="Arial" w:hAnsi="Arial"/>
          <w:sz w:val="16"/>
          <w:szCs w:val="16"/>
          <w:color w:val="auto"/>
        </w:rPr>
        <w:t>The following table presents certain summary financial data relating to the U.S. Asset Management and Accumulation segment for the periods indicated:</w:t>
      </w: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360" w:type="dxa"/>
            <w:vAlign w:val="bottom"/>
            <w:gridSpan w:val="6"/>
          </w:tcPr>
          <w:p>
            <w:pPr>
              <w:jc w:val="right"/>
              <w:ind w:right="540"/>
              <w:spacing w:after="0"/>
              <w:rPr>
                <w:sz w:val="20"/>
                <w:szCs w:val="20"/>
                <w:color w:val="auto"/>
              </w:rPr>
            </w:pPr>
            <w:r>
              <w:rPr>
                <w:rFonts w:ascii="Arial" w:cs="Arial" w:eastAsia="Arial" w:hAnsi="Arial"/>
                <w:sz w:val="14"/>
                <w:szCs w:val="14"/>
                <w:b w:val="1"/>
                <w:bCs w:val="1"/>
                <w:color w:val="auto"/>
                <w:w w:val="97"/>
              </w:rPr>
              <w:t>For the three months ended</w:t>
            </w: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160" w:type="dxa"/>
            <w:vAlign w:val="bottom"/>
            <w:gridSpan w:val="5"/>
          </w:tcPr>
          <w:p>
            <w:pPr>
              <w:jc w:val="right"/>
              <w:ind w:right="500"/>
              <w:spacing w:after="0"/>
              <w:rPr>
                <w:sz w:val="20"/>
                <w:szCs w:val="20"/>
                <w:color w:val="auto"/>
              </w:rPr>
            </w:pPr>
            <w:r>
              <w:rPr>
                <w:rFonts w:ascii="Arial" w:cs="Arial" w:eastAsia="Arial" w:hAnsi="Arial"/>
                <w:sz w:val="14"/>
                <w:szCs w:val="14"/>
                <w:b w:val="1"/>
                <w:bCs w:val="1"/>
                <w:color w:val="auto"/>
                <w:w w:val="96"/>
              </w:rPr>
              <w:t>For the six months ended</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6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gridSpan w:val="4"/>
          </w:tcPr>
          <w:p>
            <w:pPr>
              <w:jc w:val="right"/>
              <w:ind w:right="140"/>
              <w:spacing w:after="0"/>
              <w:rPr>
                <w:sz w:val="20"/>
                <w:szCs w:val="20"/>
                <w:color w:val="auto"/>
              </w:rPr>
            </w:pPr>
            <w:r>
              <w:rPr>
                <w:rFonts w:ascii="Arial" w:cs="Arial" w:eastAsia="Arial" w:hAnsi="Arial"/>
                <w:sz w:val="14"/>
                <w:szCs w:val="14"/>
                <w:b w:val="1"/>
                <w:bCs w:val="1"/>
                <w:color w:val="auto"/>
              </w:rPr>
              <w:t>June 30,</w:t>
            </w:r>
          </w:p>
        </w:tc>
        <w:tc>
          <w:tcPr>
            <w:tcW w:w="8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3"/>
          </w:tcPr>
          <w:p>
            <w:pPr>
              <w:jc w:val="right"/>
              <w:ind w:right="50"/>
              <w:spacing w:after="0"/>
              <w:rPr>
                <w:sz w:val="20"/>
                <w:szCs w:val="20"/>
                <w:color w:val="auto"/>
              </w:rPr>
            </w:pPr>
            <w:r>
              <w:rPr>
                <w:rFonts w:ascii="Arial" w:cs="Arial" w:eastAsia="Arial" w:hAnsi="Arial"/>
                <w:sz w:val="14"/>
                <w:szCs w:val="14"/>
                <w:b w:val="1"/>
                <w:bCs w:val="1"/>
                <w:color w:val="auto"/>
              </w:rPr>
              <w:t>June 30,</w:t>
            </w:r>
          </w:p>
        </w:tc>
        <w:tc>
          <w:tcPr>
            <w:tcW w:w="80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0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jc w:val="right"/>
              <w:ind w:right="314"/>
              <w:spacing w:after="0" w:line="129" w:lineRule="exact"/>
              <w:rPr>
                <w:sz w:val="20"/>
                <w:szCs w:val="20"/>
                <w:color w:val="auto"/>
              </w:rPr>
            </w:pPr>
            <w:r>
              <w:rPr>
                <w:rFonts w:ascii="Arial" w:cs="Arial" w:eastAsia="Arial" w:hAnsi="Arial"/>
                <w:sz w:val="14"/>
                <w:szCs w:val="14"/>
                <w:b w:val="1"/>
                <w:bCs w:val="1"/>
                <w:color w:val="auto"/>
              </w:rPr>
              <w:t>2006</w:t>
            </w:r>
          </w:p>
        </w:tc>
        <w:tc>
          <w:tcPr>
            <w:tcW w:w="16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jc w:val="right"/>
              <w:ind w:right="313"/>
              <w:spacing w:after="0" w:line="129" w:lineRule="exact"/>
              <w:rPr>
                <w:sz w:val="20"/>
                <w:szCs w:val="20"/>
                <w:color w:val="auto"/>
              </w:rPr>
            </w:pPr>
            <w:r>
              <w:rPr>
                <w:rFonts w:ascii="Arial" w:cs="Arial" w:eastAsia="Arial" w:hAnsi="Arial"/>
                <w:sz w:val="14"/>
                <w:szCs w:val="14"/>
                <w:b w:val="1"/>
                <w:bCs w:val="1"/>
                <w:color w:val="auto"/>
              </w:rPr>
              <w:t>2005</w:t>
            </w:r>
          </w:p>
        </w:tc>
        <w:tc>
          <w:tcPr>
            <w:tcW w:w="16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jc w:val="right"/>
              <w:ind w:right="314"/>
              <w:spacing w:after="0" w:line="129" w:lineRule="exact"/>
              <w:rPr>
                <w:sz w:val="20"/>
                <w:szCs w:val="20"/>
                <w:color w:val="auto"/>
              </w:rPr>
            </w:pPr>
            <w:r>
              <w:rPr>
                <w:rFonts w:ascii="Arial" w:cs="Arial" w:eastAsia="Arial" w:hAnsi="Arial"/>
                <w:sz w:val="14"/>
                <w:szCs w:val="14"/>
                <w:b w:val="1"/>
                <w:bCs w:val="1"/>
                <w:color w:val="auto"/>
              </w:rPr>
              <w:t>2006</w:t>
            </w:r>
          </w:p>
        </w:tc>
        <w:tc>
          <w:tcPr>
            <w:tcW w:w="26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jc w:val="right"/>
              <w:ind w:right="311"/>
              <w:spacing w:after="0" w:line="129" w:lineRule="exact"/>
              <w:rPr>
                <w:sz w:val="20"/>
                <w:szCs w:val="20"/>
                <w:color w:val="auto"/>
              </w:rPr>
            </w:pPr>
            <w:r>
              <w:rPr>
                <w:rFonts w:ascii="Arial" w:cs="Arial" w:eastAsia="Arial" w:hAnsi="Arial"/>
                <w:sz w:val="14"/>
                <w:szCs w:val="14"/>
                <w:b w:val="1"/>
                <w:bCs w:val="1"/>
                <w:color w:val="auto"/>
              </w:rPr>
              <w:t>2005</w:t>
            </w: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0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380" w:type="dxa"/>
            <w:vAlign w:val="bottom"/>
            <w:gridSpan w:val="4"/>
          </w:tcPr>
          <w:p>
            <w:pPr>
              <w:jc w:val="right"/>
              <w:ind w:right="80"/>
              <w:spacing w:after="0" w:line="129" w:lineRule="exact"/>
              <w:rPr>
                <w:sz w:val="20"/>
                <w:szCs w:val="20"/>
                <w:color w:val="auto"/>
              </w:rPr>
            </w:pPr>
            <w:r>
              <w:rPr>
                <w:rFonts w:ascii="Arial" w:cs="Arial" w:eastAsia="Arial" w:hAnsi="Arial"/>
                <w:sz w:val="14"/>
                <w:szCs w:val="14"/>
                <w:b w:val="1"/>
                <w:bCs w:val="1"/>
                <w:color w:val="auto"/>
              </w:rPr>
              <w:t>(in millions)</w:t>
            </w:r>
          </w:p>
        </w:tc>
        <w:tc>
          <w:tcPr>
            <w:tcW w:w="7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Earnings Data:</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tcPr>
          <w:p>
            <w:pPr>
              <w:spacing w:after="0"/>
              <w:rPr>
                <w:sz w:val="20"/>
                <w:szCs w:val="20"/>
                <w:color w:val="auto"/>
              </w:rPr>
            </w:pPr>
            <w:r>
              <w:rPr>
                <w:rFonts w:ascii="Arial" w:cs="Arial" w:eastAsia="Arial" w:hAnsi="Arial"/>
                <w:sz w:val="18"/>
                <w:szCs w:val="18"/>
                <w:color w:val="auto"/>
              </w:rPr>
              <w:t>Operating revenues(1):</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Premiums and other considerations</w:t>
            </w: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140.7</w:t>
            </w:r>
          </w:p>
        </w:tc>
        <w:tc>
          <w:tcPr>
            <w:tcW w:w="16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74.1</w:t>
            </w:r>
          </w:p>
        </w:tc>
        <w:tc>
          <w:tcPr>
            <w:tcW w:w="16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239.5</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tcPr>
          <w:p>
            <w:pPr>
              <w:ind w:left="160"/>
              <w:spacing w:after="0"/>
              <w:rPr>
                <w:sz w:val="20"/>
                <w:szCs w:val="20"/>
                <w:color w:val="auto"/>
              </w:rPr>
            </w:pPr>
            <w:r>
              <w:rPr>
                <w:rFonts w:ascii="Arial" w:cs="Arial" w:eastAsia="Arial" w:hAnsi="Arial"/>
                <w:sz w:val="18"/>
                <w:szCs w:val="18"/>
                <w:color w:val="auto"/>
              </w:rPr>
              <w:t>Fees and other revenues</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328.1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284.1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651.0</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580.1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investment income</w:t>
            </w:r>
          </w:p>
        </w:tc>
        <w:tc>
          <w:tcPr>
            <w:tcW w:w="22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647.4</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612.9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1,275.5</w:t>
            </w:r>
          </w:p>
        </w:tc>
        <w:tc>
          <w:tcPr>
            <w:tcW w:w="26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1,215.6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tcPr>
          <w:p>
            <w:pPr>
              <w:ind w:left="340"/>
              <w:spacing w:after="0"/>
              <w:rPr>
                <w:sz w:val="20"/>
                <w:szCs w:val="20"/>
                <w:color w:val="auto"/>
              </w:rPr>
            </w:pPr>
            <w:r>
              <w:rPr>
                <w:rFonts w:ascii="Arial" w:cs="Arial" w:eastAsia="Arial" w:hAnsi="Arial"/>
                <w:sz w:val="18"/>
                <w:szCs w:val="18"/>
                <w:color w:val="auto"/>
              </w:rPr>
              <w:t>Total operating revenues</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1,116.2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971.1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2,166.0</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1,928.4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shd w:val="clear" w:color="auto" w:fill="CCEEFF"/>
          </w:tcPr>
          <w:p>
            <w:pPr>
              <w:spacing w:after="0"/>
              <w:rPr>
                <w:sz w:val="20"/>
                <w:szCs w:val="20"/>
                <w:color w:val="auto"/>
              </w:rPr>
            </w:pPr>
            <w:r>
              <w:rPr>
                <w:rFonts w:ascii="Arial" w:cs="Arial" w:eastAsia="Arial" w:hAnsi="Arial"/>
                <w:sz w:val="18"/>
                <w:szCs w:val="18"/>
                <w:color w:val="auto"/>
              </w:rPr>
              <w:t>Expenses:</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tcPr>
          <w:p>
            <w:pPr>
              <w:ind w:left="160"/>
              <w:spacing w:after="0"/>
              <w:rPr>
                <w:sz w:val="20"/>
                <w:szCs w:val="20"/>
                <w:color w:val="auto"/>
              </w:rPr>
            </w:pPr>
            <w:r>
              <w:rPr>
                <w:rFonts w:ascii="Arial" w:cs="Arial" w:eastAsia="Arial" w:hAnsi="Arial"/>
                <w:sz w:val="18"/>
                <w:szCs w:val="18"/>
                <w:color w:val="auto"/>
                <w:w w:val="94"/>
              </w:rPr>
              <w:t>Benefits, claims and settlement expenses, including dividends to policyholders</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615.6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529.5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1,167.1</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1,029.1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Operating expenses</w:t>
            </w:r>
          </w:p>
        </w:tc>
        <w:tc>
          <w:tcPr>
            <w:tcW w:w="22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303.8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270.8</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602.3</w:t>
            </w:r>
          </w:p>
        </w:tc>
        <w:tc>
          <w:tcPr>
            <w:tcW w:w="26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550.1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tcBorders>
              <w:bottom w:val="single" w:sz="8" w:color="CCEEFF"/>
            </w:tcBorders>
          </w:tcPr>
          <w:p>
            <w:pPr>
              <w:ind w:left="340"/>
              <w:spacing w:after="0"/>
              <w:rPr>
                <w:sz w:val="20"/>
                <w:szCs w:val="20"/>
                <w:color w:val="auto"/>
              </w:rPr>
            </w:pPr>
            <w:r>
              <w:rPr>
                <w:rFonts w:ascii="Arial" w:cs="Arial" w:eastAsia="Arial" w:hAnsi="Arial"/>
                <w:sz w:val="18"/>
                <w:szCs w:val="18"/>
                <w:color w:val="auto"/>
              </w:rPr>
              <w:t>Total expenses</w:t>
            </w:r>
          </w:p>
        </w:tc>
        <w:tc>
          <w:tcPr>
            <w:tcW w:w="2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919.4</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800.3</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1,769.4</w:t>
            </w:r>
          </w:p>
        </w:tc>
        <w:tc>
          <w:tcPr>
            <w:tcW w:w="26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1,579.2</w:t>
            </w:r>
          </w:p>
        </w:tc>
        <w:tc>
          <w:tcPr>
            <w:tcW w:w="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shd w:val="clear" w:color="auto" w:fill="CCEEFF"/>
          </w:tcPr>
          <w:p>
            <w:pPr>
              <w:spacing w:after="0"/>
              <w:rPr>
                <w:sz w:val="20"/>
                <w:szCs w:val="20"/>
                <w:color w:val="auto"/>
              </w:rPr>
            </w:pPr>
            <w:r>
              <w:rPr>
                <w:rFonts w:ascii="Arial" w:cs="Arial" w:eastAsia="Arial" w:hAnsi="Arial"/>
                <w:sz w:val="18"/>
                <w:szCs w:val="18"/>
                <w:color w:val="auto"/>
              </w:rPr>
              <w:t>Operating earnings before income taxes</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196.8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170.8</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396.6</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349.2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Income taxes</w:t>
            </w:r>
          </w:p>
        </w:tc>
        <w:tc>
          <w:tcPr>
            <w:tcW w:w="2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45.6</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40.3</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87.6</w:t>
            </w:r>
          </w:p>
        </w:tc>
        <w:tc>
          <w:tcPr>
            <w:tcW w:w="26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80.1</w:t>
            </w:r>
          </w:p>
        </w:tc>
        <w:tc>
          <w:tcPr>
            <w:tcW w:w="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shd w:val="clear" w:color="auto" w:fill="CCEEFF"/>
          </w:tcPr>
          <w:p>
            <w:pPr>
              <w:spacing w:after="0"/>
              <w:rPr>
                <w:sz w:val="20"/>
                <w:szCs w:val="20"/>
                <w:color w:val="auto"/>
              </w:rPr>
            </w:pPr>
            <w:r>
              <w:rPr>
                <w:rFonts w:ascii="Arial" w:cs="Arial" w:eastAsia="Arial" w:hAnsi="Arial"/>
                <w:sz w:val="18"/>
                <w:szCs w:val="18"/>
                <w:color w:val="auto"/>
              </w:rPr>
              <w:t>Operating earnings</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151.2</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130.5</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309.0</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269.1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tcPr>
          <w:p>
            <w:pPr>
              <w:spacing w:after="0"/>
              <w:rPr>
                <w:sz w:val="20"/>
                <w:szCs w:val="20"/>
                <w:color w:val="auto"/>
              </w:rPr>
            </w:pPr>
            <w:r>
              <w:rPr>
                <w:rFonts w:ascii="Arial" w:cs="Arial" w:eastAsia="Arial" w:hAnsi="Arial"/>
                <w:sz w:val="18"/>
                <w:szCs w:val="18"/>
                <w:color w:val="auto"/>
              </w:rPr>
              <w:t>Net realized/unrealized capital losses, as adjusted</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(1.2)</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(4.5)</w:t>
            </w:r>
          </w:p>
        </w:tc>
        <w:tc>
          <w:tcPr>
            <w:tcW w:w="26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04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40" w:type="dxa"/>
            <w:vAlign w:val="bottom"/>
          </w:tcPr>
          <w:p>
            <w:pPr>
              <w:spacing w:after="0"/>
              <w:rPr>
                <w:sz w:val="20"/>
                <w:szCs w:val="20"/>
                <w:color w:val="auto"/>
              </w:rPr>
            </w:pPr>
            <w:r>
              <w:rPr>
                <w:rFonts w:ascii="Arial" w:cs="Arial" w:eastAsia="Arial" w:hAnsi="Arial"/>
                <w:sz w:val="18"/>
                <w:szCs w:val="18"/>
                <w:b w:val="1"/>
                <w:bCs w:val="1"/>
                <w:color w:val="auto"/>
              </w:rPr>
              <w:t>U.S. GAAP Reported:</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shd w:val="clear" w:color="auto" w:fill="CCEEFF"/>
          </w:tcPr>
          <w:p>
            <w:pPr>
              <w:spacing w:after="0"/>
              <w:rPr>
                <w:sz w:val="20"/>
                <w:szCs w:val="20"/>
                <w:color w:val="auto"/>
              </w:rPr>
            </w:pPr>
            <w:r>
              <w:rPr>
                <w:rFonts w:ascii="Arial" w:cs="Arial" w:eastAsia="Arial" w:hAnsi="Arial"/>
                <w:sz w:val="18"/>
                <w:szCs w:val="18"/>
                <w:color w:val="auto"/>
              </w:rPr>
              <w:t>Net income available to common stockholders</w:t>
            </w: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150.0</w:t>
            </w:r>
          </w:p>
        </w:tc>
        <w:tc>
          <w:tcPr>
            <w:tcW w:w="16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128.0</w:t>
            </w:r>
          </w:p>
        </w:tc>
        <w:tc>
          <w:tcPr>
            <w:tcW w:w="16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304.5</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269.0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389380"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640" w:right="80" w:hanging="632"/>
        <w:spacing w:after="0" w:line="293" w:lineRule="auto"/>
        <w:tabs>
          <w:tab w:leader="none" w:pos="655" w:val="left"/>
        </w:tabs>
        <w:numPr>
          <w:ilvl w:val="0"/>
          <w:numId w:val="18"/>
        </w:numPr>
        <w:rPr>
          <w:rFonts w:ascii="Arial" w:cs="Arial" w:eastAsia="Arial" w:hAnsi="Arial"/>
          <w:sz w:val="18"/>
          <w:szCs w:val="18"/>
          <w:color w:val="auto"/>
        </w:rPr>
      </w:pPr>
      <w:r>
        <w:rPr>
          <w:rFonts w:ascii="Arial" w:cs="Arial" w:eastAsia="Arial" w:hAnsi="Arial"/>
          <w:sz w:val="18"/>
          <w:szCs w:val="18"/>
          <w:color w:val="auto"/>
        </w:rPr>
        <w:t>Excludes net realized/unrealized capital gains (losses) and their impact on recognition of front-end fee revenues and certain market value adjustments to fee revenues.</w:t>
      </w:r>
    </w:p>
    <w:p>
      <w:pPr>
        <w:spacing w:after="0" w:line="156"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Three Months Ended June 30, 2006 Compared to Three Months Ended June 30, 2005</w:t>
      </w:r>
    </w:p>
    <w:p>
      <w:pPr>
        <w:spacing w:after="0" w:line="225" w:lineRule="exact"/>
        <w:rPr>
          <w:sz w:val="20"/>
          <w:szCs w:val="20"/>
          <w:color w:val="auto"/>
        </w:rPr>
      </w:pPr>
    </w:p>
    <w:p>
      <w:pPr>
        <w:ind w:right="80" w:firstLine="648"/>
        <w:spacing w:after="0" w:line="302" w:lineRule="auto"/>
        <w:rPr>
          <w:sz w:val="20"/>
          <w:szCs w:val="20"/>
          <w:color w:val="auto"/>
        </w:rPr>
      </w:pPr>
      <w:r>
        <w:rPr>
          <w:rFonts w:ascii="Arial" w:cs="Arial" w:eastAsia="Arial" w:hAnsi="Arial"/>
          <w:sz w:val="16"/>
          <w:szCs w:val="16"/>
          <w:color w:val="auto"/>
        </w:rPr>
        <w:t>Premiums and other considerations increased $66.6 million, or 90%, to $140.7 million for the three months ended June 30, 2006, from $74.1 million for the three months ended June 30, 2005. The increase primarily resulted from a $60.8 million increase in full-service payout sales of single premium group annuities with life contingencies, which are typically used to fund defined benefit plan terminations. The premium income received from these contracts fluctuates due to the variability in the number and size of pension plan terminations, the interest rate environment and the ability to attract new sales.</w:t>
      </w:r>
    </w:p>
    <w:p>
      <w:pPr>
        <w:spacing w:after="0" w:line="154" w:lineRule="exact"/>
        <w:rPr>
          <w:sz w:val="20"/>
          <w:szCs w:val="20"/>
          <w:color w:val="auto"/>
        </w:rPr>
      </w:pPr>
    </w:p>
    <w:p>
      <w:pPr>
        <w:ind w:right="100" w:firstLine="648"/>
        <w:spacing w:after="0" w:line="302" w:lineRule="auto"/>
        <w:rPr>
          <w:sz w:val="20"/>
          <w:szCs w:val="20"/>
          <w:color w:val="auto"/>
        </w:rPr>
      </w:pPr>
      <w:r>
        <w:rPr>
          <w:rFonts w:ascii="Arial" w:cs="Arial" w:eastAsia="Arial" w:hAnsi="Arial"/>
          <w:sz w:val="16"/>
          <w:szCs w:val="16"/>
          <w:color w:val="auto"/>
        </w:rPr>
        <w:t>Fees and other revenues increased $44.0 million, or 15%, to $328.1 million for the three months ended June 30, 2006, from $284.1 million for the three months ended June 30, 2005. Full-service accumulation fees and other revenues increased $25.4 million primarily due to an increase in account values stemming from continued strong net cash flow and strong performance in the equity markets. In addition, Principal Global Investors fees and other revenues increased $12.7 million primarily due to an increase in management fees related to our real estate, fixed income and equity businesses.</w:t>
      </w:r>
    </w:p>
    <w:p>
      <w:pPr>
        <w:spacing w:after="0" w:line="154" w:lineRule="exact"/>
        <w:rPr>
          <w:sz w:val="20"/>
          <w:szCs w:val="20"/>
          <w:color w:val="auto"/>
        </w:rPr>
      </w:pPr>
    </w:p>
    <w:p>
      <w:pPr>
        <w:ind w:right="160" w:firstLine="648"/>
        <w:spacing w:after="0" w:line="259" w:lineRule="auto"/>
        <w:rPr>
          <w:sz w:val="20"/>
          <w:szCs w:val="20"/>
          <w:color w:val="auto"/>
        </w:rPr>
      </w:pPr>
      <w:r>
        <w:rPr>
          <w:rFonts w:ascii="Arial" w:cs="Arial" w:eastAsia="Arial" w:hAnsi="Arial"/>
          <w:sz w:val="18"/>
          <w:szCs w:val="18"/>
          <w:color w:val="auto"/>
        </w:rPr>
        <w:t>Net investment income increased $34.5 million, or 6%, to $647.4 million for the three months ended June 30, 2006, from $612.9 million for the three months ended June 30, 2005. The increase reflects a $1,006.0 million, or 2%, increase in average invested assets and cash for the segment and an increase in the average annualized yield on invested assets and cash, which was 5.8% for the three months ended June 30, 2006 and 5.7% for the three months ended June 30, 2005.</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140" w:firstLine="648"/>
        <w:spacing w:after="0" w:line="288" w:lineRule="auto"/>
        <w:rPr>
          <w:sz w:val="20"/>
          <w:szCs w:val="20"/>
          <w:color w:val="auto"/>
        </w:rPr>
      </w:pPr>
      <w:r>
        <w:rPr>
          <w:rFonts w:ascii="Arial" w:cs="Arial" w:eastAsia="Arial" w:hAnsi="Arial"/>
          <w:sz w:val="16"/>
          <w:szCs w:val="16"/>
          <w:color w:val="auto"/>
        </w:rPr>
        <w:t>Benefits, claims and settlement expenses, including dividends to policyholders, increased $86.1 million, or 16%, to $615.6 million for the three months ended June 30, 2006, from $529.5 million for the three months ended June 30, 2005. The increase primarily resulted from a $59.9 million increase in our full-service payout business as a result of increased sales of single premium group annuities with life contingencies. Also contributing to the increase was a</w:t>
      </w:r>
    </w:p>
    <w:p>
      <w:pPr>
        <w:ind w:right="60"/>
        <w:spacing w:after="0" w:line="261" w:lineRule="auto"/>
        <w:rPr>
          <w:sz w:val="20"/>
          <w:szCs w:val="20"/>
          <w:color w:val="auto"/>
        </w:rPr>
      </w:pPr>
      <w:r>
        <w:rPr>
          <w:rFonts w:ascii="Arial" w:cs="Arial" w:eastAsia="Arial" w:hAnsi="Arial"/>
          <w:sz w:val="18"/>
          <w:szCs w:val="18"/>
          <w:color w:val="auto"/>
        </w:rPr>
        <w:t>$14.4 million increase in our individual annuity business due to several factors, including: an increase in cost of interest credited, higher benefit payments, and an increase in reserves stemming from an increase in sales related to our life payout annuity business.</w:t>
      </w:r>
    </w:p>
    <w:p>
      <w:pPr>
        <w:spacing w:after="0" w:line="184" w:lineRule="exact"/>
        <w:rPr>
          <w:sz w:val="20"/>
          <w:szCs w:val="20"/>
          <w:color w:val="auto"/>
        </w:rPr>
      </w:pPr>
    </w:p>
    <w:p>
      <w:pPr>
        <w:ind w:right="60" w:firstLine="648"/>
        <w:spacing w:after="0" w:line="327" w:lineRule="auto"/>
        <w:rPr>
          <w:sz w:val="20"/>
          <w:szCs w:val="20"/>
          <w:color w:val="auto"/>
        </w:rPr>
      </w:pPr>
      <w:r>
        <w:rPr>
          <w:rFonts w:ascii="Arial" w:cs="Arial" w:eastAsia="Arial" w:hAnsi="Arial"/>
          <w:sz w:val="15"/>
          <w:szCs w:val="15"/>
          <w:color w:val="auto"/>
        </w:rPr>
        <w:t>Operating expenses increased $33.0 million, or 12%, to $303.8 million for the three months ended June 30, 2006, from $270.8 million for the three months ended June 30, 2005. The increase primarily resulted from a $24.5 million increase in full-service accumulation operating expenses due to an increase in DPAC amortization, staff related costs and non-deferred sales compensation costs. Furthermore, Principal Global Investors operating expenses increased $5.9 million primarily due to the fact that expenses associated with the origination of securitized mortgages are now expensed rather than deferred and recognized as a</w:t>
      </w:r>
    </w:p>
    <w:p>
      <w:pPr>
        <w:sectPr>
          <w:pgSz w:w="11900" w:h="16838" w:orient="portrait"/>
          <w:cols w:equalWidth="0" w:num="1">
            <w:col w:w="11420"/>
          </w:cols>
          <w:pgMar w:left="240" w:top="1152" w:right="239" w:bottom="0" w:gutter="0" w:footer="0" w:header="0"/>
        </w:sectPr>
      </w:pPr>
    </w:p>
    <w:bookmarkStart w:id="36" w:name="page37"/>
    <w:bookmarkEnd w:id="36"/>
    <w:p>
      <w:pPr>
        <w:ind w:right="40"/>
        <w:spacing w:after="0" w:line="277" w:lineRule="auto"/>
        <w:rPr>
          <w:sz w:val="20"/>
          <w:szCs w:val="20"/>
          <w:color w:val="auto"/>
        </w:rPr>
      </w:pPr>
      <w:r>
        <w:rPr>
          <w:rFonts w:ascii="Arial" w:cs="Arial" w:eastAsia="Arial" w:hAnsi="Arial"/>
          <w:sz w:val="18"/>
          <w:szCs w:val="18"/>
          <w:color w:val="auto"/>
        </w:rPr>
        <w:t>reduction in securitization revenue, as was the case prior to the U.S. Bank joint venture. In addition, individual annuity operating expenses increased $5.2 million primarily due to an increase in DPAC amortization and growth in the block of business.</w:t>
      </w:r>
    </w:p>
    <w:p>
      <w:pPr>
        <w:spacing w:after="0" w:line="170" w:lineRule="exact"/>
        <w:rPr>
          <w:sz w:val="20"/>
          <w:szCs w:val="20"/>
          <w:color w:val="auto"/>
        </w:rPr>
      </w:pPr>
    </w:p>
    <w:p>
      <w:pPr>
        <w:ind w:firstLine="648"/>
        <w:spacing w:after="0" w:line="279" w:lineRule="auto"/>
        <w:rPr>
          <w:sz w:val="20"/>
          <w:szCs w:val="20"/>
          <w:color w:val="auto"/>
        </w:rPr>
      </w:pPr>
      <w:r>
        <w:rPr>
          <w:rFonts w:ascii="Arial" w:cs="Arial" w:eastAsia="Arial" w:hAnsi="Arial"/>
          <w:sz w:val="17"/>
          <w:szCs w:val="17"/>
          <w:color w:val="auto"/>
        </w:rPr>
        <w:t>Income taxes increased $5.3 million, or 13%, to $45.6 million for the three months ended June 30, 2006, from $40.3 million for the three months ended June 30, 2005. The effective income tax rates for this segment were 23% and 24% for the three months ended June 30, 2006 and 2005, respectively. The effective income tax rates for the three months ended June 30, 2006 and 2005, were lower than the corporate income tax rate of 35%, as a result of income tax deductions allowed for corporate dividends received and interest exclusion from taxable income.</w:t>
      </w:r>
    </w:p>
    <w:p>
      <w:pPr>
        <w:spacing w:after="0" w:line="171"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As a result of the foregoing factors, operating earnings increased $20.7 million, or 16%, to $151.2 million for the three months ended June 30, 2006, from $130.5 million for the three months ended June 30, 2005.</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Net realized/unrealized capital losses, as adjusted, decreased $1.3 million, or 52%, to $1.2 million for the three months ended June 30, 2006, from</w:t>
      </w:r>
    </w:p>
    <w:p>
      <w:pPr>
        <w:spacing w:after="0" w:line="46" w:lineRule="exact"/>
        <w:rPr>
          <w:sz w:val="20"/>
          <w:szCs w:val="20"/>
          <w:color w:val="auto"/>
        </w:rPr>
      </w:pPr>
    </w:p>
    <w:p>
      <w:pPr>
        <w:spacing w:after="0"/>
        <w:rPr>
          <w:sz w:val="20"/>
          <w:szCs w:val="20"/>
          <w:color w:val="auto"/>
        </w:rPr>
      </w:pPr>
      <w:r>
        <w:rPr>
          <w:rFonts w:ascii="Arial" w:cs="Arial" w:eastAsia="Arial" w:hAnsi="Arial"/>
          <w:sz w:val="15"/>
          <w:szCs w:val="15"/>
          <w:color w:val="auto"/>
        </w:rPr>
        <w:t>$2.5 million for the three months ended June 30, 2005. The decrease is due to fewer losses on the mark to market of derivatives and fewer losses on the sale and</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call activity of fixed maturity securities. These were partially offset by the non-recurrence of a large recovery of previously impaired securities as the result of a</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litigation settlement that occurred in second quarter 2005.</w:t>
      </w:r>
    </w:p>
    <w:p>
      <w:pPr>
        <w:spacing w:after="0" w:line="211"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As a result of the foregoing factors for the three months ended June 30, 2006, net income available to common stockholders increased $22.0 million, or 17%, to $150.0 million from $128.0 million for the three months ended June 30, 2005.</w:t>
      </w:r>
    </w:p>
    <w:p>
      <w:pPr>
        <w:spacing w:after="0" w:line="170"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Six Months Ended June 30, 2006 Compared to Six Months Ended June 30, 2005</w:t>
      </w:r>
    </w:p>
    <w:p>
      <w:pPr>
        <w:spacing w:after="0" w:line="225" w:lineRule="exact"/>
        <w:rPr>
          <w:sz w:val="20"/>
          <w:szCs w:val="20"/>
          <w:color w:val="auto"/>
        </w:rPr>
      </w:pPr>
    </w:p>
    <w:p>
      <w:pPr>
        <w:ind w:firstLine="648"/>
        <w:spacing w:after="0" w:line="297" w:lineRule="auto"/>
        <w:rPr>
          <w:sz w:val="20"/>
          <w:szCs w:val="20"/>
          <w:color w:val="auto"/>
        </w:rPr>
      </w:pPr>
      <w:r>
        <w:rPr>
          <w:rFonts w:ascii="Arial" w:cs="Arial" w:eastAsia="Arial" w:hAnsi="Arial"/>
          <w:sz w:val="16"/>
          <w:szCs w:val="16"/>
          <w:color w:val="auto"/>
        </w:rPr>
        <w:t>Premiums and other considerations increased $106.8 million, or 80%, to $239.5 million for the six months ended June 30, 2006, from $132.7 million for the six months ended June 30, 2005. The increase primarily resulted from a $91.0 million increase in full-service payout sales of single premium group annuities with life contingencies, which are typically used to fund defined benefit plan terminations. The premium income received from these contracts fluctuates due to the variability in the number and size of pension plan terminations, the interest rate environment and the ability to attract new sales. In addition, individual payout annuity premiums and other considerations increased $15.8 million due to increased sales from certain distribution channels.</w:t>
      </w:r>
    </w:p>
    <w:p>
      <w:pPr>
        <w:spacing w:after="0" w:line="158" w:lineRule="exact"/>
        <w:rPr>
          <w:sz w:val="20"/>
          <w:szCs w:val="20"/>
          <w:color w:val="auto"/>
        </w:rPr>
      </w:pPr>
    </w:p>
    <w:p>
      <w:pPr>
        <w:ind w:right="60" w:firstLine="648"/>
        <w:spacing w:after="0" w:line="302" w:lineRule="auto"/>
        <w:rPr>
          <w:sz w:val="20"/>
          <w:szCs w:val="20"/>
          <w:color w:val="auto"/>
        </w:rPr>
      </w:pPr>
      <w:r>
        <w:rPr>
          <w:rFonts w:ascii="Arial" w:cs="Arial" w:eastAsia="Arial" w:hAnsi="Arial"/>
          <w:sz w:val="16"/>
          <w:szCs w:val="16"/>
          <w:color w:val="auto"/>
        </w:rPr>
        <w:t>Fees and other revenues increased $70.9 million, or 12%, to $651.0 million for the six months ended June 30, 2006, from $580.1 million for the six months ended June 30, 2005. Full-service accumulation fees and other revenues increased $47.8 million primarily due to an increase in account values stemming from continued strong net cash flow and strong performance in the equity markets. In addition, Principal Global Investors fees and other revenues increased $12.9 million primarily due to an increase in management fees related to our real estate, fixed income and equity businesses.</w:t>
      </w:r>
    </w:p>
    <w:p>
      <w:pPr>
        <w:spacing w:after="0" w:line="154" w:lineRule="exact"/>
        <w:rPr>
          <w:sz w:val="20"/>
          <w:szCs w:val="20"/>
          <w:color w:val="auto"/>
        </w:rPr>
      </w:pPr>
    </w:p>
    <w:p>
      <w:pPr>
        <w:ind w:right="60" w:firstLine="648"/>
        <w:spacing w:after="0" w:line="340" w:lineRule="auto"/>
        <w:rPr>
          <w:sz w:val="20"/>
          <w:szCs w:val="20"/>
          <w:color w:val="auto"/>
        </w:rPr>
      </w:pPr>
      <w:r>
        <w:rPr>
          <w:rFonts w:ascii="Arial" w:cs="Arial" w:eastAsia="Arial" w:hAnsi="Arial"/>
          <w:sz w:val="15"/>
          <w:szCs w:val="15"/>
          <w:color w:val="auto"/>
        </w:rPr>
        <w:t>Net investment income increased $59.9 million, or 5%, to $1,275.5 million for the six months ended June 30, 2006, from $1,215.6 million for the six months ended June 30, 2005. The increase reflects a $746.7 million, or 2%, increase in average invested assets and cash for the segment and an increase in the average annualized yield on invested assets and cash, which was 5.8% for the six months ended June 30, 2006 and 5.6% for the six months ended June 30, 2005.</w:t>
      </w:r>
    </w:p>
    <w:p>
      <w:pPr>
        <w:spacing w:after="0" w:line="34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20" w:firstLine="648"/>
        <w:spacing w:after="0" w:line="288" w:lineRule="auto"/>
        <w:rPr>
          <w:sz w:val="20"/>
          <w:szCs w:val="20"/>
          <w:color w:val="auto"/>
        </w:rPr>
      </w:pPr>
      <w:r>
        <w:rPr>
          <w:rFonts w:ascii="Arial" w:cs="Arial" w:eastAsia="Arial" w:hAnsi="Arial"/>
          <w:sz w:val="16"/>
          <w:szCs w:val="16"/>
          <w:color w:val="auto"/>
        </w:rPr>
        <w:t>Benefits, claims and settlement expenses, including dividends to policyholders, increased $138.0 million, or 13%, to $1,167.1 million for the six months ended June 30, 2006, from $1,029.1 million for the six months ended June 30, 2005. The increase primarily resulted from an $89.5 million increase in our full-service payout business as a result of increased sales of single premium group annuities with life contingencies. Also contributing to the increase was a</w:t>
      </w:r>
    </w:p>
    <w:p>
      <w:pPr>
        <w:ind w:right="20"/>
        <w:spacing w:after="0" w:line="261" w:lineRule="auto"/>
        <w:rPr>
          <w:sz w:val="20"/>
          <w:szCs w:val="20"/>
          <w:color w:val="auto"/>
        </w:rPr>
      </w:pPr>
      <w:r>
        <w:rPr>
          <w:rFonts w:ascii="Arial" w:cs="Arial" w:eastAsia="Arial" w:hAnsi="Arial"/>
          <w:sz w:val="18"/>
          <w:szCs w:val="18"/>
          <w:color w:val="auto"/>
        </w:rPr>
        <w:t>$28.6 million increase in our individual annuity business due to several factors, including: an increase in cost of interest credited, higher benefit payments, and an increase in reserves stemming from an increase in sales related to our life payout annuity business.</w:t>
      </w:r>
    </w:p>
    <w:p>
      <w:pPr>
        <w:spacing w:after="0" w:line="184" w:lineRule="exact"/>
        <w:rPr>
          <w:sz w:val="20"/>
          <w:szCs w:val="20"/>
          <w:color w:val="auto"/>
        </w:rPr>
      </w:pPr>
    </w:p>
    <w:p>
      <w:pPr>
        <w:ind w:right="60" w:firstLine="648"/>
        <w:spacing w:after="0" w:line="273" w:lineRule="auto"/>
        <w:rPr>
          <w:sz w:val="20"/>
          <w:szCs w:val="20"/>
          <w:color w:val="auto"/>
        </w:rPr>
      </w:pPr>
      <w:r>
        <w:rPr>
          <w:rFonts w:ascii="Arial" w:cs="Arial" w:eastAsia="Arial" w:hAnsi="Arial"/>
          <w:sz w:val="17"/>
          <w:szCs w:val="17"/>
          <w:color w:val="auto"/>
        </w:rPr>
        <w:t>Operating expenses increased $52.2 million, or 9%, to $602.3 million for the six months ended June 30, 2006, from $550.1 million for the six months ended June 30, 2005. The increase primarily resulted from a $37.9 million increase in full-service accumulation operating expenses due to an increase in DPAC amortization, staff related costs and non-deferred sales compensation costs. In addition, individual annuity operating expenses increased $8.4 million primarily due to an increase in DPAC amortization and growth in the block of business. Furthermore, Principal Global Investors operating expenses increased $8.0 million primarily due to the fact that expenses associated with the origination of securitized mortgages are now expensed rather than treated as a reduction in securitization revenue, as was the case prior to the U.S. Bank joint venture.</w:t>
      </w:r>
    </w:p>
    <w:p>
      <w:pPr>
        <w:spacing w:after="0" w:line="178" w:lineRule="exact"/>
        <w:rPr>
          <w:sz w:val="20"/>
          <w:szCs w:val="20"/>
          <w:color w:val="auto"/>
        </w:rPr>
      </w:pPr>
    </w:p>
    <w:p>
      <w:pPr>
        <w:ind w:right="80" w:firstLine="648"/>
        <w:spacing w:after="0" w:line="279" w:lineRule="auto"/>
        <w:rPr>
          <w:sz w:val="20"/>
          <w:szCs w:val="20"/>
          <w:color w:val="auto"/>
        </w:rPr>
      </w:pPr>
      <w:r>
        <w:rPr>
          <w:rFonts w:ascii="Arial" w:cs="Arial" w:eastAsia="Arial" w:hAnsi="Arial"/>
          <w:sz w:val="17"/>
          <w:szCs w:val="17"/>
          <w:color w:val="auto"/>
        </w:rPr>
        <w:t>Income taxes increased $7.5 million, or 9%, to $87.6 million for the six months ended June 30, 2006, from $80.1 million for the six months ended June 30, 2005. The effective income tax rates for this segment were 22% and 23% for the six months ended June 30, 2006 and 2005, respectively. The effective income tax rates for the six months ended June 30, 2006 and 2005, were lower than the corporate income tax rate of 35%, as a result of income tax deductions allowed for corporate dividends received and interest exclusion from taxable income.</w:t>
      </w:r>
    </w:p>
    <w:p>
      <w:pPr>
        <w:spacing w:after="0" w:line="171"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As a result of the foregoing factors, operating earnings increased $39.9 million, or 15%, to $309.0 million for the six months ended June 30, 2006, from $269.1 million for the six months ended June 30, 2005.</w:t>
      </w:r>
    </w:p>
    <w:p>
      <w:pPr>
        <w:spacing w:after="0" w:line="170"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Net realized/unrealized capital losses, as adjusted, increased $4.4 million to $4.5 million for the six months ended June 30, 2006, from $0.1 million for the six months ended June 30, 2005. The increase was due to the non-recurrence of a large recovery of previously impaired securities as the result of a litigation settlement that occurred in 2005 and losses versus gains on the sale and call activity of fixed maturity securities offset by gains versus losses on the mark to market of derivatives.</w:t>
      </w:r>
    </w:p>
    <w:p>
      <w:pPr>
        <w:spacing w:after="0" w:line="187"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As a result of the foregoing factors for the six months ended June 30, 2006, net income available to common stockholders increased $35.5 million, or 13%, to $304.5 million from $269.0 million for the six months ended June 30, 2005.</w:t>
      </w:r>
    </w:p>
    <w:p>
      <w:pPr>
        <w:sectPr>
          <w:pgSz w:w="11900" w:h="16838" w:orient="portrait"/>
          <w:cols w:equalWidth="0" w:num="1">
            <w:col w:w="11380"/>
          </w:cols>
          <w:pgMar w:left="240" w:top="125" w:right="279" w:bottom="312" w:gutter="0" w:footer="0" w:header="0"/>
        </w:sectPr>
      </w:pPr>
    </w:p>
    <w:p>
      <w:pPr>
        <w:spacing w:after="0" w:line="387"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250190</wp:posOffset>
            </wp:positionV>
            <wp:extent cx="7267575" cy="298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125" w:right="279" w:bottom="312" w:gutter="0" w:footer="0" w:header="0"/>
          <w:type w:val="continuous"/>
        </w:sectPr>
      </w:pPr>
    </w:p>
    <w:bookmarkStart w:id="37" w:name="page38"/>
    <w:bookmarkEnd w:id="37"/>
    <w:p>
      <w:pPr>
        <w:spacing w:after="0"/>
        <w:rPr>
          <w:sz w:val="20"/>
          <w:szCs w:val="20"/>
          <w:color w:val="auto"/>
        </w:rPr>
      </w:pPr>
      <w:r>
        <w:rPr>
          <w:rFonts w:ascii="Arial" w:cs="Arial" w:eastAsia="Arial" w:hAnsi="Arial"/>
          <w:sz w:val="18"/>
          <w:szCs w:val="18"/>
          <w:b w:val="1"/>
          <w:bCs w:val="1"/>
          <w:color w:val="auto"/>
        </w:rPr>
        <w:t>International Asset Management and Accumulation Segment</w:t>
      </w:r>
    </w:p>
    <w:p>
      <w:pPr>
        <w:spacing w:after="0" w:line="229"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International Asset Management and Accumulation Segment Summary Financial Data</w:t>
      </w:r>
    </w:p>
    <w:p>
      <w:pPr>
        <w:spacing w:after="0" w:line="225" w:lineRule="exact"/>
        <w:rPr>
          <w:sz w:val="20"/>
          <w:szCs w:val="20"/>
          <w:color w:val="auto"/>
        </w:rPr>
      </w:pPr>
    </w:p>
    <w:p>
      <w:pPr>
        <w:ind w:right="720" w:firstLine="648"/>
        <w:spacing w:after="0" w:line="277" w:lineRule="auto"/>
        <w:rPr>
          <w:sz w:val="20"/>
          <w:szCs w:val="20"/>
          <w:color w:val="auto"/>
        </w:rPr>
      </w:pPr>
      <w:r>
        <w:rPr>
          <w:rFonts w:ascii="Arial" w:cs="Arial" w:eastAsia="Arial" w:hAnsi="Arial"/>
          <w:sz w:val="18"/>
          <w:szCs w:val="18"/>
          <w:color w:val="auto"/>
        </w:rPr>
        <w:t>The following table presents certain summary financial data of the International Asset Management and Accumulation segment for the periods indicated:</w:t>
      </w:r>
    </w:p>
    <w:p>
      <w:pPr>
        <w:spacing w:after="0" w:line="13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440" w:type="dxa"/>
            <w:vAlign w:val="bottom"/>
            <w:gridSpan w:val="4"/>
          </w:tcPr>
          <w:p>
            <w:pPr>
              <w:jc w:val="right"/>
              <w:ind w:right="56"/>
              <w:spacing w:after="0"/>
              <w:rPr>
                <w:sz w:val="20"/>
                <w:szCs w:val="20"/>
                <w:color w:val="auto"/>
              </w:rPr>
            </w:pPr>
            <w:r>
              <w:rPr>
                <w:rFonts w:ascii="Arial" w:cs="Arial" w:eastAsia="Arial" w:hAnsi="Arial"/>
                <w:sz w:val="14"/>
                <w:szCs w:val="14"/>
                <w:b w:val="1"/>
                <w:bCs w:val="1"/>
                <w:color w:val="auto"/>
              </w:rPr>
              <w:t>For the three months ended</w:t>
            </w:r>
          </w:p>
        </w:tc>
        <w:tc>
          <w:tcPr>
            <w:tcW w:w="4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640" w:type="dxa"/>
            <w:vAlign w:val="bottom"/>
            <w:gridSpan w:val="5"/>
          </w:tcPr>
          <w:p>
            <w:pPr>
              <w:jc w:val="right"/>
              <w:ind w:right="780"/>
              <w:spacing w:after="0"/>
              <w:rPr>
                <w:sz w:val="20"/>
                <w:szCs w:val="20"/>
                <w:color w:val="auto"/>
              </w:rPr>
            </w:pPr>
            <w:r>
              <w:rPr>
                <w:rFonts w:ascii="Arial" w:cs="Arial" w:eastAsia="Arial" w:hAnsi="Arial"/>
                <w:sz w:val="14"/>
                <w:szCs w:val="14"/>
                <w:b w:val="1"/>
                <w:bCs w:val="1"/>
                <w:color w:val="auto"/>
              </w:rPr>
              <w:t>For the six months ended</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3"/>
          </w:tcPr>
          <w:p>
            <w:pPr>
              <w:jc w:val="right"/>
              <w:ind w:right="656"/>
              <w:spacing w:after="0"/>
              <w:rPr>
                <w:sz w:val="20"/>
                <w:szCs w:val="20"/>
                <w:color w:val="auto"/>
              </w:rPr>
            </w:pPr>
            <w:r>
              <w:rPr>
                <w:rFonts w:ascii="Arial" w:cs="Arial" w:eastAsia="Arial" w:hAnsi="Arial"/>
                <w:sz w:val="14"/>
                <w:szCs w:val="14"/>
                <w:b w:val="1"/>
                <w:bCs w:val="1"/>
                <w:color w:val="auto"/>
              </w:rPr>
              <w:t>June 30,</w:t>
            </w:r>
          </w:p>
        </w:tc>
        <w:tc>
          <w:tcPr>
            <w:tcW w:w="46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gridSpan w:val="3"/>
          </w:tcPr>
          <w:p>
            <w:pPr>
              <w:jc w:val="right"/>
              <w:ind w:right="110"/>
              <w:spacing w:after="0"/>
              <w:rPr>
                <w:sz w:val="20"/>
                <w:szCs w:val="20"/>
                <w:color w:val="auto"/>
              </w:rPr>
            </w:pPr>
            <w:r>
              <w:rPr>
                <w:rFonts w:ascii="Arial" w:cs="Arial" w:eastAsia="Arial" w:hAnsi="Arial"/>
                <w:sz w:val="14"/>
                <w:szCs w:val="14"/>
                <w:b w:val="1"/>
                <w:bCs w:val="1"/>
                <w:color w:val="auto"/>
              </w:rPr>
              <w:t>June 30,</w:t>
            </w:r>
          </w:p>
        </w:tc>
        <w:tc>
          <w:tcPr>
            <w:tcW w:w="10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3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6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2006</w:t>
            </w:r>
          </w:p>
        </w:tc>
        <w:tc>
          <w:tcPr>
            <w:tcW w:w="46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2005</w:t>
            </w:r>
          </w:p>
        </w:tc>
        <w:tc>
          <w:tcPr>
            <w:tcW w:w="46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960" w:type="dxa"/>
            <w:vAlign w:val="bottom"/>
            <w:tcBorders>
              <w:bottom w:val="single" w:sz="8" w:color="auto"/>
            </w:tcBorders>
          </w:tcPr>
          <w:p>
            <w:pPr>
              <w:jc w:val="right"/>
              <w:ind w:right="454"/>
              <w:spacing w:after="0" w:line="129" w:lineRule="exact"/>
              <w:rPr>
                <w:sz w:val="20"/>
                <w:szCs w:val="20"/>
                <w:color w:val="auto"/>
              </w:rPr>
            </w:pPr>
            <w:r>
              <w:rPr>
                <w:rFonts w:ascii="Arial" w:cs="Arial" w:eastAsia="Arial" w:hAnsi="Arial"/>
                <w:sz w:val="14"/>
                <w:szCs w:val="14"/>
                <w:b w:val="1"/>
                <w:bCs w:val="1"/>
                <w:color w:val="auto"/>
              </w:rPr>
              <w:t>2006</w:t>
            </w:r>
          </w:p>
        </w:tc>
        <w:tc>
          <w:tcPr>
            <w:tcW w:w="26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1000" w:type="dxa"/>
            <w:vAlign w:val="bottom"/>
            <w:tcBorders>
              <w:bottom w:val="single" w:sz="8" w:color="auto"/>
            </w:tcBorders>
          </w:tcPr>
          <w:p>
            <w:pPr>
              <w:jc w:val="right"/>
              <w:ind w:right="431"/>
              <w:spacing w:after="0" w:line="129" w:lineRule="exact"/>
              <w:rPr>
                <w:sz w:val="20"/>
                <w:szCs w:val="20"/>
                <w:color w:val="auto"/>
              </w:rPr>
            </w:pPr>
            <w:r>
              <w:rPr>
                <w:rFonts w:ascii="Arial" w:cs="Arial" w:eastAsia="Arial" w:hAnsi="Arial"/>
                <w:sz w:val="14"/>
                <w:szCs w:val="14"/>
                <w:b w:val="1"/>
                <w:bCs w:val="1"/>
                <w:color w:val="auto"/>
              </w:rPr>
              <w:t>2005</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3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100" w:type="dxa"/>
            <w:vAlign w:val="bottom"/>
            <w:gridSpan w:val="3"/>
          </w:tcPr>
          <w:p>
            <w:pPr>
              <w:jc w:val="right"/>
              <w:ind w:right="120"/>
              <w:spacing w:after="0" w:line="129" w:lineRule="exact"/>
              <w:rPr>
                <w:sz w:val="20"/>
                <w:szCs w:val="20"/>
                <w:color w:val="auto"/>
              </w:rPr>
            </w:pPr>
            <w:r>
              <w:rPr>
                <w:rFonts w:ascii="Arial" w:cs="Arial" w:eastAsia="Arial" w:hAnsi="Arial"/>
                <w:sz w:val="14"/>
                <w:szCs w:val="14"/>
                <w:b w:val="1"/>
                <w:bCs w:val="1"/>
                <w:color w:val="auto"/>
              </w:rPr>
              <w:t>(in millions)</w:t>
            </w:r>
          </w:p>
        </w:tc>
        <w:tc>
          <w:tcPr>
            <w:tcW w:w="9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Earnings Data:</w:t>
            </w:r>
          </w:p>
        </w:tc>
        <w:tc>
          <w:tcPr>
            <w:tcW w:w="8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Operating revenues(1):</w:t>
            </w: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Premiums and other considerations</w:t>
            </w:r>
          </w:p>
        </w:tc>
        <w:tc>
          <w:tcPr>
            <w:tcW w:w="1700" w:type="dxa"/>
            <w:vAlign w:val="bottom"/>
            <w:gridSpan w:val="2"/>
            <w:shd w:val="clear" w:color="auto" w:fill="CCEEFF"/>
          </w:tcPr>
          <w:p>
            <w:pPr>
              <w:jc w:val="right"/>
              <w:ind w:right="688"/>
              <w:spacing w:after="0"/>
              <w:rPr>
                <w:sz w:val="20"/>
                <w:szCs w:val="20"/>
                <w:color w:val="auto"/>
              </w:rPr>
            </w:pPr>
            <w:r>
              <w:rPr>
                <w:rFonts w:ascii="Arial" w:cs="Arial" w:eastAsia="Arial" w:hAnsi="Arial"/>
                <w:sz w:val="18"/>
                <w:szCs w:val="18"/>
                <w:b w:val="1"/>
                <w:bCs w:val="1"/>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62.3</w:t>
            </w: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676"/>
              <w:spacing w:after="0"/>
              <w:rPr>
                <w:sz w:val="20"/>
                <w:szCs w:val="20"/>
                <w:color w:val="auto"/>
              </w:rPr>
            </w:pPr>
            <w:r>
              <w:rPr>
                <w:rFonts w:ascii="Arial" w:cs="Arial" w:eastAsia="Arial" w:hAnsi="Arial"/>
                <w:sz w:val="18"/>
                <w:szCs w:val="18"/>
                <w:color w:val="auto"/>
                <w:w w:val="79"/>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64.3</w:t>
            </w:r>
          </w:p>
        </w:tc>
        <w:tc>
          <w:tcPr>
            <w:tcW w:w="6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131.3</w:t>
            </w:r>
          </w:p>
        </w:tc>
        <w:tc>
          <w:tcPr>
            <w:tcW w:w="26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ind w:left="160"/>
              <w:spacing w:after="0"/>
              <w:rPr>
                <w:sz w:val="20"/>
                <w:szCs w:val="20"/>
                <w:color w:val="auto"/>
              </w:rPr>
            </w:pPr>
            <w:r>
              <w:rPr>
                <w:rFonts w:ascii="Arial" w:cs="Arial" w:eastAsia="Arial" w:hAnsi="Arial"/>
                <w:sz w:val="18"/>
                <w:szCs w:val="18"/>
                <w:color w:val="auto"/>
              </w:rPr>
              <w:t>Fees and other revenues</w:t>
            </w: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b w:val="1"/>
                <w:bCs w:val="1"/>
                <w:color w:val="auto"/>
              </w:rPr>
              <w:t>27.5</w:t>
            </w: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24.1</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55.7</w:t>
            </w:r>
          </w:p>
        </w:tc>
        <w:tc>
          <w:tcPr>
            <w:tcW w:w="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46.7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investment income</w:t>
            </w:r>
          </w:p>
        </w:tc>
        <w:tc>
          <w:tcPr>
            <w:tcW w:w="840" w:type="dxa"/>
            <w:vAlign w:val="bottom"/>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74.4</w:t>
            </w:r>
          </w:p>
        </w:tc>
        <w:tc>
          <w:tcPr>
            <w:tcW w:w="260" w:type="dxa"/>
            <w:vAlign w:val="bottom"/>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69.8</w:t>
            </w:r>
          </w:p>
        </w:tc>
        <w:tc>
          <w:tcPr>
            <w:tcW w:w="26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120.6</w:t>
            </w:r>
          </w:p>
        </w:tc>
        <w:tc>
          <w:tcPr>
            <w:tcW w:w="260" w:type="dxa"/>
            <w:vAlign w:val="bottom"/>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97.9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80" w:type="dxa"/>
            <w:vAlign w:val="bottom"/>
          </w:tcPr>
          <w:p>
            <w:pPr>
              <w:ind w:left="340"/>
              <w:spacing w:after="0"/>
              <w:rPr>
                <w:sz w:val="20"/>
                <w:szCs w:val="20"/>
                <w:color w:val="auto"/>
              </w:rPr>
            </w:pPr>
            <w:r>
              <w:rPr>
                <w:rFonts w:ascii="Arial" w:cs="Arial" w:eastAsia="Arial" w:hAnsi="Arial"/>
                <w:sz w:val="18"/>
                <w:szCs w:val="18"/>
                <w:color w:val="auto"/>
              </w:rPr>
              <w:t>Total operating revenues</w:t>
            </w: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b w:val="1"/>
                <w:bCs w:val="1"/>
                <w:color w:val="auto"/>
                <w:w w:val="93"/>
              </w:rPr>
              <w:t>164.2</w:t>
            </w: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w w:val="93"/>
              </w:rPr>
              <w:t>158.2</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307.6</w:t>
            </w:r>
          </w:p>
        </w:tc>
        <w:tc>
          <w:tcPr>
            <w:tcW w:w="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291.0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Expenses:</w:t>
            </w:r>
          </w:p>
        </w:tc>
        <w:tc>
          <w:tcPr>
            <w:tcW w:w="8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ind w:left="160"/>
              <w:spacing w:after="0"/>
              <w:rPr>
                <w:sz w:val="20"/>
                <w:szCs w:val="20"/>
                <w:color w:val="auto"/>
              </w:rPr>
            </w:pPr>
            <w:r>
              <w:rPr>
                <w:rFonts w:ascii="Arial" w:cs="Arial" w:eastAsia="Arial" w:hAnsi="Arial"/>
                <w:sz w:val="18"/>
                <w:szCs w:val="18"/>
                <w:color w:val="auto"/>
              </w:rPr>
              <w:t>Benefits, claims and settlement expenses</w:t>
            </w: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b w:val="1"/>
                <w:bCs w:val="1"/>
                <w:color w:val="auto"/>
                <w:w w:val="93"/>
              </w:rPr>
              <w:t>113.1</w:t>
            </w: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w w:val="93"/>
              </w:rPr>
              <w:t>111.0</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206.1</w:t>
            </w:r>
          </w:p>
        </w:tc>
        <w:tc>
          <w:tcPr>
            <w:tcW w:w="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205.6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Operating expenses</w:t>
            </w:r>
          </w:p>
        </w:tc>
        <w:tc>
          <w:tcPr>
            <w:tcW w:w="840" w:type="dxa"/>
            <w:vAlign w:val="bottom"/>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32.0</w:t>
            </w:r>
          </w:p>
        </w:tc>
        <w:tc>
          <w:tcPr>
            <w:tcW w:w="260" w:type="dxa"/>
            <w:vAlign w:val="bottom"/>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25.7</w:t>
            </w:r>
          </w:p>
        </w:tc>
        <w:tc>
          <w:tcPr>
            <w:tcW w:w="26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62.5</w:t>
            </w:r>
          </w:p>
        </w:tc>
        <w:tc>
          <w:tcPr>
            <w:tcW w:w="260" w:type="dxa"/>
            <w:vAlign w:val="bottom"/>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80" w:type="dxa"/>
            <w:vAlign w:val="bottom"/>
            <w:tcBorders>
              <w:bottom w:val="single" w:sz="8" w:color="CCEEFF"/>
            </w:tcBorders>
          </w:tcPr>
          <w:p>
            <w:pPr>
              <w:ind w:left="340"/>
              <w:spacing w:after="0"/>
              <w:rPr>
                <w:sz w:val="20"/>
                <w:szCs w:val="20"/>
                <w:color w:val="auto"/>
              </w:rPr>
            </w:pPr>
            <w:r>
              <w:rPr>
                <w:rFonts w:ascii="Arial" w:cs="Arial" w:eastAsia="Arial" w:hAnsi="Arial"/>
                <w:sz w:val="18"/>
                <w:szCs w:val="18"/>
                <w:color w:val="auto"/>
              </w:rPr>
              <w:t>Total expenses</w:t>
            </w:r>
          </w:p>
        </w:tc>
        <w:tc>
          <w:tcPr>
            <w:tcW w:w="840" w:type="dxa"/>
            <w:vAlign w:val="bottom"/>
            <w:tcBorders>
              <w:bottom w:val="single" w:sz="8" w:color="CCEEFF"/>
            </w:tcBorders>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3"/>
              </w:rPr>
              <w:t>145.1</w:t>
            </w:r>
          </w:p>
        </w:tc>
        <w:tc>
          <w:tcPr>
            <w:tcW w:w="260" w:type="dxa"/>
            <w:vAlign w:val="bottom"/>
            <w:tcBorders>
              <w:bottom w:val="single" w:sz="8" w:color="CCEEFF"/>
            </w:tcBorders>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3"/>
              </w:rPr>
              <w:t>136.7</w:t>
            </w:r>
          </w:p>
        </w:tc>
        <w:tc>
          <w:tcPr>
            <w:tcW w:w="260" w:type="dxa"/>
            <w:vAlign w:val="bottom"/>
            <w:tcBorders>
              <w:bottom w:val="single" w:sz="8" w:color="CCEEFF"/>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268.6</w:t>
            </w:r>
          </w:p>
        </w:tc>
        <w:tc>
          <w:tcPr>
            <w:tcW w:w="260" w:type="dxa"/>
            <w:vAlign w:val="bottom"/>
            <w:tcBorders>
              <w:bottom w:val="single" w:sz="8" w:color="CCEEFF"/>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257.5</w:t>
            </w:r>
          </w:p>
        </w:tc>
        <w:tc>
          <w:tcPr>
            <w:tcW w:w="1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Operating earnings before income taxes</w:t>
            </w:r>
          </w:p>
        </w:tc>
        <w:tc>
          <w:tcPr>
            <w:tcW w:w="8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19.1</w:t>
            </w: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21.5</w:t>
            </w:r>
          </w:p>
        </w:tc>
        <w:tc>
          <w:tcPr>
            <w:tcW w:w="2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39.0</w:t>
            </w:r>
          </w:p>
        </w:tc>
        <w:tc>
          <w:tcPr>
            <w:tcW w:w="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Income taxes</w:t>
            </w:r>
          </w:p>
        </w:tc>
        <w:tc>
          <w:tcPr>
            <w:tcW w:w="840" w:type="dxa"/>
            <w:vAlign w:val="bottom"/>
            <w:tcBorders>
              <w:bottom w:val="single" w:sz="8" w:color="CCEEFF"/>
            </w:tcBorders>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3.0</w:t>
            </w:r>
          </w:p>
        </w:tc>
        <w:tc>
          <w:tcPr>
            <w:tcW w:w="260" w:type="dxa"/>
            <w:vAlign w:val="bottom"/>
            <w:tcBorders>
              <w:bottom w:val="single" w:sz="8" w:color="CCEEFF"/>
            </w:tcBorders>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w:t>
            </w:r>
          </w:p>
        </w:tc>
        <w:tc>
          <w:tcPr>
            <w:tcW w:w="260" w:type="dxa"/>
            <w:vAlign w:val="bottom"/>
            <w:tcBorders>
              <w:bottom w:val="single" w:sz="8" w:color="CCEEFF"/>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5.3</w:t>
            </w:r>
          </w:p>
        </w:tc>
        <w:tc>
          <w:tcPr>
            <w:tcW w:w="260" w:type="dxa"/>
            <w:vAlign w:val="bottom"/>
            <w:tcBorders>
              <w:bottom w:val="single" w:sz="8" w:color="CCEEFF"/>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w:t>
            </w:r>
          </w:p>
        </w:tc>
        <w:tc>
          <w:tcPr>
            <w:tcW w:w="1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Operating earnings</w:t>
            </w:r>
          </w:p>
        </w:tc>
        <w:tc>
          <w:tcPr>
            <w:tcW w:w="8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16.1</w:t>
            </w: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w:t>
            </w:r>
          </w:p>
        </w:tc>
        <w:tc>
          <w:tcPr>
            <w:tcW w:w="2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33.7</w:t>
            </w:r>
          </w:p>
        </w:tc>
        <w:tc>
          <w:tcPr>
            <w:tcW w:w="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Net realized/unrealized capital losses, as adjusted</w:t>
            </w: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(4.8)</w:t>
            </w:r>
          </w:p>
        </w:tc>
        <w:tc>
          <w:tcPr>
            <w:tcW w:w="8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¾</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(3.9)</w:t>
            </w:r>
          </w:p>
        </w:tc>
        <w:tc>
          <w:tcPr>
            <w:tcW w:w="3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38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80" w:type="dxa"/>
            <w:vAlign w:val="bottom"/>
          </w:tcPr>
          <w:p>
            <w:pPr>
              <w:spacing w:after="0"/>
              <w:rPr>
                <w:sz w:val="20"/>
                <w:szCs w:val="20"/>
                <w:color w:val="auto"/>
              </w:rPr>
            </w:pPr>
            <w:r>
              <w:rPr>
                <w:rFonts w:ascii="Arial" w:cs="Arial" w:eastAsia="Arial" w:hAnsi="Arial"/>
                <w:sz w:val="18"/>
                <w:szCs w:val="18"/>
                <w:b w:val="1"/>
                <w:bCs w:val="1"/>
                <w:color w:val="auto"/>
              </w:rPr>
              <w:t>U.S. GAAP Reported:</w:t>
            </w: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Net income available to common stockholders</w:t>
            </w:r>
          </w:p>
        </w:tc>
        <w:tc>
          <w:tcPr>
            <w:tcW w:w="1700" w:type="dxa"/>
            <w:vAlign w:val="bottom"/>
            <w:gridSpan w:val="2"/>
            <w:shd w:val="clear" w:color="auto" w:fill="CCEEFF"/>
          </w:tcPr>
          <w:p>
            <w:pPr>
              <w:jc w:val="right"/>
              <w:ind w:right="688"/>
              <w:spacing w:after="0"/>
              <w:rPr>
                <w:sz w:val="20"/>
                <w:szCs w:val="20"/>
                <w:color w:val="auto"/>
              </w:rPr>
            </w:pPr>
            <w:r>
              <w:rPr>
                <w:rFonts w:ascii="Arial" w:cs="Arial" w:eastAsia="Arial" w:hAnsi="Arial"/>
                <w:sz w:val="18"/>
                <w:szCs w:val="18"/>
                <w:b w:val="1"/>
                <w:bCs w:val="1"/>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11.3</w:t>
            </w: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676"/>
              <w:spacing w:after="0"/>
              <w:rPr>
                <w:sz w:val="20"/>
                <w:szCs w:val="20"/>
                <w:color w:val="auto"/>
              </w:rPr>
            </w:pPr>
            <w:r>
              <w:rPr>
                <w:rFonts w:ascii="Arial" w:cs="Arial" w:eastAsia="Arial" w:hAnsi="Arial"/>
                <w:sz w:val="18"/>
                <w:szCs w:val="18"/>
                <w:color w:val="auto"/>
                <w:w w:val="79"/>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w:t>
            </w:r>
          </w:p>
        </w:tc>
        <w:tc>
          <w:tcPr>
            <w:tcW w:w="6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29.8</w:t>
            </w:r>
          </w:p>
        </w:tc>
        <w:tc>
          <w:tcPr>
            <w:tcW w:w="26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8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389380" cy="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680" w:hanging="672"/>
        <w:spacing w:after="0"/>
        <w:tabs>
          <w:tab w:leader="none" w:pos="6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Excludes net realized/unrealized capital gains (losses).</w:t>
      </w:r>
    </w:p>
    <w:p>
      <w:pPr>
        <w:spacing w:after="0" w:line="225"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Three Months Ended June 30, 2006 Compared to Three Months Ended June 30, 2005</w:t>
      </w:r>
    </w:p>
    <w:p>
      <w:pPr>
        <w:spacing w:after="0" w:line="225" w:lineRule="exact"/>
        <w:rPr>
          <w:sz w:val="20"/>
          <w:szCs w:val="20"/>
          <w:color w:val="auto"/>
        </w:rPr>
      </w:pPr>
    </w:p>
    <w:p>
      <w:pPr>
        <w:ind w:right="40" w:firstLine="648"/>
        <w:spacing w:after="0" w:line="312" w:lineRule="auto"/>
        <w:rPr>
          <w:sz w:val="20"/>
          <w:szCs w:val="20"/>
          <w:color w:val="auto"/>
        </w:rPr>
      </w:pPr>
      <w:r>
        <w:rPr>
          <w:rFonts w:ascii="Arial" w:cs="Arial" w:eastAsia="Arial" w:hAnsi="Arial"/>
          <w:sz w:val="16"/>
          <w:szCs w:val="16"/>
          <w:color w:val="auto"/>
        </w:rPr>
        <w:t>Premiums and other considerations decreased $2.0 million, or 3%, to $62.3 million for the three months ended June 30, 2006, from $64.3 million for the three months ended June 30, 2005. A decrease of $7.1 million in Chile and Mexico due to decreased sales of single premium annuities with life contingencies was partially offset by an increase of $5.1 million due to the strengthening of the Chilean and Mexican peso versus the U.S. dollar.</w:t>
      </w:r>
    </w:p>
    <w:p>
      <w:pPr>
        <w:spacing w:after="0" w:line="147" w:lineRule="exact"/>
        <w:rPr>
          <w:sz w:val="20"/>
          <w:szCs w:val="20"/>
          <w:color w:val="auto"/>
        </w:rPr>
      </w:pPr>
    </w:p>
    <w:p>
      <w:pPr>
        <w:ind w:right="20" w:firstLine="630"/>
        <w:spacing w:after="0" w:line="257" w:lineRule="auto"/>
        <w:rPr>
          <w:sz w:val="20"/>
          <w:szCs w:val="20"/>
          <w:color w:val="auto"/>
        </w:rPr>
      </w:pPr>
      <w:r>
        <w:rPr>
          <w:rFonts w:ascii="Arial" w:cs="Arial" w:eastAsia="Arial" w:hAnsi="Arial"/>
          <w:sz w:val="18"/>
          <w:szCs w:val="18"/>
          <w:color w:val="auto"/>
        </w:rPr>
        <w:t>Fees and other revenues increased $3.4 million, or 14%, to $27.5 million for the three months ended June 30, 2006, from $24.1 million for the three months ended June 30, 2005. An increase of $1.3 million in India was a result of an increase in fees from PPIAC that began operations in February 2005 and an increase in fees from growth in assets under management. An increase of $1.1 million in Hong Kong was a result of increased fees caused by growth in assets under management. In addition, an increase of $1.0 million in Chile was primarily due to increased fees caused by growth in assets under management and higher insurance charges.</w:t>
      </w:r>
    </w:p>
    <w:p>
      <w:pPr>
        <w:spacing w:after="0" w:line="188" w:lineRule="exact"/>
        <w:rPr>
          <w:sz w:val="20"/>
          <w:szCs w:val="20"/>
          <w:color w:val="auto"/>
        </w:rPr>
      </w:pPr>
    </w:p>
    <w:p>
      <w:pPr>
        <w:ind w:right="100" w:firstLine="630"/>
        <w:spacing w:after="0" w:line="257" w:lineRule="auto"/>
        <w:rPr>
          <w:sz w:val="20"/>
          <w:szCs w:val="20"/>
          <w:color w:val="auto"/>
        </w:rPr>
      </w:pPr>
      <w:r>
        <w:rPr>
          <w:rFonts w:ascii="Arial" w:cs="Arial" w:eastAsia="Arial" w:hAnsi="Arial"/>
          <w:sz w:val="18"/>
          <w:szCs w:val="18"/>
          <w:color w:val="auto"/>
        </w:rPr>
        <w:t>Net investment income increased $4.6 million, or 7%, to $74.4 million for the three months ended June 30, 2006, from $69.8 million for the three months ended June 30, 2005. The increase was primarily due to an increase of $403.9 million, or 17%, in average invested assets and cash, excluding our equity method investments in subsidiaries. The increase was partially offset by a decrease in the annualized yield on average invested assets and cash, excluding our equity method investments in subsidiaries, which was 9.2% for the three months ended June 30, 2006, compared to 10.4% for the three months ended June 30, 2005.</w:t>
      </w:r>
    </w:p>
    <w:p>
      <w:pPr>
        <w:spacing w:after="0" w:line="188" w:lineRule="exact"/>
        <w:rPr>
          <w:sz w:val="20"/>
          <w:szCs w:val="20"/>
          <w:color w:val="auto"/>
        </w:rPr>
      </w:pPr>
    </w:p>
    <w:p>
      <w:pPr>
        <w:ind w:right="40" w:firstLine="630"/>
        <w:spacing w:after="0" w:line="279" w:lineRule="auto"/>
        <w:rPr>
          <w:sz w:val="20"/>
          <w:szCs w:val="20"/>
          <w:color w:val="auto"/>
        </w:rPr>
      </w:pPr>
      <w:r>
        <w:rPr>
          <w:rFonts w:ascii="Arial" w:cs="Arial" w:eastAsia="Arial" w:hAnsi="Arial"/>
          <w:sz w:val="17"/>
          <w:szCs w:val="17"/>
          <w:color w:val="auto"/>
        </w:rPr>
        <w:t>Benefits, claims and settlement expenses increased $2.1 million, or 2%, to $113.1 million for the three months ended June 30, 2006, from $111.0 million for the three months ended June 30, 2005. The increase is due to a $9.1 million strengthening of the Chilean and Mexican peso versus the U.S. dollar. This increase was primarily offset by a decrease of $7.0 million in Chile and Mexico primarily due to lower changes in reserves resulting from a decrease in sales of single premium annuities with life contingencies in 2006 as well as lower interest credited to customers.</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20" w:firstLine="630"/>
        <w:spacing w:after="0" w:line="257" w:lineRule="auto"/>
        <w:rPr>
          <w:sz w:val="20"/>
          <w:szCs w:val="20"/>
          <w:color w:val="auto"/>
        </w:rPr>
      </w:pPr>
      <w:r>
        <w:rPr>
          <w:rFonts w:ascii="Arial" w:cs="Arial" w:eastAsia="Arial" w:hAnsi="Arial"/>
          <w:sz w:val="18"/>
          <w:szCs w:val="18"/>
          <w:color w:val="auto"/>
        </w:rPr>
        <w:t>Operating expenses increased $6.3 million, or 25%, to $32.0 million for the three months ended June 30, 2006, from $25.7 million for the three months ended June 30, 2005. An increase of $1.8 million in Mexico was due to higher distribution expenses, professional fees, and sales compensation partially offset by DPAC and VOBA unlocking in 2006. An increase of $1.3 million in India was due to higher compensation costs in the mutual fund business and PPIAC that began operations in February 2005. In addition, an increase of $1.1 million in Hong Kong was due to increased incentive compensation costs, higher marketing expenses, and higher occupancy costs.</w:t>
      </w:r>
    </w:p>
    <w:p>
      <w:pPr>
        <w:spacing w:after="0" w:line="188" w:lineRule="exact"/>
        <w:rPr>
          <w:sz w:val="20"/>
          <w:szCs w:val="20"/>
          <w:color w:val="auto"/>
        </w:rPr>
      </w:pPr>
    </w:p>
    <w:p>
      <w:pPr>
        <w:ind w:left="100" w:right="40" w:firstLine="558"/>
        <w:spacing w:after="0" w:line="259" w:lineRule="auto"/>
        <w:rPr>
          <w:sz w:val="20"/>
          <w:szCs w:val="20"/>
          <w:color w:val="auto"/>
        </w:rPr>
      </w:pPr>
      <w:r>
        <w:rPr>
          <w:rFonts w:ascii="Arial" w:cs="Arial" w:eastAsia="Arial" w:hAnsi="Arial"/>
          <w:sz w:val="18"/>
          <w:szCs w:val="18"/>
          <w:color w:val="auto"/>
        </w:rPr>
        <w:t>Income taxes increased $0.6 million, or 25%, to $3.0 million for the three months ended June 30, 2006, from $2.4 million for the three months ended June 30, 2005. An increase of $1.0 million at International headquarters was primarily due to a tax benefit recorded in 2005 as the result of applying a favorable provision in the American Jobs Creation Act to the 2005 dividend from Mexico. Partially offsetting the increase in income taxes is a decrease due to lower aggregate pre-tax earnings in 2006 for our international operating companies.</w:t>
      </w:r>
    </w:p>
    <w:p>
      <w:pPr>
        <w:spacing w:after="0" w:line="187"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As a result of the foregoing factors, operating earnings decreased $3.0 million, or 16%, to $16.1 million for the three months ended June 30, 2006, from $19.1 million for the three months ended June 30, 2005.</w:t>
      </w:r>
    </w:p>
    <w:p>
      <w:pPr>
        <w:sectPr>
          <w:pgSz w:w="11900" w:h="16838" w:orient="portrait"/>
          <w:cols w:equalWidth="0" w:num="1">
            <w:col w:w="11420"/>
          </w:cols>
          <w:pgMar w:left="240" w:top="580" w:right="239" w:bottom="0" w:gutter="0" w:footer="0" w:header="0"/>
        </w:sectPr>
      </w:pPr>
    </w:p>
    <w:bookmarkStart w:id="38" w:name="page39"/>
    <w:bookmarkEnd w:id="38"/>
    <w:p>
      <w:pPr>
        <w:ind w:right="400" w:firstLine="648"/>
        <w:spacing w:after="0" w:line="264" w:lineRule="auto"/>
        <w:rPr>
          <w:sz w:val="20"/>
          <w:szCs w:val="20"/>
          <w:color w:val="auto"/>
        </w:rPr>
      </w:pPr>
      <w:r>
        <w:rPr>
          <w:rFonts w:ascii="Arial" w:cs="Arial" w:eastAsia="Arial" w:hAnsi="Arial"/>
          <w:sz w:val="18"/>
          <w:szCs w:val="18"/>
          <w:color w:val="auto"/>
        </w:rPr>
        <w:t>Net realized/unrealized capital losses, as adjusted, increased $4.8 million for the three months ended June 30, 2006. The increase was primarily related to a $3.5 million increase in Chile due to mark-to-market losses on derivatives in 2006 that are held to more effectively match the invested asset portfolio to our policyholder liability risks.</w:t>
      </w:r>
    </w:p>
    <w:p>
      <w:pPr>
        <w:spacing w:after="0" w:line="181" w:lineRule="exact"/>
        <w:rPr>
          <w:sz w:val="20"/>
          <w:szCs w:val="20"/>
          <w:color w:val="auto"/>
        </w:rPr>
      </w:pPr>
    </w:p>
    <w:p>
      <w:pPr>
        <w:ind w:right="280" w:firstLine="648"/>
        <w:spacing w:after="0" w:line="277" w:lineRule="auto"/>
        <w:rPr>
          <w:sz w:val="20"/>
          <w:szCs w:val="20"/>
          <w:color w:val="auto"/>
        </w:rPr>
      </w:pPr>
      <w:r>
        <w:rPr>
          <w:rFonts w:ascii="Arial" w:cs="Arial" w:eastAsia="Arial" w:hAnsi="Arial"/>
          <w:sz w:val="18"/>
          <w:szCs w:val="18"/>
          <w:color w:val="auto"/>
        </w:rPr>
        <w:t>As a result of the foregoing factors, net income available to common stockholders decreased $7.8 million to $11.3 million for the three months ended June 30, 2006, from $19.1 million for the three months ended June 30, 2005.</w:t>
      </w:r>
    </w:p>
    <w:p>
      <w:pPr>
        <w:spacing w:after="0" w:line="170"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Six Months Ended June 30, 2006 Compared to Six Months Ended June 30, 2005</w:t>
      </w:r>
    </w:p>
    <w:p>
      <w:pPr>
        <w:spacing w:after="0" w:line="225" w:lineRule="exact"/>
        <w:rPr>
          <w:sz w:val="20"/>
          <w:szCs w:val="20"/>
          <w:color w:val="auto"/>
        </w:rPr>
      </w:pPr>
    </w:p>
    <w:p>
      <w:pPr>
        <w:ind w:right="100" w:firstLine="648"/>
        <w:spacing w:after="0" w:line="312" w:lineRule="auto"/>
        <w:rPr>
          <w:sz w:val="20"/>
          <w:szCs w:val="20"/>
          <w:color w:val="auto"/>
        </w:rPr>
      </w:pPr>
      <w:r>
        <w:rPr>
          <w:rFonts w:ascii="Arial" w:cs="Arial" w:eastAsia="Arial" w:hAnsi="Arial"/>
          <w:sz w:val="16"/>
          <w:szCs w:val="16"/>
          <w:color w:val="auto"/>
        </w:rPr>
        <w:t>Premiums and other considerations decreased $15.1 million, or 10%, to $131.3 million for the six months ended June 30, 2006, from $146.4 million for the six months ended June 30, 2005. A decrease of $26.2 million in Chile and Mexico due to decreased sales of single premium annuities with life contingencies was partially offset by an increase of $11.1 million due to the strengthening of the Chilean and Mexican peso versus the U.S. dollar.</w:t>
      </w:r>
    </w:p>
    <w:p>
      <w:pPr>
        <w:spacing w:after="0" w:line="147"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Fees and other revenues increased $9.0 million, or 19%, to $55.7 million for the six months ended June 30, 2006, from $46.7 million for the six months ended June 30, 2005. An increase of $2.8 million in India was primarily a result of an increase in fees from PPIAC that began operations in February 2005, along with an increase in fees caused by a growth in assets under management. An increase of $2.3 million in Hong Kong was due to an increase in fees caused by a growth in assets under management. In addition, an increase of $2.2 in Chile was primarily due to an increase in fees caused by a growth in assets under management and higher insurance charges.</w:t>
      </w:r>
    </w:p>
    <w:p>
      <w:pPr>
        <w:spacing w:after="0" w:line="188" w:lineRule="exact"/>
        <w:rPr>
          <w:sz w:val="20"/>
          <w:szCs w:val="20"/>
          <w:color w:val="auto"/>
        </w:rPr>
      </w:pPr>
    </w:p>
    <w:p>
      <w:pPr>
        <w:jc w:val="both"/>
        <w:ind w:right="300" w:firstLine="648"/>
        <w:spacing w:after="0" w:line="312" w:lineRule="auto"/>
        <w:rPr>
          <w:sz w:val="20"/>
          <w:szCs w:val="20"/>
          <w:color w:val="auto"/>
        </w:rPr>
      </w:pPr>
      <w:r>
        <w:rPr>
          <w:rFonts w:ascii="Arial" w:cs="Arial" w:eastAsia="Arial" w:hAnsi="Arial"/>
          <w:sz w:val="16"/>
          <w:szCs w:val="16"/>
          <w:color w:val="auto"/>
        </w:rPr>
        <w:t>Net investment income increased $22.7 million, or 23%, to $120.6 million for the six months ended June 30, 2006, from $97.9 million for the six months ended June 30, 2005. The increase was primarily due to an increase of $403.8 million, or 17%, in average invested assets and cash, excluding our equity method investment in subsidiaries. In addition, the increase was due to higher earnings from our equity method investments in subsidiaries.</w:t>
      </w:r>
    </w:p>
    <w:p>
      <w:pPr>
        <w:spacing w:after="0" w:line="147" w:lineRule="exact"/>
        <w:rPr>
          <w:sz w:val="20"/>
          <w:szCs w:val="20"/>
          <w:color w:val="auto"/>
        </w:rPr>
      </w:pPr>
    </w:p>
    <w:p>
      <w:pPr>
        <w:ind w:right="160" w:firstLine="648"/>
        <w:spacing w:after="0" w:line="259" w:lineRule="auto"/>
        <w:rPr>
          <w:sz w:val="20"/>
          <w:szCs w:val="20"/>
          <w:color w:val="auto"/>
        </w:rPr>
      </w:pPr>
      <w:r>
        <w:rPr>
          <w:rFonts w:ascii="Arial" w:cs="Arial" w:eastAsia="Arial" w:hAnsi="Arial"/>
          <w:sz w:val="18"/>
          <w:szCs w:val="18"/>
          <w:color w:val="auto"/>
        </w:rPr>
        <w:t>Benefits, claims and settlement expenses increased $0.5 million to $206.1 million for the six months ended June 30, 2006, from $205.6 million for the six months ended June 30, 2005. An increase of $17.0 million is due to the strengthening of the Mexican and Chilean pesos versus the U.S. dollar. This increase is mostly offset by $16.6 million decrease in reserve expenses in Mexico and Chile due to decreased sales of single premium annuities with life contingencies.</w:t>
      </w:r>
    </w:p>
    <w:p>
      <w:pPr>
        <w:spacing w:after="0" w:line="187" w:lineRule="exact"/>
        <w:rPr>
          <w:sz w:val="20"/>
          <w:szCs w:val="20"/>
          <w:color w:val="auto"/>
        </w:rPr>
      </w:pPr>
    </w:p>
    <w:p>
      <w:pPr>
        <w:ind w:right="80" w:firstLine="648"/>
        <w:spacing w:after="0" w:line="276" w:lineRule="auto"/>
        <w:rPr>
          <w:sz w:val="20"/>
          <w:szCs w:val="20"/>
          <w:color w:val="auto"/>
        </w:rPr>
      </w:pPr>
      <w:r>
        <w:rPr>
          <w:rFonts w:ascii="Arial" w:cs="Arial" w:eastAsia="Arial" w:hAnsi="Arial"/>
          <w:sz w:val="17"/>
          <w:szCs w:val="17"/>
          <w:color w:val="auto"/>
        </w:rPr>
        <w:t>Operating expenses increased $10.6 million, or 20%, to $62.5 million for the six months ended June 30, 2006, from $51.9 million for the six months ended June 30, 2005. An increase of $4.3 million is related to higher compensation costs in the mutual fund business and PPIAC that began operations in February 2005 in India as well as increased incentive compensation costs, higher marketing expenses, and higher occupancy costs in Hong Kong. An increase of $2.3 million in Mexico was primarily due to higher distribution expenses, professional fees, and sales compensation in 2006. Furthermore, an increase of $1.6 million is due to the strengthening of the Mexican and Chilean pesos versus the U.S. dollar.</w:t>
      </w:r>
    </w:p>
    <w:p>
      <w:pPr>
        <w:spacing w:after="0" w:line="173"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Income taxes increased $0.4 million, or 8%, to $5.3 million for the six months ended June 30, 2006, from $4.9 million for the six months ended June 30, 2005. The increase was primarily due to a tax benefit recorded in 2005 as the result of applying a favorable provision in the American Jobs Creation Act to the 2005 dividend from Mexico. Partially offsetting this increase are tax benefits recognized in 2006 as a result of increased pre-tax losses at International headquarters in 2006.</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280" w:firstLine="648"/>
        <w:spacing w:after="0" w:line="277" w:lineRule="auto"/>
        <w:rPr>
          <w:sz w:val="20"/>
          <w:szCs w:val="20"/>
          <w:color w:val="auto"/>
        </w:rPr>
      </w:pPr>
      <w:r>
        <w:rPr>
          <w:rFonts w:ascii="Arial" w:cs="Arial" w:eastAsia="Arial" w:hAnsi="Arial"/>
          <w:sz w:val="18"/>
          <w:szCs w:val="18"/>
          <w:color w:val="auto"/>
        </w:rPr>
        <w:t>As a result of the foregoing factors, operating earnings increased $5.1 million, or 18%, to $33.7 million for the six months ended June 30, 2006, from $28.6 million for the six months ended June 30, 2005.</w:t>
      </w:r>
    </w:p>
    <w:p>
      <w:pPr>
        <w:spacing w:after="0" w:line="170" w:lineRule="exact"/>
        <w:rPr>
          <w:sz w:val="20"/>
          <w:szCs w:val="20"/>
          <w:color w:val="auto"/>
        </w:rPr>
      </w:pPr>
    </w:p>
    <w:p>
      <w:pPr>
        <w:jc w:val="both"/>
        <w:ind w:right="140" w:firstLine="630"/>
        <w:spacing w:after="0" w:line="264" w:lineRule="auto"/>
        <w:rPr>
          <w:sz w:val="20"/>
          <w:szCs w:val="20"/>
          <w:color w:val="auto"/>
        </w:rPr>
      </w:pPr>
      <w:r>
        <w:rPr>
          <w:rFonts w:ascii="Arial" w:cs="Arial" w:eastAsia="Arial" w:hAnsi="Arial"/>
          <w:sz w:val="18"/>
          <w:szCs w:val="18"/>
          <w:color w:val="auto"/>
        </w:rPr>
        <w:t>Net realized/unrealized capital losses, as adjusted, increased $3.2 million to $3.9 million for the six months ended June 30, 2006, from $0.7 million for the six months ended June 30, 2005. The increase was primarily due to a $2.0 million increase in Chile due to mark-to-market losses in 2006 on derivatives that are held to more effectively match the invested asset portfolio to our policyholder liability risks.</w:t>
      </w:r>
    </w:p>
    <w:p>
      <w:pPr>
        <w:spacing w:after="0" w:line="181"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As a result of the foregoing factors, net income available to common stockholders increased $1.9 million, or 7%, to $29.8 million for the six months ended June 30, 2006, from $27.9 million for the six months ended June 30, 2005.</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Life and Health Insurance Segment</w:t>
      </w:r>
    </w:p>
    <w:p>
      <w:pPr>
        <w:spacing w:after="0" w:line="229"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Life and Health Insurance Segment Summary Financial Data</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certain summary financial data relating to the Life and Health Insurance segment for the periods indicated:</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46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380" w:type="dxa"/>
            <w:vAlign w:val="bottom"/>
            <w:gridSpan w:val="4"/>
          </w:tcPr>
          <w:p>
            <w:pPr>
              <w:jc w:val="center"/>
              <w:ind w:right="193"/>
              <w:spacing w:after="0"/>
              <w:rPr>
                <w:sz w:val="20"/>
                <w:szCs w:val="20"/>
                <w:color w:val="auto"/>
              </w:rPr>
            </w:pPr>
            <w:r>
              <w:rPr>
                <w:rFonts w:ascii="Arial" w:cs="Arial" w:eastAsia="Arial" w:hAnsi="Arial"/>
                <w:sz w:val="14"/>
                <w:szCs w:val="14"/>
                <w:b w:val="1"/>
                <w:bCs w:val="1"/>
                <w:color w:val="auto"/>
                <w:w w:val="91"/>
              </w:rPr>
              <w:t>For the three months ended</w:t>
            </w:r>
          </w:p>
        </w:tc>
        <w:tc>
          <w:tcPr>
            <w:tcW w:w="2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380" w:type="dxa"/>
            <w:vAlign w:val="bottom"/>
            <w:gridSpan w:val="5"/>
          </w:tcPr>
          <w:p>
            <w:pPr>
              <w:jc w:val="center"/>
              <w:ind w:right="420"/>
              <w:spacing w:after="0"/>
              <w:rPr>
                <w:sz w:val="20"/>
                <w:szCs w:val="20"/>
                <w:color w:val="auto"/>
              </w:rPr>
            </w:pPr>
            <w:r>
              <w:rPr>
                <w:rFonts w:ascii="Arial" w:cs="Arial" w:eastAsia="Arial" w:hAnsi="Arial"/>
                <w:sz w:val="14"/>
                <w:szCs w:val="14"/>
                <w:b w:val="1"/>
                <w:bCs w:val="1"/>
                <w:color w:val="auto"/>
                <w:w w:val="91"/>
              </w:rPr>
              <w:t>For the six months ended</w:t>
            </w:r>
          </w:p>
        </w:tc>
      </w:tr>
      <w:tr>
        <w:trPr>
          <w:trHeight w:val="162"/>
        </w:trPr>
        <w:tc>
          <w:tcPr>
            <w:tcW w:w="446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3"/>
          </w:tcPr>
          <w:p>
            <w:pPr>
              <w:jc w:val="center"/>
              <w:ind w:left="534"/>
              <w:spacing w:after="0"/>
              <w:rPr>
                <w:sz w:val="20"/>
                <w:szCs w:val="20"/>
                <w:color w:val="auto"/>
              </w:rPr>
            </w:pPr>
            <w:r>
              <w:rPr>
                <w:rFonts w:ascii="Arial" w:cs="Arial" w:eastAsia="Arial" w:hAnsi="Arial"/>
                <w:sz w:val="14"/>
                <w:szCs w:val="14"/>
                <w:b w:val="1"/>
                <w:bCs w:val="1"/>
                <w:color w:val="auto"/>
                <w:w w:val="92"/>
              </w:rPr>
              <w:t>June 30,</w:t>
            </w:r>
          </w:p>
        </w:tc>
        <w:tc>
          <w:tcPr>
            <w:tcW w:w="92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3"/>
          </w:tcPr>
          <w:p>
            <w:pPr>
              <w:jc w:val="center"/>
              <w:ind w:left="474"/>
              <w:spacing w:after="0"/>
              <w:rPr>
                <w:sz w:val="20"/>
                <w:szCs w:val="20"/>
                <w:color w:val="auto"/>
              </w:rPr>
            </w:pPr>
            <w:r>
              <w:rPr>
                <w:rFonts w:ascii="Arial" w:cs="Arial" w:eastAsia="Arial" w:hAnsi="Arial"/>
                <w:sz w:val="14"/>
                <w:szCs w:val="14"/>
                <w:b w:val="1"/>
                <w:bCs w:val="1"/>
                <w:color w:val="auto"/>
                <w:w w:val="92"/>
              </w:rPr>
              <w:t>June 30,</w:t>
            </w:r>
          </w:p>
        </w:tc>
        <w:tc>
          <w:tcPr>
            <w:tcW w:w="92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r>
      <w:tr>
        <w:trPr>
          <w:trHeight w:val="129"/>
        </w:trPr>
        <w:tc>
          <w:tcPr>
            <w:tcW w:w="446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920" w:type="dxa"/>
            <w:vAlign w:val="bottom"/>
            <w:tcBorders>
              <w:bottom w:val="single" w:sz="8" w:color="auto"/>
            </w:tcBorders>
          </w:tcPr>
          <w:p>
            <w:pPr>
              <w:jc w:val="right"/>
              <w:ind w:right="374"/>
              <w:spacing w:after="0" w:line="129" w:lineRule="exact"/>
              <w:rPr>
                <w:sz w:val="20"/>
                <w:szCs w:val="20"/>
                <w:color w:val="auto"/>
              </w:rPr>
            </w:pPr>
            <w:r>
              <w:rPr>
                <w:rFonts w:ascii="Arial" w:cs="Arial" w:eastAsia="Arial" w:hAnsi="Arial"/>
                <w:sz w:val="14"/>
                <w:szCs w:val="14"/>
                <w:b w:val="1"/>
                <w:bCs w:val="1"/>
                <w:color w:val="auto"/>
              </w:rPr>
              <w:t>2006</w:t>
            </w:r>
          </w:p>
        </w:tc>
        <w:tc>
          <w:tcPr>
            <w:tcW w:w="26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920" w:type="dxa"/>
            <w:vAlign w:val="bottom"/>
            <w:tcBorders>
              <w:bottom w:val="single" w:sz="8" w:color="auto"/>
            </w:tcBorders>
          </w:tcPr>
          <w:p>
            <w:pPr>
              <w:jc w:val="right"/>
              <w:ind w:right="373"/>
              <w:spacing w:after="0" w:line="129" w:lineRule="exact"/>
              <w:rPr>
                <w:sz w:val="20"/>
                <w:szCs w:val="20"/>
                <w:color w:val="auto"/>
              </w:rPr>
            </w:pPr>
            <w:r>
              <w:rPr>
                <w:rFonts w:ascii="Arial" w:cs="Arial" w:eastAsia="Arial" w:hAnsi="Arial"/>
                <w:sz w:val="14"/>
                <w:szCs w:val="14"/>
                <w:b w:val="1"/>
                <w:bCs w:val="1"/>
                <w:color w:val="auto"/>
              </w:rPr>
              <w:t>2005</w:t>
            </w:r>
          </w:p>
        </w:tc>
        <w:tc>
          <w:tcPr>
            <w:tcW w:w="26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jc w:val="right"/>
              <w:ind w:right="374"/>
              <w:spacing w:after="0" w:line="129" w:lineRule="exact"/>
              <w:rPr>
                <w:sz w:val="20"/>
                <w:szCs w:val="20"/>
                <w:color w:val="auto"/>
              </w:rPr>
            </w:pPr>
            <w:r>
              <w:rPr>
                <w:rFonts w:ascii="Arial" w:cs="Arial" w:eastAsia="Arial" w:hAnsi="Arial"/>
                <w:sz w:val="14"/>
                <w:szCs w:val="14"/>
                <w:b w:val="1"/>
                <w:bCs w:val="1"/>
                <w:color w:val="auto"/>
              </w:rPr>
              <w:t>2006</w:t>
            </w:r>
          </w:p>
        </w:tc>
        <w:tc>
          <w:tcPr>
            <w:tcW w:w="26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920" w:type="dxa"/>
            <w:vAlign w:val="bottom"/>
            <w:tcBorders>
              <w:bottom w:val="single" w:sz="8" w:color="auto"/>
            </w:tcBorders>
          </w:tcPr>
          <w:p>
            <w:pPr>
              <w:jc w:val="right"/>
              <w:ind w:right="372"/>
              <w:spacing w:after="0" w:line="129" w:lineRule="exact"/>
              <w:rPr>
                <w:sz w:val="20"/>
                <w:szCs w:val="20"/>
                <w:color w:val="auto"/>
              </w:rPr>
            </w:pPr>
            <w:r>
              <w:rPr>
                <w:rFonts w:ascii="Arial" w:cs="Arial" w:eastAsia="Arial" w:hAnsi="Arial"/>
                <w:sz w:val="14"/>
                <w:szCs w:val="14"/>
                <w:b w:val="1"/>
                <w:bCs w:val="1"/>
                <w:color w:val="auto"/>
              </w:rPr>
              <w:t>2005</w:t>
            </w:r>
          </w:p>
        </w:tc>
        <w:tc>
          <w:tcPr>
            <w:tcW w:w="60" w:type="dxa"/>
            <w:vAlign w:val="bottom"/>
          </w:tcPr>
          <w:p>
            <w:pPr>
              <w:spacing w:after="0"/>
              <w:rPr>
                <w:sz w:val="11"/>
                <w:szCs w:val="11"/>
                <w:color w:val="auto"/>
              </w:rPr>
            </w:pPr>
          </w:p>
        </w:tc>
      </w:tr>
      <w:tr>
        <w:trPr>
          <w:trHeight w:val="129"/>
        </w:trPr>
        <w:tc>
          <w:tcPr>
            <w:tcW w:w="446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520" w:type="dxa"/>
            <w:vAlign w:val="bottom"/>
            <w:gridSpan w:val="3"/>
          </w:tcPr>
          <w:p>
            <w:pPr>
              <w:jc w:val="right"/>
              <w:ind w:right="100"/>
              <w:spacing w:after="0" w:line="129" w:lineRule="exact"/>
              <w:rPr>
                <w:sz w:val="20"/>
                <w:szCs w:val="20"/>
                <w:color w:val="auto"/>
              </w:rPr>
            </w:pPr>
            <w:r>
              <w:rPr>
                <w:rFonts w:ascii="Arial" w:cs="Arial" w:eastAsia="Arial" w:hAnsi="Arial"/>
                <w:sz w:val="14"/>
                <w:szCs w:val="14"/>
                <w:b w:val="1"/>
                <w:bCs w:val="1"/>
                <w:color w:val="auto"/>
              </w:rPr>
              <w:t>(in millions)</w:t>
            </w:r>
          </w:p>
        </w:tc>
        <w:tc>
          <w:tcPr>
            <w:tcW w:w="8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60" w:type="dxa"/>
            <w:vAlign w:val="bottom"/>
          </w:tcPr>
          <w:p>
            <w:pPr>
              <w:spacing w:after="0"/>
              <w:rPr>
                <w:sz w:val="11"/>
                <w:szCs w:val="11"/>
                <w:color w:val="auto"/>
              </w:rPr>
            </w:pPr>
          </w:p>
        </w:tc>
      </w:tr>
      <w:tr>
        <w:trPr>
          <w:trHeight w:val="216"/>
        </w:trPr>
        <w:tc>
          <w:tcPr>
            <w:tcW w:w="44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Earnings Data:</w:t>
            </w:r>
          </w:p>
        </w:tc>
        <w:tc>
          <w:tcPr>
            <w:tcW w:w="13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4460" w:type="dxa"/>
            <w:vAlign w:val="bottom"/>
          </w:tcPr>
          <w:p>
            <w:pPr>
              <w:spacing w:after="0"/>
              <w:rPr>
                <w:sz w:val="20"/>
                <w:szCs w:val="20"/>
                <w:color w:val="auto"/>
              </w:rPr>
            </w:pPr>
            <w:r>
              <w:rPr>
                <w:rFonts w:ascii="Arial" w:cs="Arial" w:eastAsia="Arial" w:hAnsi="Arial"/>
                <w:sz w:val="18"/>
                <w:szCs w:val="18"/>
                <w:color w:val="auto"/>
              </w:rPr>
              <w:t>Operating revenues(1):</w:t>
            </w:r>
          </w:p>
        </w:tc>
        <w:tc>
          <w:tcPr>
            <w:tcW w:w="1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44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Premiums and other considerations</w:t>
            </w:r>
          </w:p>
        </w:tc>
        <w:tc>
          <w:tcPr>
            <w:tcW w:w="16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900.1</w:t>
            </w:r>
          </w:p>
        </w:tc>
        <w:tc>
          <w:tcPr>
            <w:tcW w:w="5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809.3</w:t>
            </w:r>
          </w:p>
        </w:tc>
        <w:tc>
          <w:tcPr>
            <w:tcW w:w="6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1,773.0</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1,601.4</w:t>
            </w:r>
          </w:p>
        </w:tc>
        <w:tc>
          <w:tcPr>
            <w:tcW w:w="60" w:type="dxa"/>
            <w:vAlign w:val="bottom"/>
            <w:shd w:val="clear" w:color="auto" w:fill="CCEEFF"/>
          </w:tcPr>
          <w:p>
            <w:pPr>
              <w:spacing w:after="0"/>
              <w:rPr>
                <w:sz w:val="18"/>
                <w:szCs w:val="18"/>
                <w:color w:val="auto"/>
              </w:rPr>
            </w:pPr>
          </w:p>
        </w:tc>
      </w:tr>
      <w:tr>
        <w:trPr>
          <w:trHeight w:val="216"/>
        </w:trPr>
        <w:tc>
          <w:tcPr>
            <w:tcW w:w="4460" w:type="dxa"/>
            <w:vAlign w:val="bottom"/>
          </w:tcPr>
          <w:p>
            <w:pPr>
              <w:ind w:left="180"/>
              <w:spacing w:after="0"/>
              <w:rPr>
                <w:sz w:val="20"/>
                <w:szCs w:val="20"/>
                <w:color w:val="auto"/>
              </w:rPr>
            </w:pPr>
            <w:r>
              <w:rPr>
                <w:rFonts w:ascii="Arial" w:cs="Arial" w:eastAsia="Arial" w:hAnsi="Arial"/>
                <w:sz w:val="18"/>
                <w:szCs w:val="18"/>
                <w:color w:val="auto"/>
              </w:rPr>
              <w:t>Fees and other revenues</w:t>
            </w:r>
          </w:p>
        </w:tc>
        <w:tc>
          <w:tcPr>
            <w:tcW w:w="1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111.5</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110.7</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224.8</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222.6</w:t>
            </w:r>
          </w:p>
        </w:tc>
        <w:tc>
          <w:tcPr>
            <w:tcW w:w="60" w:type="dxa"/>
            <w:vAlign w:val="bottom"/>
          </w:tcPr>
          <w:p>
            <w:pPr>
              <w:spacing w:after="0"/>
              <w:rPr>
                <w:sz w:val="18"/>
                <w:szCs w:val="18"/>
                <w:color w:val="auto"/>
              </w:rPr>
            </w:pPr>
          </w:p>
        </w:tc>
      </w:tr>
      <w:tr>
        <w:trPr>
          <w:trHeight w:val="216"/>
        </w:trPr>
        <w:tc>
          <w:tcPr>
            <w:tcW w:w="44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Net investment income</w:t>
            </w:r>
          </w:p>
        </w:tc>
        <w:tc>
          <w:tcPr>
            <w:tcW w:w="13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171.5</w:t>
            </w:r>
          </w:p>
        </w:tc>
        <w:tc>
          <w:tcPr>
            <w:tcW w:w="26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169.5</w:t>
            </w:r>
          </w:p>
        </w:tc>
        <w:tc>
          <w:tcPr>
            <w:tcW w:w="26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344.9</w:t>
            </w:r>
          </w:p>
        </w:tc>
        <w:tc>
          <w:tcPr>
            <w:tcW w:w="26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334.1</w:t>
            </w:r>
          </w:p>
        </w:tc>
        <w:tc>
          <w:tcPr>
            <w:tcW w:w="60" w:type="dxa"/>
            <w:vAlign w:val="bottom"/>
            <w:shd w:val="clear" w:color="auto" w:fill="CCEEFF"/>
          </w:tcPr>
          <w:p>
            <w:pPr>
              <w:spacing w:after="0"/>
              <w:rPr>
                <w:sz w:val="18"/>
                <w:szCs w:val="18"/>
                <w:color w:val="auto"/>
              </w:rPr>
            </w:pPr>
          </w:p>
        </w:tc>
      </w:tr>
      <w:tr>
        <w:trPr>
          <w:trHeight w:val="210"/>
        </w:trPr>
        <w:tc>
          <w:tcPr>
            <w:tcW w:w="4460" w:type="dxa"/>
            <w:vAlign w:val="bottom"/>
          </w:tcPr>
          <w:p>
            <w:pPr>
              <w:ind w:left="360"/>
              <w:spacing w:after="0"/>
              <w:rPr>
                <w:sz w:val="20"/>
                <w:szCs w:val="20"/>
                <w:color w:val="auto"/>
              </w:rPr>
            </w:pPr>
            <w:r>
              <w:rPr>
                <w:rFonts w:ascii="Arial" w:cs="Arial" w:eastAsia="Arial" w:hAnsi="Arial"/>
                <w:sz w:val="18"/>
                <w:szCs w:val="18"/>
                <w:color w:val="auto"/>
              </w:rPr>
              <w:t>Total operating revenues</w:t>
            </w:r>
          </w:p>
        </w:tc>
        <w:tc>
          <w:tcPr>
            <w:tcW w:w="1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1,183.1</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1,089.5</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2,342.7</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2,158.1</w:t>
            </w:r>
          </w:p>
        </w:tc>
        <w:tc>
          <w:tcPr>
            <w:tcW w:w="60" w:type="dxa"/>
            <w:vAlign w:val="bottom"/>
          </w:tcPr>
          <w:p>
            <w:pPr>
              <w:spacing w:after="0"/>
              <w:rPr>
                <w:sz w:val="18"/>
                <w:szCs w:val="18"/>
                <w:color w:val="auto"/>
              </w:rPr>
            </w:pPr>
          </w:p>
        </w:tc>
      </w:tr>
      <w:tr>
        <w:trPr>
          <w:trHeight w:val="216"/>
        </w:trPr>
        <w:tc>
          <w:tcPr>
            <w:tcW w:w="4460" w:type="dxa"/>
            <w:vAlign w:val="bottom"/>
            <w:shd w:val="clear" w:color="auto" w:fill="CCEEFF"/>
          </w:tcPr>
          <w:p>
            <w:pPr>
              <w:spacing w:after="0"/>
              <w:rPr>
                <w:sz w:val="20"/>
                <w:szCs w:val="20"/>
                <w:color w:val="auto"/>
              </w:rPr>
            </w:pPr>
            <w:r>
              <w:rPr>
                <w:rFonts w:ascii="Arial" w:cs="Arial" w:eastAsia="Arial" w:hAnsi="Arial"/>
                <w:sz w:val="18"/>
                <w:szCs w:val="18"/>
                <w:color w:val="auto"/>
              </w:rPr>
              <w:t>Expenses:</w:t>
            </w:r>
          </w:p>
        </w:tc>
        <w:tc>
          <w:tcPr>
            <w:tcW w:w="13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4460" w:type="dxa"/>
            <w:vAlign w:val="bottom"/>
          </w:tcPr>
          <w:p>
            <w:pPr>
              <w:ind w:left="180"/>
              <w:spacing w:after="0"/>
              <w:rPr>
                <w:sz w:val="20"/>
                <w:szCs w:val="20"/>
                <w:color w:val="auto"/>
              </w:rPr>
            </w:pPr>
            <w:r>
              <w:rPr>
                <w:rFonts w:ascii="Arial" w:cs="Arial" w:eastAsia="Arial" w:hAnsi="Arial"/>
                <w:sz w:val="18"/>
                <w:szCs w:val="18"/>
                <w:color w:val="auto"/>
              </w:rPr>
              <w:t>Benefits, claims and settlement expenses</w:t>
            </w:r>
          </w:p>
        </w:tc>
        <w:tc>
          <w:tcPr>
            <w:tcW w:w="1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733.6</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626.4</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1,431.9</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1,269.4</w:t>
            </w:r>
          </w:p>
        </w:tc>
        <w:tc>
          <w:tcPr>
            <w:tcW w:w="60" w:type="dxa"/>
            <w:vAlign w:val="bottom"/>
          </w:tcPr>
          <w:p>
            <w:pPr>
              <w:spacing w:after="0"/>
              <w:rPr>
                <w:sz w:val="18"/>
                <w:szCs w:val="18"/>
                <w:color w:val="auto"/>
              </w:rPr>
            </w:pPr>
          </w:p>
        </w:tc>
      </w:tr>
      <w:tr>
        <w:trPr>
          <w:trHeight w:val="216"/>
        </w:trPr>
        <w:tc>
          <w:tcPr>
            <w:tcW w:w="44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Dividends to policyholders</w:t>
            </w:r>
          </w:p>
        </w:tc>
        <w:tc>
          <w:tcPr>
            <w:tcW w:w="13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73.0</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71.3</w:t>
            </w: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144.9</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143.2</w:t>
            </w:r>
          </w:p>
        </w:tc>
        <w:tc>
          <w:tcPr>
            <w:tcW w:w="60" w:type="dxa"/>
            <w:vAlign w:val="bottom"/>
            <w:shd w:val="clear" w:color="auto" w:fill="CCEEFF"/>
          </w:tcPr>
          <w:p>
            <w:pPr>
              <w:spacing w:after="0"/>
              <w:rPr>
                <w:sz w:val="18"/>
                <w:szCs w:val="18"/>
                <w:color w:val="auto"/>
              </w:rPr>
            </w:pPr>
          </w:p>
        </w:tc>
      </w:tr>
      <w:tr>
        <w:trPr>
          <w:trHeight w:val="216"/>
        </w:trPr>
        <w:tc>
          <w:tcPr>
            <w:tcW w:w="446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Operating expenses</w:t>
            </w:r>
          </w:p>
        </w:tc>
        <w:tc>
          <w:tcPr>
            <w:tcW w:w="132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278.0</w:t>
            </w:r>
          </w:p>
        </w:tc>
        <w:tc>
          <w:tcPr>
            <w:tcW w:w="26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276.5</w:t>
            </w:r>
          </w:p>
        </w:tc>
        <w:tc>
          <w:tcPr>
            <w:tcW w:w="260" w:type="dxa"/>
            <w:vAlign w:val="bottom"/>
            <w:tcBorders>
              <w:bottom w:val="single" w:sz="8" w:color="CCEEFF"/>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561.4</w:t>
            </w:r>
          </w:p>
        </w:tc>
        <w:tc>
          <w:tcPr>
            <w:tcW w:w="26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525.6</w:t>
            </w:r>
          </w:p>
        </w:tc>
        <w:tc>
          <w:tcPr>
            <w:tcW w:w="60" w:type="dxa"/>
            <w:vAlign w:val="bottom"/>
            <w:tcBorders>
              <w:bottom w:val="single" w:sz="8" w:color="CCEEFF"/>
            </w:tcBorders>
          </w:tcPr>
          <w:p>
            <w:pPr>
              <w:spacing w:after="0"/>
              <w:rPr>
                <w:sz w:val="18"/>
                <w:szCs w:val="18"/>
                <w:color w:val="auto"/>
              </w:rPr>
            </w:pPr>
          </w:p>
        </w:tc>
      </w:tr>
      <w:tr>
        <w:trPr>
          <w:trHeight w:val="210"/>
        </w:trPr>
        <w:tc>
          <w:tcPr>
            <w:tcW w:w="44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expenses</w:t>
            </w:r>
          </w:p>
        </w:tc>
        <w:tc>
          <w:tcPr>
            <w:tcW w:w="13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1,084.6</w:t>
            </w:r>
          </w:p>
        </w:tc>
        <w:tc>
          <w:tcPr>
            <w:tcW w:w="26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974.2</w:t>
            </w:r>
          </w:p>
        </w:tc>
        <w:tc>
          <w:tcPr>
            <w:tcW w:w="26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2,138.2</w:t>
            </w:r>
          </w:p>
        </w:tc>
        <w:tc>
          <w:tcPr>
            <w:tcW w:w="26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1,938.2</w:t>
            </w:r>
          </w:p>
        </w:tc>
        <w:tc>
          <w:tcPr>
            <w:tcW w:w="60" w:type="dxa"/>
            <w:vAlign w:val="bottom"/>
            <w:shd w:val="clear" w:color="auto" w:fill="CCEEFF"/>
          </w:tcPr>
          <w:p>
            <w:pPr>
              <w:spacing w:after="0"/>
              <w:rPr>
                <w:sz w:val="18"/>
                <w:szCs w:val="18"/>
                <w:color w:val="auto"/>
              </w:rPr>
            </w:pPr>
          </w:p>
        </w:tc>
      </w:tr>
      <w:tr>
        <w:trPr>
          <w:trHeight w:val="228"/>
        </w:trPr>
        <w:tc>
          <w:tcPr>
            <w:tcW w:w="4460" w:type="dxa"/>
            <w:vAlign w:val="bottom"/>
          </w:tcPr>
          <w:p>
            <w:pPr>
              <w:spacing w:after="0"/>
              <w:rPr>
                <w:sz w:val="20"/>
                <w:szCs w:val="20"/>
                <w:color w:val="auto"/>
              </w:rPr>
            </w:pPr>
            <w:r>
              <w:rPr>
                <w:rFonts w:ascii="Arial" w:cs="Arial" w:eastAsia="Arial" w:hAnsi="Arial"/>
                <w:sz w:val="18"/>
                <w:szCs w:val="18"/>
                <w:color w:val="auto"/>
              </w:rPr>
              <w:t>Operating earnings before income taxes</w:t>
            </w:r>
          </w:p>
        </w:tc>
        <w:tc>
          <w:tcPr>
            <w:tcW w:w="13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98.5</w:t>
            </w:r>
          </w:p>
        </w:tc>
        <w:tc>
          <w:tcPr>
            <w:tcW w:w="2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115.3</w:t>
            </w:r>
          </w:p>
        </w:tc>
        <w:tc>
          <w:tcPr>
            <w:tcW w:w="2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204.5</w:t>
            </w:r>
          </w:p>
        </w:tc>
        <w:tc>
          <w:tcPr>
            <w:tcW w:w="2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219.9</w:t>
            </w:r>
          </w:p>
        </w:tc>
        <w:tc>
          <w:tcPr>
            <w:tcW w:w="60" w:type="dxa"/>
            <w:vAlign w:val="bottom"/>
          </w:tcPr>
          <w:p>
            <w:pPr>
              <w:spacing w:after="0"/>
              <w:rPr>
                <w:sz w:val="19"/>
                <w:szCs w:val="19"/>
                <w:color w:val="auto"/>
              </w:rPr>
            </w:pPr>
          </w:p>
        </w:tc>
      </w:tr>
    </w:tbl>
    <w:p>
      <w:pPr>
        <w:sectPr>
          <w:pgSz w:w="11900" w:h="16838" w:orient="portrait"/>
          <w:cols w:equalWidth="0" w:num="1">
            <w:col w:w="11420"/>
          </w:cols>
          <w:pgMar w:left="240" w:top="125" w:right="239" w:bottom="0" w:gutter="0" w:footer="0" w:header="0"/>
        </w:sectPr>
      </w:pPr>
    </w:p>
    <w:bookmarkStart w:id="39" w:name="page40"/>
    <w:bookmarkEnd w:id="3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Income taxes</w:t>
            </w:r>
          </w:p>
        </w:tc>
        <w:tc>
          <w:tcPr>
            <w:tcW w:w="840" w:type="dxa"/>
            <w:vAlign w:val="bottom"/>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33.3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39.0</w:t>
            </w:r>
          </w:p>
        </w:tc>
        <w:tc>
          <w:tcPr>
            <w:tcW w:w="260" w:type="dxa"/>
            <w:vAlign w:val="bottom"/>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68.9</w:t>
            </w:r>
          </w:p>
        </w:tc>
        <w:tc>
          <w:tcPr>
            <w:tcW w:w="260" w:type="dxa"/>
            <w:vAlign w:val="bottom"/>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74.1</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920" w:type="dxa"/>
            <w:vAlign w:val="bottom"/>
          </w:tcPr>
          <w:p>
            <w:pPr>
              <w:spacing w:after="0"/>
              <w:rPr>
                <w:sz w:val="20"/>
                <w:szCs w:val="20"/>
                <w:color w:val="auto"/>
              </w:rPr>
            </w:pPr>
            <w:r>
              <w:rPr>
                <w:rFonts w:ascii="Arial" w:cs="Arial" w:eastAsia="Arial" w:hAnsi="Arial"/>
                <w:sz w:val="18"/>
                <w:szCs w:val="18"/>
                <w:color w:val="auto"/>
              </w:rPr>
              <w:t>Operating earnings</w:t>
            </w:r>
          </w:p>
        </w:tc>
        <w:tc>
          <w:tcPr>
            <w:tcW w:w="8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65.2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76.3</w:t>
            </w: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135.6</w:t>
            </w: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145.8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Net realized/unrealized capital gains (losses), as adjusted</w:t>
            </w:r>
          </w:p>
        </w:tc>
        <w:tc>
          <w:tcPr>
            <w:tcW w:w="8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(5.2)</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2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(5.0)</w:t>
            </w:r>
          </w:p>
        </w:tc>
        <w:tc>
          <w:tcPr>
            <w:tcW w:w="4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9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U.S. GAAP Reported:</w:t>
            </w:r>
          </w:p>
        </w:tc>
        <w:tc>
          <w:tcPr>
            <w:tcW w:w="8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20" w:type="dxa"/>
            <w:vAlign w:val="bottom"/>
          </w:tcPr>
          <w:p>
            <w:pPr>
              <w:spacing w:after="0"/>
              <w:rPr>
                <w:sz w:val="20"/>
                <w:szCs w:val="20"/>
                <w:color w:val="auto"/>
              </w:rPr>
            </w:pPr>
            <w:r>
              <w:rPr>
                <w:rFonts w:ascii="Arial" w:cs="Arial" w:eastAsia="Arial" w:hAnsi="Arial"/>
                <w:sz w:val="18"/>
                <w:szCs w:val="18"/>
                <w:color w:val="auto"/>
              </w:rPr>
              <w:t>Net income available to common stockholders</w:t>
            </w:r>
          </w:p>
        </w:tc>
        <w:tc>
          <w:tcPr>
            <w:tcW w:w="1320" w:type="dxa"/>
            <w:vAlign w:val="bottom"/>
            <w:gridSpan w:val="2"/>
          </w:tcPr>
          <w:p>
            <w:pPr>
              <w:jc w:val="right"/>
              <w:ind w:right="380"/>
              <w:spacing w:after="0"/>
              <w:rPr>
                <w:sz w:val="20"/>
                <w:szCs w:val="20"/>
                <w:color w:val="auto"/>
              </w:rPr>
            </w:pPr>
            <w:r>
              <w:rPr>
                <w:rFonts w:ascii="Arial" w:cs="Arial" w:eastAsia="Arial" w:hAnsi="Arial"/>
                <w:sz w:val="18"/>
                <w:szCs w:val="18"/>
                <w:b w:val="1"/>
                <w:bCs w:val="1"/>
                <w:color w:val="auto"/>
              </w:rPr>
              <w:t>$</w:t>
            </w: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rPr>
              <w:t>60.0</w:t>
            </w:r>
          </w:p>
        </w:tc>
        <w:tc>
          <w:tcPr>
            <w:tcW w:w="160" w:type="dxa"/>
            <w:vAlign w:val="bottom"/>
          </w:tcPr>
          <w:p>
            <w:pPr>
              <w:spacing w:after="0"/>
              <w:rPr>
                <w:sz w:val="18"/>
                <w:szCs w:val="18"/>
                <w:color w:val="auto"/>
              </w:rPr>
            </w:pPr>
          </w:p>
        </w:tc>
        <w:tc>
          <w:tcPr>
            <w:tcW w:w="5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77.5</w:t>
            </w:r>
          </w:p>
        </w:tc>
        <w:tc>
          <w:tcPr>
            <w:tcW w:w="70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rPr>
              <w:t>$</w:t>
            </w: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130.6</w:t>
            </w:r>
          </w:p>
        </w:tc>
        <w:tc>
          <w:tcPr>
            <w:tcW w:w="260" w:type="dxa"/>
            <w:vAlign w:val="bottom"/>
          </w:tcPr>
          <w:p>
            <w:pPr>
              <w:spacing w:after="0"/>
              <w:rPr>
                <w:sz w:val="18"/>
                <w:szCs w:val="18"/>
                <w:color w:val="auto"/>
              </w:rPr>
            </w:pPr>
          </w:p>
        </w:tc>
        <w:tc>
          <w:tcPr>
            <w:tcW w:w="440" w:type="dxa"/>
            <w:vAlign w:val="bottom"/>
          </w:tcPr>
          <w:p>
            <w:pPr>
              <w:jc w:val="right"/>
              <w:ind w:right="250"/>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146.3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171450</wp:posOffset>
            </wp:positionV>
            <wp:extent cx="138938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357" w:lineRule="exact"/>
        <w:rPr>
          <w:sz w:val="20"/>
          <w:szCs w:val="20"/>
          <w:color w:val="auto"/>
        </w:rPr>
      </w:pPr>
    </w:p>
    <w:p>
      <w:pPr>
        <w:ind w:left="600" w:hanging="592"/>
        <w:spacing w:after="0"/>
        <w:tabs>
          <w:tab w:leader="none" w:pos="6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Excludes net realized/unrealized capital gains (losses).</w:t>
      </w:r>
    </w:p>
    <w:p>
      <w:pPr>
        <w:spacing w:after="0" w:line="225"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Three Months Ended June 30, 2006 Compared to Three Months Ended June 30, 2005</w:t>
      </w:r>
    </w:p>
    <w:p>
      <w:pPr>
        <w:spacing w:after="0" w:line="225" w:lineRule="exact"/>
        <w:rPr>
          <w:sz w:val="20"/>
          <w:szCs w:val="20"/>
          <w:color w:val="auto"/>
        </w:rPr>
      </w:pPr>
    </w:p>
    <w:p>
      <w:pPr>
        <w:ind w:right="40" w:firstLine="648"/>
        <w:spacing w:after="0" w:line="312" w:lineRule="auto"/>
        <w:rPr>
          <w:sz w:val="20"/>
          <w:szCs w:val="20"/>
          <w:color w:val="auto"/>
        </w:rPr>
      </w:pPr>
      <w:r>
        <w:rPr>
          <w:rFonts w:ascii="Arial" w:cs="Arial" w:eastAsia="Arial" w:hAnsi="Arial"/>
          <w:sz w:val="16"/>
          <w:szCs w:val="16"/>
          <w:color w:val="auto"/>
        </w:rPr>
        <w:t>Premiums and other considerations increased $90.8 million, or 11%, to $900.1 million for the three months ended June 30, 2006, from $809.3 million for the three months ended June 30, 2005. Health insurance premiums increased $52.2 million, primarily from increased covered medical members and improved retention. In addition, specialty benefits insurance premiums increased $45.3 million, primarily due to strong sales and stable retention.</w:t>
      </w:r>
    </w:p>
    <w:p>
      <w:pPr>
        <w:spacing w:after="0" w:line="147" w:lineRule="exact"/>
        <w:rPr>
          <w:sz w:val="20"/>
          <w:szCs w:val="20"/>
          <w:color w:val="auto"/>
        </w:rPr>
      </w:pPr>
    </w:p>
    <w:p>
      <w:pPr>
        <w:ind w:right="120" w:firstLine="648"/>
        <w:spacing w:after="0" w:line="276" w:lineRule="auto"/>
        <w:rPr>
          <w:sz w:val="20"/>
          <w:szCs w:val="20"/>
          <w:color w:val="auto"/>
        </w:rPr>
      </w:pPr>
      <w:r>
        <w:rPr>
          <w:rFonts w:ascii="Arial" w:cs="Arial" w:eastAsia="Arial" w:hAnsi="Arial"/>
          <w:sz w:val="17"/>
          <w:szCs w:val="17"/>
          <w:color w:val="auto"/>
        </w:rPr>
        <w:t>Fees and other revenues increased $0.8 million, or 1%, to $111.5 million for the three months ended June 30, 2006, from $110.7 million for the three months ended June 30, 2005. Fee revenues from our individual life insurance business increased $2.5 million, primarily due to growth in our fee-based universal and variable universal life insurance business. Partially offsetting this increase was a $1.4 million decrease in fee revenues from our health insurance business primarily due to a decrease in fee-for-service medical members. In addition, specialty benefits insurance fee revenues decreased $0.3 million, primarily due to lower cost-of-insurance fees in the group universal life insurance business.</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240" w:firstLine="648"/>
        <w:spacing w:after="0" w:line="302" w:lineRule="auto"/>
        <w:rPr>
          <w:sz w:val="20"/>
          <w:szCs w:val="20"/>
          <w:color w:val="auto"/>
        </w:rPr>
      </w:pPr>
      <w:r>
        <w:rPr>
          <w:rFonts w:ascii="Arial" w:cs="Arial" w:eastAsia="Arial" w:hAnsi="Arial"/>
          <w:sz w:val="16"/>
          <w:szCs w:val="16"/>
          <w:color w:val="auto"/>
        </w:rPr>
        <w:t>Net investment income increased $2.0 million, or 1%, to $171.5 million for the three months ended June 30, 2006, from $169.5 million for the three months ended June 30, 2005. The increase primarily relates to an increase in the average annualized yield on invested assets and cash. The average annualized yield on invested assets and cash was 6.4% for the three months ended June 30, 2006, compared to 6.3% for the three months ended June 30, 2005. Partially offsetting the increase was a $123.9 million, or 1%, decrease in average invested assets and cash for the segment.</w:t>
      </w:r>
    </w:p>
    <w:p>
      <w:pPr>
        <w:spacing w:after="0" w:line="154" w:lineRule="exact"/>
        <w:rPr>
          <w:sz w:val="20"/>
          <w:szCs w:val="20"/>
          <w:color w:val="auto"/>
        </w:rPr>
      </w:pPr>
    </w:p>
    <w:p>
      <w:pPr>
        <w:ind w:left="660"/>
        <w:spacing w:after="0"/>
        <w:rPr>
          <w:sz w:val="20"/>
          <w:szCs w:val="20"/>
          <w:color w:val="auto"/>
        </w:rPr>
      </w:pPr>
      <w:r>
        <w:rPr>
          <w:rFonts w:ascii="Arial" w:cs="Arial" w:eastAsia="Arial" w:hAnsi="Arial"/>
          <w:sz w:val="17"/>
          <w:szCs w:val="17"/>
          <w:color w:val="auto"/>
        </w:rPr>
        <w:t>Benefits, claims and settlement expenses increased $107.2 million, or 17%, to $733.6 million for the three months ended June 30, 2006, from</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$626.4 million for the three months ended June 30, 2005. Health insurance benefits, claims and settlement expenses increased $56.6 million primarily due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increased medical covered members and higher claim costs per member. Despite lower loss ratios, specialty benefits insurance benefits, claims and settlement</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expenses increased $26.9 million, primarily due to an increase in insured members. In addition, individual life insurance benefits, claims, and settlement</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expenses increased $23.7 million primarily the result of methodology improvements related to reinsurance values in 2005 and increased death benefit costs in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2006.</w:t>
      </w:r>
    </w:p>
    <w:p>
      <w:pPr>
        <w:spacing w:after="0" w:line="211" w:lineRule="exact"/>
        <w:rPr>
          <w:sz w:val="20"/>
          <w:szCs w:val="20"/>
          <w:color w:val="auto"/>
        </w:rPr>
      </w:pPr>
    </w:p>
    <w:p>
      <w:pPr>
        <w:ind w:right="260" w:firstLine="648"/>
        <w:spacing w:after="0" w:line="308" w:lineRule="auto"/>
        <w:rPr>
          <w:sz w:val="20"/>
          <w:szCs w:val="20"/>
          <w:color w:val="auto"/>
        </w:rPr>
      </w:pPr>
      <w:r>
        <w:rPr>
          <w:rFonts w:ascii="Arial" w:cs="Arial" w:eastAsia="Arial" w:hAnsi="Arial"/>
          <w:sz w:val="17"/>
          <w:szCs w:val="17"/>
          <w:color w:val="auto"/>
        </w:rPr>
        <w:t>Dividends to policyholders increased $1.7 million, or 2%, to $73.0 million for the three months ended June 30, 2006, from $71.3 million for the three months ended June 30, 2005. The increase is primarily related to an increase in the individual life insurance dividend crediting rates.</w:t>
      </w:r>
    </w:p>
    <w:p>
      <w:pPr>
        <w:spacing w:after="0" w:line="147" w:lineRule="exact"/>
        <w:rPr>
          <w:sz w:val="20"/>
          <w:szCs w:val="20"/>
          <w:color w:val="auto"/>
        </w:rPr>
      </w:pPr>
    </w:p>
    <w:p>
      <w:pPr>
        <w:ind w:right="40" w:firstLine="648"/>
        <w:spacing w:after="0" w:line="302" w:lineRule="auto"/>
        <w:rPr>
          <w:sz w:val="20"/>
          <w:szCs w:val="20"/>
          <w:color w:val="auto"/>
        </w:rPr>
      </w:pPr>
      <w:r>
        <w:rPr>
          <w:rFonts w:ascii="Arial" w:cs="Arial" w:eastAsia="Arial" w:hAnsi="Arial"/>
          <w:sz w:val="16"/>
          <w:szCs w:val="16"/>
          <w:color w:val="auto"/>
        </w:rPr>
        <w:t>Operating expenses increased $1.5 million, or 1%, to $278.0 million for the three months ended June 30, 2006, from $276.5 million for the three months ended June 30, 2005. Specialty benefits insurance operating expenses increased $11.2 million due to growth in the business. Health insurance operating expenses increased $4.8 million, primarily due to growth in the insured medical business. Partially offsetting the increases was a $14.5 million decrease in individual life insurance operating expenses due to lower non-deferred sales related expenses and lower DPAC amortization related to higher claims expense.</w:t>
      </w:r>
    </w:p>
    <w:p>
      <w:pPr>
        <w:spacing w:after="0" w:line="154" w:lineRule="exact"/>
        <w:rPr>
          <w:sz w:val="20"/>
          <w:szCs w:val="20"/>
          <w:color w:val="auto"/>
        </w:rPr>
      </w:pPr>
    </w:p>
    <w:p>
      <w:pPr>
        <w:jc w:val="both"/>
        <w:ind w:right="80" w:firstLine="648"/>
        <w:spacing w:after="0" w:line="340" w:lineRule="auto"/>
        <w:rPr>
          <w:sz w:val="20"/>
          <w:szCs w:val="20"/>
          <w:color w:val="auto"/>
        </w:rPr>
      </w:pPr>
      <w:r>
        <w:rPr>
          <w:rFonts w:ascii="Arial" w:cs="Arial" w:eastAsia="Arial" w:hAnsi="Arial"/>
          <w:sz w:val="15"/>
          <w:szCs w:val="15"/>
          <w:color w:val="auto"/>
        </w:rPr>
        <w:t>Income taxes decreased $5.7 million, or 15%, to $33.3 million for the three months ended June 30, 2006, from $39.0 million for the three months ended June 30, 2005. The effective income tax rate for the segment was 34% for the three months ended June 30, 2006 and 2005. The effective income tax rates for the three months ended June 30, 2006 and 2005, were lower than the corporate income tax rate of 35% primarily due to the interest exclusion from taxable income.</w:t>
      </w:r>
    </w:p>
    <w:p>
      <w:pPr>
        <w:spacing w:after="0" w:line="131"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As a result of the foregoing factors, operating earnings decreased $11.1 million, or 15%, to $65.2 million for the three months ended June 30, 2006, from $76.3 million for the three months ended June 30, 2005.</w:t>
      </w:r>
    </w:p>
    <w:p>
      <w:pPr>
        <w:spacing w:after="0" w:line="170"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Net realized/unrealized capital losses, as adjusted, increased $6.4 million to $5.2 million of net realized/unrealized capital losses for the three months ended June 30, 2006, from $1.2 million of net realized/unrealized capital gains for the three months ended June 30, 2005. The increase was primarily due to the non-recurrence of a large recovery of previously impaired securities received in 2005 as the result of a litigation settlement and increased impairments in 2006 as the result of a change in our ability and intent to hold certain fixed maturity securities until recovery due to the need to fund our recently announced acquisition of WM Advisors. The increases were partially offset by a software impairment in 2005 with no corresponding activity in 2006, gains versus losses on the sale of fixed maturity securities, and more recoveries on commercial mortgage loans.</w:t>
      </w:r>
    </w:p>
    <w:p>
      <w:pPr>
        <w:spacing w:after="0" w:line="178"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As a result of the foregoing factors, net income available to common stockholders decreased $17.5 million, or 23%, to $60.0 million for the three months ended June 30, 2006, from $77.5 million for the three months ended June 30, 2005.</w:t>
      </w:r>
    </w:p>
    <w:p>
      <w:pPr>
        <w:spacing w:after="0" w:line="170"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Six Months Ended June 30, 2006 Compared to Six Months Ended June 30, 2005</w:t>
      </w:r>
    </w:p>
    <w:p>
      <w:pPr>
        <w:spacing w:after="0" w:line="225" w:lineRule="exact"/>
        <w:rPr>
          <w:sz w:val="20"/>
          <w:szCs w:val="20"/>
          <w:color w:val="auto"/>
        </w:rPr>
      </w:pPr>
    </w:p>
    <w:p>
      <w:pPr>
        <w:ind w:right="40" w:firstLine="648"/>
        <w:spacing w:after="0" w:line="286" w:lineRule="auto"/>
        <w:rPr>
          <w:sz w:val="20"/>
          <w:szCs w:val="20"/>
          <w:color w:val="auto"/>
        </w:rPr>
      </w:pPr>
      <w:r>
        <w:rPr>
          <w:rFonts w:ascii="Arial" w:cs="Arial" w:eastAsia="Arial" w:hAnsi="Arial"/>
          <w:sz w:val="17"/>
          <w:szCs w:val="17"/>
          <w:color w:val="auto"/>
        </w:rPr>
        <w:t>Premiums and other considerations increased $171.6 million, or 11%, to $1,773.0 million for the six months ended June 30, 2006, from $1,601.4 million for the six months ended June 30, 2005. Health insurance premiums increased $97.2 million, primarily from strong sales and improved retention. In addition, specialty benefits insurance premiums increased $91.6 million, primarily due to strong sales and steady retention.</w:t>
      </w:r>
    </w:p>
    <w:p>
      <w:pPr>
        <w:spacing w:after="0" w:line="166"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Fees and other revenues increased $2.2 million, or 1%, to $224.8 million for the six months ended June 30, 2006, from $222.6 million for the six months ended June 30, 2005. Fee revenues from our individual life insurance business increased $3.4 million, primarily due to growth in our fee-based universal and variable universal life insurance business. Partially offsetting this increase was a $1.0 million decrease in fee revenues from our health insurance business primarily due to a decrease in fee-for-service medical members.</w:t>
      </w:r>
    </w:p>
    <w:p>
      <w:pPr>
        <w:sectPr>
          <w:pgSz w:w="11900" w:h="16838" w:orient="portrait"/>
          <w:cols w:equalWidth="0" w:num="1">
            <w:col w:w="11420"/>
          </w:cols>
          <w:pgMar w:left="240" w:top="140" w:right="239" w:bottom="0" w:gutter="0" w:footer="0" w:header="0"/>
        </w:sectPr>
      </w:pPr>
    </w:p>
    <w:bookmarkStart w:id="40" w:name="page41"/>
    <w:bookmarkEnd w:id="40"/>
    <w:p>
      <w:pPr>
        <w:jc w:val="center"/>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200" w:firstLine="648"/>
        <w:spacing w:after="0" w:line="279" w:lineRule="auto"/>
        <w:rPr>
          <w:sz w:val="20"/>
          <w:szCs w:val="20"/>
          <w:color w:val="auto"/>
        </w:rPr>
      </w:pPr>
      <w:r>
        <w:rPr>
          <w:rFonts w:ascii="Arial" w:cs="Arial" w:eastAsia="Arial" w:hAnsi="Arial"/>
          <w:sz w:val="17"/>
          <w:szCs w:val="17"/>
          <w:color w:val="auto"/>
        </w:rPr>
        <w:t>Net investment income increased $10.8 million, or 3%, to $344.9 million for the six months ended June 30, 2006, from $334.1 million for the six months ended June 30, 2005. The increase primarily relates to an increase in the average annualized yield on invested assets and cash. The average annualized yield on invested assets and cash was 6.4% for the six months ended June 30, 2006, compared to 6.2% for the six months ended June 30, 2005. Partially offsetting the increase was a $28.3 million decrease in average invested assets and cash for the segment.</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7"/>
          <w:szCs w:val="17"/>
          <w:color w:val="auto"/>
        </w:rPr>
        <w:t>Benefits, claims and settlement expenses increased $162.5 million, or 13%, to $1,431.9 million for the six months ended June 30, 2006, from</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$1,269.4 million for the six months ended June 30, 2005. Health insurance benefits, claims and settlement expenses increased $93.3 million primarily due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growth in the business and higher claim costs per member. Despite lower loss ratios, specialty benefits insurance benefits, claims and settlement expenses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increased $52.0 million, primarily due to an increase in insured members.</w:t>
      </w:r>
    </w:p>
    <w:p>
      <w:pPr>
        <w:spacing w:after="0" w:line="211" w:lineRule="exact"/>
        <w:rPr>
          <w:sz w:val="20"/>
          <w:szCs w:val="20"/>
          <w:color w:val="auto"/>
        </w:rPr>
      </w:pPr>
    </w:p>
    <w:p>
      <w:pPr>
        <w:ind w:right="380" w:firstLine="648"/>
        <w:spacing w:after="0" w:line="308" w:lineRule="auto"/>
        <w:rPr>
          <w:sz w:val="20"/>
          <w:szCs w:val="20"/>
          <w:color w:val="auto"/>
        </w:rPr>
      </w:pPr>
      <w:r>
        <w:rPr>
          <w:rFonts w:ascii="Arial" w:cs="Arial" w:eastAsia="Arial" w:hAnsi="Arial"/>
          <w:sz w:val="17"/>
          <w:szCs w:val="17"/>
          <w:color w:val="auto"/>
        </w:rPr>
        <w:t>Dividends to policyholders increased $1.7 million, or 1%, to $144.9 million for the six months ended June 30, 2006, from $143.2 million for the six months ended June 30, 2005. The increase is primarily related to an increase in the individual life insurance dividend crediting rates.</w:t>
      </w:r>
    </w:p>
    <w:p>
      <w:pPr>
        <w:spacing w:after="0" w:line="147"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Operating expenses increased $35.8 million, or 7%, to $561.4 million for the six months ended June 30, 2006, from $525.6 million for the six months ended June 30, 2005. Specialty benefits insurance operating expenses increased $25.8 million due to growth in the business. Health insurance operating expenses increased $17.7 million, primarily due to growth in the insured medical business. Partially offsetting the increases was a $7.7 million decrease in individual life insurance operating expenses due to lower non-deferred sales related expenses.</w:t>
      </w:r>
    </w:p>
    <w:p>
      <w:pPr>
        <w:spacing w:after="0" w:line="187" w:lineRule="exact"/>
        <w:rPr>
          <w:sz w:val="20"/>
          <w:szCs w:val="20"/>
          <w:color w:val="auto"/>
        </w:rPr>
      </w:pPr>
    </w:p>
    <w:p>
      <w:pPr>
        <w:ind w:right="100" w:firstLine="648"/>
        <w:spacing w:after="0" w:line="312" w:lineRule="auto"/>
        <w:rPr>
          <w:sz w:val="20"/>
          <w:szCs w:val="20"/>
          <w:color w:val="auto"/>
        </w:rPr>
      </w:pPr>
      <w:r>
        <w:rPr>
          <w:rFonts w:ascii="Arial" w:cs="Arial" w:eastAsia="Arial" w:hAnsi="Arial"/>
          <w:sz w:val="16"/>
          <w:szCs w:val="16"/>
          <w:color w:val="auto"/>
        </w:rPr>
        <w:t>Income taxes decreased $5.2 million, or 7%, to $68.9 million for the six months ended June 30, 2006, from $74.1 million for the six months ended June 30, 2005. The effective income tax rate for the segment was 34% for the six months ended June 30, 2006 and 2005. The effective income tax rates for the six months ended June 30, 2006 and 2005, were lower than the corporate income tax rate of 35% primarily due to the interest exclusion from taxable income.</w:t>
      </w:r>
    </w:p>
    <w:p>
      <w:pPr>
        <w:spacing w:after="0" w:line="147"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As a result of the foregoing factors, operating earnings decreased $10.2 million, or 7%, to $135.6 million for the six months ended June 30, 2006, from $145.8 million for the six months ended June 30, 2005.</w:t>
      </w:r>
    </w:p>
    <w:p>
      <w:pPr>
        <w:spacing w:after="0" w:line="170"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Net realized/unrealized capital losses, as adjusted, increased $5.5 million to $5.0 million of net realized/unrealized capital losses for the six months ended June 30, 2006, from $0.5 million of net realized/unrealized capital gains for the six months ended June 30, 2005. The increase was primarily due to the non-recurrence of a large recovery of previously impaired securities received in 2005 as the result of a litigation settlement and increased impairments in 2006 as the result of a change in our ability and intent to hold certain fixed maturity securities until recovery due to the need to fund our recently announced acquisition of WM Advisors. These increases were partially offset by gains versus losses on the sale of fixed maturity securities, a software impairment in 2005 with no corresponding activity in 2006, and more recoveries on commercial mortgage loans.</w:t>
      </w:r>
    </w:p>
    <w:p>
      <w:pPr>
        <w:spacing w:after="0" w:line="178" w:lineRule="exact"/>
        <w:rPr>
          <w:sz w:val="20"/>
          <w:szCs w:val="20"/>
          <w:color w:val="auto"/>
        </w:rPr>
      </w:pPr>
    </w:p>
    <w:p>
      <w:pPr>
        <w:ind w:right="80" w:firstLine="630"/>
        <w:spacing w:after="0" w:line="277" w:lineRule="auto"/>
        <w:rPr>
          <w:sz w:val="20"/>
          <w:szCs w:val="20"/>
          <w:color w:val="auto"/>
        </w:rPr>
      </w:pPr>
      <w:r>
        <w:rPr>
          <w:rFonts w:ascii="Arial" w:cs="Arial" w:eastAsia="Arial" w:hAnsi="Arial"/>
          <w:sz w:val="18"/>
          <w:szCs w:val="18"/>
          <w:color w:val="auto"/>
        </w:rPr>
        <w:t>As a result of the foregoing factors, net income available to common stockholders decreased $15.7 million, or 11%, to $130.6 million for the six months ended June 30, 2006, from $146.3 million for the six months ended June 30, 2005.</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and Other Segment</w:t>
      </w:r>
    </w:p>
    <w:p>
      <w:pPr>
        <w:spacing w:after="0" w:line="229"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Corporate and Other Segment Summary Financial Data</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certain summary financial data relating to the Corporate and Other segment for the periods indicated:</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440" w:type="dxa"/>
            <w:vAlign w:val="bottom"/>
          </w:tcPr>
          <w:p>
            <w:pPr>
              <w:spacing w:after="0"/>
              <w:rPr>
                <w:sz w:val="14"/>
                <w:szCs w:val="14"/>
                <w:color w:val="auto"/>
              </w:rPr>
            </w:pPr>
          </w:p>
        </w:tc>
        <w:tc>
          <w:tcPr>
            <w:tcW w:w="2340" w:type="dxa"/>
            <w:vAlign w:val="bottom"/>
            <w:gridSpan w:val="5"/>
          </w:tcPr>
          <w:p>
            <w:pPr>
              <w:jc w:val="right"/>
              <w:ind w:right="100"/>
              <w:spacing w:after="0"/>
              <w:rPr>
                <w:sz w:val="20"/>
                <w:szCs w:val="20"/>
                <w:color w:val="auto"/>
              </w:rPr>
            </w:pPr>
            <w:r>
              <w:rPr>
                <w:rFonts w:ascii="Arial" w:cs="Arial" w:eastAsia="Arial" w:hAnsi="Arial"/>
                <w:sz w:val="14"/>
                <w:szCs w:val="14"/>
                <w:b w:val="1"/>
                <w:bCs w:val="1"/>
                <w:color w:val="auto"/>
              </w:rPr>
              <w:t>For the three months ended</w:t>
            </w:r>
          </w:p>
        </w:tc>
        <w:tc>
          <w:tcPr>
            <w:tcW w:w="4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540" w:type="dxa"/>
            <w:vAlign w:val="bottom"/>
            <w:gridSpan w:val="5"/>
          </w:tcPr>
          <w:p>
            <w:pPr>
              <w:jc w:val="right"/>
              <w:ind w:right="740"/>
              <w:spacing w:after="0"/>
              <w:rPr>
                <w:sz w:val="20"/>
                <w:szCs w:val="20"/>
                <w:color w:val="auto"/>
              </w:rPr>
            </w:pPr>
            <w:r>
              <w:rPr>
                <w:rFonts w:ascii="Arial" w:cs="Arial" w:eastAsia="Arial" w:hAnsi="Arial"/>
                <w:sz w:val="14"/>
                <w:szCs w:val="14"/>
                <w:b w:val="1"/>
                <w:bCs w:val="1"/>
                <w:color w:val="auto"/>
              </w:rPr>
              <w:t>For the six months ended</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5440" w:type="dxa"/>
            <w:vAlign w:val="bottom"/>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gridSpan w:val="4"/>
          </w:tcPr>
          <w:p>
            <w:pPr>
              <w:jc w:val="right"/>
              <w:ind w:right="700"/>
              <w:spacing w:after="0"/>
              <w:rPr>
                <w:sz w:val="20"/>
                <w:szCs w:val="20"/>
                <w:color w:val="auto"/>
              </w:rPr>
            </w:pPr>
            <w:r>
              <w:rPr>
                <w:rFonts w:ascii="Arial" w:cs="Arial" w:eastAsia="Arial" w:hAnsi="Arial"/>
                <w:sz w:val="14"/>
                <w:szCs w:val="14"/>
                <w:b w:val="1"/>
                <w:bCs w:val="1"/>
                <w:color w:val="auto"/>
              </w:rPr>
              <w:t>June 30,</w:t>
            </w:r>
          </w:p>
        </w:tc>
        <w:tc>
          <w:tcPr>
            <w:tcW w:w="44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3"/>
          </w:tcPr>
          <w:p>
            <w:pPr>
              <w:jc w:val="right"/>
              <w:ind w:right="105"/>
              <w:spacing w:after="0"/>
              <w:rPr>
                <w:sz w:val="20"/>
                <w:szCs w:val="20"/>
                <w:color w:val="auto"/>
              </w:rPr>
            </w:pPr>
            <w:r>
              <w:rPr>
                <w:rFonts w:ascii="Arial" w:cs="Arial" w:eastAsia="Arial" w:hAnsi="Arial"/>
                <w:sz w:val="14"/>
                <w:szCs w:val="14"/>
                <w:b w:val="1"/>
                <w:bCs w:val="1"/>
                <w:color w:val="auto"/>
              </w:rPr>
              <w:t>June 30,</w:t>
            </w:r>
          </w:p>
        </w:tc>
        <w:tc>
          <w:tcPr>
            <w:tcW w:w="9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440" w:type="dxa"/>
            <w:vAlign w:val="bottom"/>
          </w:tcPr>
          <w:p>
            <w:pPr>
              <w:spacing w:after="0"/>
              <w:rPr>
                <w:sz w:val="11"/>
                <w:szCs w:val="11"/>
                <w:color w:val="auto"/>
              </w:rPr>
            </w:pPr>
          </w:p>
        </w:tc>
        <w:tc>
          <w:tcPr>
            <w:tcW w:w="82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2006</w:t>
            </w:r>
          </w:p>
        </w:tc>
        <w:tc>
          <w:tcPr>
            <w:tcW w:w="44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920" w:type="dxa"/>
            <w:vAlign w:val="bottom"/>
            <w:tcBorders>
              <w:bottom w:val="single" w:sz="8" w:color="auto"/>
            </w:tcBorders>
            <w:gridSpan w:val="2"/>
          </w:tcPr>
          <w:p>
            <w:pPr>
              <w:jc w:val="right"/>
              <w:ind w:right="40"/>
              <w:spacing w:after="0" w:line="129" w:lineRule="exact"/>
              <w:rPr>
                <w:sz w:val="20"/>
                <w:szCs w:val="20"/>
                <w:color w:val="auto"/>
              </w:rPr>
            </w:pPr>
            <w:r>
              <w:rPr>
                <w:rFonts w:ascii="Arial" w:cs="Arial" w:eastAsia="Arial" w:hAnsi="Arial"/>
                <w:sz w:val="14"/>
                <w:szCs w:val="14"/>
                <w:b w:val="1"/>
                <w:bCs w:val="1"/>
                <w:color w:val="auto"/>
              </w:rPr>
              <w:t>2005</w:t>
            </w:r>
          </w:p>
        </w:tc>
        <w:tc>
          <w:tcPr>
            <w:tcW w:w="44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900" w:type="dxa"/>
            <w:vAlign w:val="bottom"/>
            <w:tcBorders>
              <w:bottom w:val="single" w:sz="8" w:color="auto"/>
            </w:tcBorders>
          </w:tcPr>
          <w:p>
            <w:pPr>
              <w:jc w:val="right"/>
              <w:ind w:right="414"/>
              <w:spacing w:after="0" w:line="129" w:lineRule="exact"/>
              <w:rPr>
                <w:sz w:val="20"/>
                <w:szCs w:val="20"/>
                <w:color w:val="auto"/>
              </w:rPr>
            </w:pPr>
            <w:r>
              <w:rPr>
                <w:rFonts w:ascii="Arial" w:cs="Arial" w:eastAsia="Arial" w:hAnsi="Arial"/>
                <w:sz w:val="14"/>
                <w:szCs w:val="14"/>
                <w:b w:val="1"/>
                <w:bCs w:val="1"/>
                <w:color w:val="auto"/>
              </w:rPr>
              <w:t>2006</w:t>
            </w:r>
          </w:p>
        </w:tc>
        <w:tc>
          <w:tcPr>
            <w:tcW w:w="28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960" w:type="dxa"/>
            <w:vAlign w:val="bottom"/>
            <w:tcBorders>
              <w:bottom w:val="single" w:sz="8" w:color="auto"/>
            </w:tcBorders>
          </w:tcPr>
          <w:p>
            <w:pPr>
              <w:jc w:val="right"/>
              <w:ind w:right="412"/>
              <w:spacing w:after="0" w:line="129" w:lineRule="exact"/>
              <w:rPr>
                <w:sz w:val="20"/>
                <w:szCs w:val="20"/>
                <w:color w:val="auto"/>
              </w:rPr>
            </w:pPr>
            <w:r>
              <w:rPr>
                <w:rFonts w:ascii="Arial" w:cs="Arial" w:eastAsia="Arial" w:hAnsi="Arial"/>
                <w:sz w:val="14"/>
                <w:szCs w:val="14"/>
                <w:b w:val="1"/>
                <w:bCs w:val="1"/>
                <w:color w:val="auto"/>
              </w:rPr>
              <w:t>2005</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4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gridSpan w:val="3"/>
          </w:tcPr>
          <w:p>
            <w:pPr>
              <w:jc w:val="right"/>
              <w:ind w:right="45"/>
              <w:spacing w:after="0" w:line="129" w:lineRule="exact"/>
              <w:rPr>
                <w:sz w:val="20"/>
                <w:szCs w:val="20"/>
                <w:color w:val="auto"/>
              </w:rPr>
            </w:pPr>
            <w:r>
              <w:rPr>
                <w:rFonts w:ascii="Arial" w:cs="Arial" w:eastAsia="Arial" w:hAnsi="Arial"/>
                <w:sz w:val="14"/>
                <w:szCs w:val="14"/>
                <w:b w:val="1"/>
                <w:bCs w:val="1"/>
                <w:color w:val="auto"/>
              </w:rPr>
              <w:t>(in millions)</w:t>
            </w:r>
          </w:p>
        </w:tc>
        <w:tc>
          <w:tcPr>
            <w:tcW w:w="9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Earnings Data:</w:t>
            </w:r>
          </w:p>
        </w:tc>
        <w:tc>
          <w:tcPr>
            <w:tcW w:w="8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tcPr>
          <w:p>
            <w:pPr>
              <w:spacing w:after="0"/>
              <w:rPr>
                <w:sz w:val="20"/>
                <w:szCs w:val="20"/>
                <w:color w:val="auto"/>
              </w:rPr>
            </w:pPr>
            <w:r>
              <w:rPr>
                <w:rFonts w:ascii="Arial" w:cs="Arial" w:eastAsia="Arial" w:hAnsi="Arial"/>
                <w:sz w:val="18"/>
                <w:szCs w:val="18"/>
                <w:color w:val="auto"/>
              </w:rPr>
              <w:t>Operating revenues(1):</w:t>
            </w:r>
          </w:p>
        </w:tc>
        <w:tc>
          <w:tcPr>
            <w:tcW w:w="8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Total operating revenues</w:t>
            </w:r>
          </w:p>
        </w:tc>
        <w:tc>
          <w:tcPr>
            <w:tcW w:w="820" w:type="dxa"/>
            <w:vAlign w:val="bottom"/>
            <w:shd w:val="clear" w:color="auto" w:fill="CCEEFF"/>
          </w:tcPr>
          <w:p>
            <w:pPr>
              <w:jc w:val="right"/>
              <w:ind w:right="639"/>
              <w:spacing w:after="0"/>
              <w:rPr>
                <w:sz w:val="20"/>
                <w:szCs w:val="20"/>
                <w:color w:val="auto"/>
              </w:rPr>
            </w:pPr>
            <w:r>
              <w:rPr>
                <w:rFonts w:ascii="Arial" w:cs="Arial" w:eastAsia="Arial" w:hAnsi="Arial"/>
                <w:sz w:val="18"/>
                <w:szCs w:val="18"/>
                <w:b w:val="1"/>
                <w:bCs w:val="1"/>
                <w:color w:val="auto"/>
                <w:w w:val="79"/>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w:t>
            </w:r>
          </w:p>
        </w:tc>
        <w:tc>
          <w:tcPr>
            <w:tcW w:w="1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72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(28.0)</w:t>
            </w:r>
          </w:p>
        </w:tc>
        <w:tc>
          <w:tcPr>
            <w:tcW w:w="360" w:type="dxa"/>
            <w:vAlign w:val="bottom"/>
            <w:shd w:val="clear" w:color="auto" w:fill="CCEEFF"/>
          </w:tcPr>
          <w:p>
            <w:pPr>
              <w:jc w:val="right"/>
              <w:ind w:right="205"/>
              <w:spacing w:after="0"/>
              <w:rPr>
                <w:sz w:val="20"/>
                <w:szCs w:val="20"/>
                <w:color w:val="auto"/>
              </w:rPr>
            </w:pPr>
            <w:r>
              <w:rPr>
                <w:rFonts w:ascii="Arial" w:cs="Arial" w:eastAsia="Arial" w:hAnsi="Arial"/>
                <w:sz w:val="15"/>
                <w:szCs w:val="15"/>
                <w:b w:val="1"/>
                <w:bCs w:val="1"/>
                <w:color w:val="auto"/>
                <w:w w:val="71"/>
              </w:rPr>
              <w:t>$</w:t>
            </w: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(5.9)</w:t>
            </w:r>
          </w:p>
        </w:tc>
        <w:tc>
          <w:tcPr>
            <w:tcW w:w="30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tcPr>
          <w:p>
            <w:pPr>
              <w:spacing w:after="0"/>
              <w:rPr>
                <w:sz w:val="20"/>
                <w:szCs w:val="20"/>
                <w:color w:val="auto"/>
              </w:rPr>
            </w:pPr>
            <w:r>
              <w:rPr>
                <w:rFonts w:ascii="Arial" w:cs="Arial" w:eastAsia="Arial" w:hAnsi="Arial"/>
                <w:sz w:val="18"/>
                <w:szCs w:val="18"/>
                <w:color w:val="auto"/>
              </w:rPr>
              <w:t>Expenses:</w:t>
            </w:r>
          </w:p>
        </w:tc>
        <w:tc>
          <w:tcPr>
            <w:tcW w:w="8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Total expenses</w:t>
            </w:r>
          </w:p>
        </w:tc>
        <w:tc>
          <w:tcPr>
            <w:tcW w:w="82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(3.4)</w:t>
            </w: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40" w:type="dxa"/>
            <w:vAlign w:val="bottom"/>
            <w:vMerge w:val="restart"/>
          </w:tcPr>
          <w:p>
            <w:pPr>
              <w:spacing w:after="0"/>
              <w:rPr>
                <w:sz w:val="20"/>
                <w:szCs w:val="20"/>
                <w:color w:val="auto"/>
              </w:rPr>
            </w:pPr>
            <w:r>
              <w:rPr>
                <w:rFonts w:ascii="Arial" w:cs="Arial" w:eastAsia="Arial" w:hAnsi="Arial"/>
                <w:sz w:val="18"/>
                <w:szCs w:val="18"/>
                <w:color w:val="auto"/>
              </w:rPr>
              <w:t>Operating earnings (loss) before income taxes</w:t>
            </w:r>
          </w:p>
        </w:tc>
        <w:tc>
          <w:tcPr>
            <w:tcW w:w="8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440" w:type="dxa"/>
            <w:vAlign w:val="bottom"/>
            <w:vMerge w:val="continue"/>
          </w:tcPr>
          <w:p>
            <w:pPr>
              <w:spacing w:after="0"/>
              <w:rPr>
                <w:sz w:val="18"/>
                <w:szCs w:val="18"/>
                <w:color w:val="auto"/>
              </w:rPr>
            </w:pPr>
          </w:p>
        </w:tc>
        <w:tc>
          <w:tcPr>
            <w:tcW w:w="8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b w:val="1"/>
                <w:bCs w:val="1"/>
                <w:color w:val="auto"/>
              </w:rPr>
              <w:t>2.5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(29.9)</w:t>
            </w:r>
          </w:p>
        </w:tc>
        <w:tc>
          <w:tcPr>
            <w:tcW w:w="36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(2.5)</w:t>
            </w:r>
          </w:p>
        </w:tc>
        <w:tc>
          <w:tcPr>
            <w:tcW w:w="300" w:type="dxa"/>
            <w:vAlign w:val="bottom"/>
          </w:tcPr>
          <w:p>
            <w:pPr>
              <w:spacing w:after="0"/>
              <w:rPr>
                <w:sz w:val="18"/>
                <w:szCs w:val="18"/>
                <w:color w:val="auto"/>
              </w:rPr>
            </w:pPr>
          </w:p>
        </w:tc>
        <w:tc>
          <w:tcPr>
            <w:tcW w:w="1060" w:type="dxa"/>
            <w:vAlign w:val="bottom"/>
            <w:gridSpan w:val="2"/>
          </w:tcPr>
          <w:p>
            <w:pPr>
              <w:jc w:val="right"/>
              <w:ind w:right="40"/>
              <w:spacing w:after="0"/>
              <w:rPr>
                <w:sz w:val="20"/>
                <w:szCs w:val="20"/>
                <w:color w:val="auto"/>
              </w:rPr>
            </w:pPr>
            <w:r>
              <w:rPr>
                <w:rFonts w:ascii="Arial" w:cs="Arial" w:eastAsia="Arial" w:hAnsi="Arial"/>
                <w:sz w:val="18"/>
                <w:szCs w:val="18"/>
                <w:color w:val="auto"/>
              </w:rPr>
              <w:t>(39.5)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shd w:val="clear" w:color="auto" w:fill="CCEEFF"/>
          </w:tcPr>
          <w:p>
            <w:pPr>
              <w:spacing w:after="0"/>
              <w:rPr>
                <w:sz w:val="20"/>
                <w:szCs w:val="20"/>
                <w:color w:val="auto"/>
              </w:rPr>
            </w:pPr>
            <w:r>
              <w:rPr>
                <w:rFonts w:ascii="Arial" w:cs="Arial" w:eastAsia="Arial" w:hAnsi="Arial"/>
                <w:sz w:val="18"/>
                <w:szCs w:val="18"/>
                <w:color w:val="auto"/>
              </w:rPr>
              <w:t>Income taxes (benefits)</w:t>
            </w:r>
          </w:p>
        </w:tc>
        <w:tc>
          <w:tcPr>
            <w:tcW w:w="82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(25.0)</w:t>
            </w:r>
          </w:p>
        </w:tc>
        <w:tc>
          <w:tcPr>
            <w:tcW w:w="3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(6.1)</w:t>
            </w:r>
          </w:p>
        </w:tc>
        <w:tc>
          <w:tcPr>
            <w:tcW w:w="3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Preferred stock dividends</w:t>
            </w:r>
          </w:p>
        </w:tc>
        <w:tc>
          <w:tcPr>
            <w:tcW w:w="82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8.3</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16.5</w:t>
            </w:r>
          </w:p>
        </w:tc>
        <w:tc>
          <w:tcPr>
            <w:tcW w:w="280" w:type="dxa"/>
            <w:vAlign w:val="bottom"/>
            <w:tcBorders>
              <w:bottom w:val="single" w:sz="8" w:color="CCEEFF"/>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440" w:type="dxa"/>
            <w:vAlign w:val="bottom"/>
            <w:shd w:val="clear" w:color="auto" w:fill="CCEEFF"/>
          </w:tcPr>
          <w:p>
            <w:pPr>
              <w:spacing w:after="0"/>
              <w:rPr>
                <w:sz w:val="20"/>
                <w:szCs w:val="20"/>
                <w:color w:val="auto"/>
              </w:rPr>
            </w:pPr>
            <w:r>
              <w:rPr>
                <w:rFonts w:ascii="Arial" w:cs="Arial" w:eastAsia="Arial" w:hAnsi="Arial"/>
                <w:sz w:val="18"/>
                <w:szCs w:val="18"/>
                <w:color w:val="auto"/>
              </w:rPr>
              <w:t>Operating loss</w:t>
            </w:r>
          </w:p>
        </w:tc>
        <w:tc>
          <w:tcPr>
            <w:tcW w:w="8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(7.3)</w:t>
            </w: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(4.9)</w:t>
            </w:r>
          </w:p>
        </w:tc>
        <w:tc>
          <w:tcPr>
            <w:tcW w:w="3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(12.9)</w:t>
            </w:r>
          </w:p>
        </w:tc>
        <w:tc>
          <w:tcPr>
            <w:tcW w:w="3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tcPr>
          <w:p>
            <w:pPr>
              <w:spacing w:after="0"/>
              <w:rPr>
                <w:sz w:val="20"/>
                <w:szCs w:val="20"/>
                <w:color w:val="auto"/>
              </w:rPr>
            </w:pPr>
            <w:r>
              <w:rPr>
                <w:rFonts w:ascii="Arial" w:cs="Arial" w:eastAsia="Arial" w:hAnsi="Arial"/>
                <w:sz w:val="18"/>
                <w:szCs w:val="18"/>
                <w:color w:val="auto"/>
              </w:rPr>
              <w:t>Net realized/unrealized capital gains (losses), as adjusted</w:t>
            </w:r>
          </w:p>
        </w:tc>
        <w:tc>
          <w:tcPr>
            <w:tcW w:w="82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(1.7)</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4.5</w:t>
            </w: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25.4</w:t>
            </w: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4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shd w:val="clear" w:color="auto" w:fill="CCEEFF"/>
          </w:tcPr>
          <w:p>
            <w:pPr>
              <w:spacing w:after="0"/>
              <w:rPr>
                <w:sz w:val="20"/>
                <w:szCs w:val="20"/>
                <w:color w:val="auto"/>
              </w:rPr>
            </w:pPr>
            <w:r>
              <w:rPr>
                <w:rFonts w:ascii="Arial" w:cs="Arial" w:eastAsia="Arial" w:hAnsi="Arial"/>
                <w:sz w:val="18"/>
                <w:szCs w:val="18"/>
                <w:color w:val="auto"/>
              </w:rPr>
              <w:t>Other after-tax adjustments</w:t>
            </w:r>
          </w:p>
        </w:tc>
        <w:tc>
          <w:tcPr>
            <w:tcW w:w="8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(1.8)</w:t>
            </w: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w:t>
            </w: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18.8</w:t>
            </w: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440" w:type="dxa"/>
            <w:vAlign w:val="bottom"/>
          </w:tcPr>
          <w:p>
            <w:pPr>
              <w:spacing w:after="0"/>
              <w:rPr>
                <w:sz w:val="18"/>
                <w:szCs w:val="18"/>
                <w:color w:val="auto"/>
              </w:rPr>
            </w:pPr>
          </w:p>
        </w:tc>
        <w:tc>
          <w:tcPr>
            <w:tcW w:w="820" w:type="dxa"/>
            <w:vAlign w:val="bottom"/>
            <w:tcBorders>
              <w:top w:val="single" w:sz="8" w:color="auto"/>
            </w:tcBorders>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U.S. GAAP Reported:</w:t>
            </w:r>
          </w:p>
        </w:tc>
        <w:tc>
          <w:tcPr>
            <w:tcW w:w="8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440" w:type="dxa"/>
            <w:vAlign w:val="bottom"/>
          </w:tcPr>
          <w:p>
            <w:pPr>
              <w:spacing w:after="0"/>
              <w:rPr>
                <w:sz w:val="20"/>
                <w:szCs w:val="20"/>
                <w:color w:val="auto"/>
              </w:rPr>
            </w:pPr>
            <w:r>
              <w:rPr>
                <w:rFonts w:ascii="Arial" w:cs="Arial" w:eastAsia="Arial" w:hAnsi="Arial"/>
                <w:sz w:val="18"/>
                <w:szCs w:val="18"/>
                <w:color w:val="auto"/>
              </w:rPr>
              <w:t>Net income (loss) available to common stockholders</w:t>
            </w:r>
          </w:p>
        </w:tc>
        <w:tc>
          <w:tcPr>
            <w:tcW w:w="820" w:type="dxa"/>
            <w:vAlign w:val="bottom"/>
          </w:tcPr>
          <w:p>
            <w:pPr>
              <w:jc w:val="right"/>
              <w:ind w:right="639"/>
              <w:spacing w:after="0"/>
              <w:rPr>
                <w:sz w:val="20"/>
                <w:szCs w:val="20"/>
                <w:color w:val="auto"/>
              </w:rPr>
            </w:pPr>
            <w:r>
              <w:rPr>
                <w:rFonts w:ascii="Arial" w:cs="Arial" w:eastAsia="Arial" w:hAnsi="Arial"/>
                <w:sz w:val="18"/>
                <w:szCs w:val="18"/>
                <w:b w:val="1"/>
                <w:bCs w:val="1"/>
                <w:color w:val="auto"/>
                <w:w w:val="79"/>
              </w:rPr>
              <w:t>$</w:t>
            </w:r>
          </w:p>
        </w:tc>
        <w:tc>
          <w:tcPr>
            <w:tcW w:w="60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(10.8)</w:t>
            </w:r>
          </w:p>
        </w:tc>
        <w:tc>
          <w:tcPr>
            <w:tcW w:w="920" w:type="dxa"/>
            <w:vAlign w:val="bottom"/>
            <w:gridSpan w:val="2"/>
          </w:tcPr>
          <w:p>
            <w:pPr>
              <w:jc w:val="right"/>
              <w:ind w:right="72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14.3</w:t>
            </w:r>
          </w:p>
        </w:tc>
        <w:tc>
          <w:tcPr>
            <w:tcW w:w="280" w:type="dxa"/>
            <w:vAlign w:val="bottom"/>
          </w:tcPr>
          <w:p>
            <w:pPr>
              <w:spacing w:after="0"/>
              <w:rPr>
                <w:sz w:val="21"/>
                <w:szCs w:val="21"/>
                <w:color w:val="auto"/>
              </w:rPr>
            </w:pPr>
          </w:p>
        </w:tc>
        <w:tc>
          <w:tcPr>
            <w:tcW w:w="360" w:type="dxa"/>
            <w:vAlign w:val="bottom"/>
          </w:tcPr>
          <w:p>
            <w:pPr>
              <w:jc w:val="right"/>
              <w:ind w:right="205"/>
              <w:spacing w:after="0"/>
              <w:rPr>
                <w:sz w:val="20"/>
                <w:szCs w:val="20"/>
                <w:color w:val="auto"/>
              </w:rPr>
            </w:pPr>
            <w:r>
              <w:rPr>
                <w:rFonts w:ascii="Arial" w:cs="Arial" w:eastAsia="Arial" w:hAnsi="Arial"/>
                <w:sz w:val="15"/>
                <w:szCs w:val="15"/>
                <w:b w:val="1"/>
                <w:bCs w:val="1"/>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31.3</w:t>
            </w:r>
          </w:p>
        </w:tc>
        <w:tc>
          <w:tcPr>
            <w:tcW w:w="280" w:type="dxa"/>
            <w:vAlign w:val="bottom"/>
          </w:tcPr>
          <w:p>
            <w:pPr>
              <w:spacing w:after="0"/>
              <w:rPr>
                <w:sz w:val="21"/>
                <w:szCs w:val="21"/>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4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389380"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600" w:hanging="592"/>
        <w:spacing w:after="0"/>
        <w:tabs>
          <w:tab w:leader="none" w:pos="6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Excludes net realized/unrealized capital gains (losses).</w:t>
      </w:r>
    </w:p>
    <w:p>
      <w:pPr>
        <w:sectPr>
          <w:pgSz w:w="11900" w:h="16838" w:orient="portrait"/>
          <w:cols w:equalWidth="0" w:num="1">
            <w:col w:w="11420"/>
          </w:cols>
          <w:pgMar w:left="240" w:top="125" w:right="239" w:bottom="0" w:gutter="0" w:footer="0" w:header="0"/>
        </w:sectPr>
      </w:pPr>
    </w:p>
    <w:p>
      <w:pPr>
        <w:spacing w:after="0" w:line="225" w:lineRule="exact"/>
        <w:rPr>
          <w:sz w:val="20"/>
          <w:szCs w:val="20"/>
          <w:color w:val="auto"/>
        </w:rPr>
      </w:pPr>
    </w:p>
    <w:p>
      <w:pPr>
        <w:ind w:left="260"/>
        <w:spacing w:after="0"/>
        <w:rPr>
          <w:sz w:val="20"/>
          <w:szCs w:val="20"/>
          <w:color w:val="auto"/>
        </w:rPr>
      </w:pPr>
      <w:r>
        <w:rPr>
          <w:rFonts w:ascii="Arial" w:cs="Arial" w:eastAsia="Arial" w:hAnsi="Arial"/>
          <w:sz w:val="15"/>
          <w:szCs w:val="15"/>
          <w:b w:val="1"/>
          <w:bCs w:val="1"/>
          <w:i w:val="1"/>
          <w:iCs w:val="1"/>
          <w:color w:val="auto"/>
        </w:rPr>
        <w:t>Three Months Ended June 30, 2006 Compared to Three Months Ended June 30, 2005</w:t>
      </w:r>
    </w:p>
    <w:p>
      <w:pPr>
        <w:sectPr>
          <w:pgSz w:w="11900" w:h="16838" w:orient="portrait"/>
          <w:cols w:equalWidth="0" w:num="1">
            <w:col w:w="11420"/>
          </w:cols>
          <w:pgMar w:left="240" w:top="125" w:right="239" w:bottom="0" w:gutter="0" w:footer="0" w:header="0"/>
          <w:type w:val="continuous"/>
        </w:sectPr>
      </w:pPr>
    </w:p>
    <w:bookmarkStart w:id="41" w:name="page42"/>
    <w:bookmarkEnd w:id="41"/>
    <w:p>
      <w:pPr>
        <w:ind w:right="120" w:firstLine="648"/>
        <w:spacing w:after="0" w:line="257" w:lineRule="auto"/>
        <w:rPr>
          <w:sz w:val="20"/>
          <w:szCs w:val="20"/>
          <w:color w:val="auto"/>
        </w:rPr>
      </w:pPr>
      <w:r>
        <w:rPr>
          <w:rFonts w:ascii="Arial" w:cs="Arial" w:eastAsia="Arial" w:hAnsi="Arial"/>
          <w:sz w:val="18"/>
          <w:szCs w:val="18"/>
          <w:color w:val="auto"/>
        </w:rPr>
        <w:t>Total operating revenues increased $31.8 million to $3.8 million for the three months ended June 30, 2006, from negative $28.0 million for the three months ended June 30, 2005. Net investment income increased $30.1 million primarily due to a decrease in investment expenses related to a significant variable interest in a coal-based synthetic fuel production facility as well as an increase in average annualized investment yields for the segment. The decrease in investment expense from this investment is more than offset by an increase in income taxes due to fewer estimated Section 29 tax credits generated from fuel production.</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Total expense decreased $0.6 million, or 32% to $1.3 million for the three months ended June 30, 2006, from $1.9 million for the three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June 30, 2005. The decrease in total expenses was primarily the result of a $4.1 million decrease in interest related to federal income tax audit activities.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Partially offsetting the decrease in total expenses is a $3.0 million increase in interest expense related to the issuance of corporate debt.</w:t>
      </w:r>
    </w:p>
    <w:p>
      <w:pPr>
        <w:spacing w:after="0" w:line="211" w:lineRule="exact"/>
        <w:rPr>
          <w:sz w:val="20"/>
          <w:szCs w:val="20"/>
          <w:color w:val="auto"/>
        </w:rPr>
      </w:pPr>
    </w:p>
    <w:p>
      <w:pPr>
        <w:ind w:right="60" w:firstLine="648"/>
        <w:spacing w:after="0" w:line="286" w:lineRule="auto"/>
        <w:rPr>
          <w:sz w:val="20"/>
          <w:szCs w:val="20"/>
          <w:color w:val="auto"/>
        </w:rPr>
      </w:pPr>
      <w:r>
        <w:rPr>
          <w:rFonts w:ascii="Arial" w:cs="Arial" w:eastAsia="Arial" w:hAnsi="Arial"/>
          <w:sz w:val="17"/>
          <w:szCs w:val="17"/>
          <w:color w:val="auto"/>
        </w:rPr>
        <w:t>Income taxes increased $26.5 million to $1.5 million for the three months ended June 30, 2006, from $25.0 million of income tax benefits for the three months ended June 30, 2005. The increase was primarily due to fewer estimated Section 29 tax credits from our investment in a synthetic fuel production facility as well as an increase in operating earnings before income taxes and preferred stock dividends.</w:t>
      </w:r>
    </w:p>
    <w:p>
      <w:pPr>
        <w:spacing w:after="0" w:line="166"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Preferred stock dividends were $8.3 million for the three months ended June 30, 2006, with no corresponding activity for the three months ended June 30, 2005. The preferred stock dividends were a result of issuing preferred stock in June 2005.</w:t>
      </w:r>
    </w:p>
    <w:p>
      <w:pPr>
        <w:spacing w:after="0" w:line="170" w:lineRule="exact"/>
        <w:rPr>
          <w:sz w:val="20"/>
          <w:szCs w:val="20"/>
          <w:color w:val="auto"/>
        </w:rPr>
      </w:pPr>
    </w:p>
    <w:p>
      <w:pPr>
        <w:ind w:right="540" w:firstLine="648"/>
        <w:spacing w:after="0" w:line="277" w:lineRule="auto"/>
        <w:rPr>
          <w:sz w:val="20"/>
          <w:szCs w:val="20"/>
          <w:color w:val="auto"/>
        </w:rPr>
      </w:pPr>
      <w:r>
        <w:rPr>
          <w:rFonts w:ascii="Arial" w:cs="Arial" w:eastAsia="Arial" w:hAnsi="Arial"/>
          <w:sz w:val="18"/>
          <w:szCs w:val="18"/>
          <w:color w:val="auto"/>
        </w:rPr>
        <w:t>As a result of the foregoing factors, operating loss increased $2.4 million, or 49%, to $7.3 million for the three months ended June 30, 2006, from $4.9 million for the three months ended June 30, 2005.</w:t>
      </w:r>
    </w:p>
    <w:p>
      <w:pPr>
        <w:spacing w:after="0" w:line="170" w:lineRule="exact"/>
        <w:rPr>
          <w:sz w:val="20"/>
          <w:szCs w:val="20"/>
          <w:color w:val="auto"/>
        </w:rPr>
      </w:pPr>
    </w:p>
    <w:p>
      <w:pPr>
        <w:ind w:right="20" w:firstLine="648"/>
        <w:spacing w:after="0" w:line="302" w:lineRule="auto"/>
        <w:rPr>
          <w:sz w:val="20"/>
          <w:szCs w:val="20"/>
          <w:color w:val="auto"/>
        </w:rPr>
      </w:pPr>
      <w:r>
        <w:rPr>
          <w:rFonts w:ascii="Arial" w:cs="Arial" w:eastAsia="Arial" w:hAnsi="Arial"/>
          <w:sz w:val="16"/>
          <w:szCs w:val="16"/>
          <w:color w:val="auto"/>
        </w:rPr>
        <w:t>Net realized/unrealized capital losses, as adjusted, increased $6.2 million to $1.7 million of net realized/unrealized losses for the three months ended June 30, 2006, from $4.5 million of net realized/unrealized gains for the three months ended June 30, 2005. The increase was due to the non-recurrence of a large recovery of previously impaired securities received in 2005 as the result of a litigation settlement and increased impairments in 2006 as the result of a change in our ability and intent to hold certain fixed maturity securities until recovery due to the need to fund our recently announced acquisition of WM Advisors.</w:t>
      </w: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660"/>
        <w:spacing w:after="0"/>
        <w:rPr>
          <w:sz w:val="20"/>
          <w:szCs w:val="20"/>
          <w:color w:val="auto"/>
        </w:rPr>
      </w:pPr>
      <w:r>
        <w:rPr>
          <w:rFonts w:ascii="Arial" w:cs="Arial" w:eastAsia="Arial" w:hAnsi="Arial"/>
          <w:sz w:val="17"/>
          <w:szCs w:val="17"/>
          <w:color w:val="auto"/>
        </w:rPr>
        <w:t>As a result of the foregoing factors and the inclusion of other after-tax adjustments, net loss available to common stockholders increased</w:t>
      </w:r>
    </w:p>
    <w:p>
      <w:pPr>
        <w:spacing w:after="0" w:line="35" w:lineRule="exact"/>
        <w:rPr>
          <w:sz w:val="20"/>
          <w:szCs w:val="20"/>
          <w:color w:val="auto"/>
        </w:rPr>
      </w:pPr>
    </w:p>
    <w:p>
      <w:pPr>
        <w:ind w:right="40"/>
        <w:spacing w:after="0" w:line="253" w:lineRule="auto"/>
        <w:rPr>
          <w:sz w:val="20"/>
          <w:szCs w:val="20"/>
          <w:color w:val="auto"/>
        </w:rPr>
      </w:pPr>
      <w:r>
        <w:rPr>
          <w:rFonts w:ascii="Arial" w:cs="Arial" w:eastAsia="Arial" w:hAnsi="Arial"/>
          <w:sz w:val="18"/>
          <w:szCs w:val="18"/>
          <w:color w:val="auto"/>
        </w:rPr>
        <w:t>$25.1 million to $10.8 million for the three months ended June 30, 2006, from $14.3 million of net income for the three months ended June 30, 2005. For the three months ended June 30, 2006, net loss included the negative effect of after-tax adjustments totaling $1.8 million related to the change in estimate associated with a favorable court ruling on a contested IRS issue for 1991 and later years. For the three months ended June 30, 2005, net income included the positive effect of other after-tax adjustments totaling $14.7 million due to a gain on sale of a real estate property that qualified for discontinued operations treatment under SFAS 144.</w:t>
      </w:r>
    </w:p>
    <w:p>
      <w:pPr>
        <w:spacing w:after="0" w:line="191"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Six Months Ended June 30, 2006 Compared to Six Months Ended June 30, 2005</w:t>
      </w:r>
    </w:p>
    <w:p>
      <w:pPr>
        <w:spacing w:after="0" w:line="225" w:lineRule="exact"/>
        <w:rPr>
          <w:sz w:val="20"/>
          <w:szCs w:val="20"/>
          <w:color w:val="auto"/>
        </w:rPr>
      </w:pPr>
    </w:p>
    <w:p>
      <w:pPr>
        <w:ind w:right="80" w:firstLine="648"/>
        <w:spacing w:after="0" w:line="293" w:lineRule="auto"/>
        <w:rPr>
          <w:sz w:val="20"/>
          <w:szCs w:val="20"/>
          <w:color w:val="auto"/>
        </w:rPr>
      </w:pPr>
      <w:r>
        <w:rPr>
          <w:rFonts w:ascii="Arial" w:cs="Arial" w:eastAsia="Arial" w:hAnsi="Arial"/>
          <w:sz w:val="16"/>
          <w:szCs w:val="16"/>
          <w:color w:val="auto"/>
        </w:rPr>
        <w:t>Total operating revenues increased $32.2 million, or 85%, to negative $5.9 million for the six months ended June 30, 2006, from negative $38.1 million for the six months ended June 30, 2005. Net investment income increased $35.2 million reflecting an increase in average annualized investment yields as well as a decrease in investment expenses related to a significant variable interest in a coal-based synthetic fuel production facility. The decrease in investment expense from this investment is more than offset by an increase in income taxes due to fewer estimated Section 29 tax credits generated from fuel production. Partially offsetting the increase in total revenues was a decrease of $3.5 million in fee revenue for transitional services provided to CitiMortgage, Inc., in the prior year, related to the sale of Principal Residential Mortgage, Inc., which was mostly offset by a corresponding change in total expense.</w:t>
      </w:r>
    </w:p>
    <w:p>
      <w:pPr>
        <w:spacing w:after="0" w:line="165"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Total expenses decreased $4.8 million to negative $3.4 million for the six months ended June 30, 2006, from $1.4 million for the six months ended June 30, 2005. The decrease in total expenses was partially due to a $3.8 million decrease in interest related to federal income tax audit activities as well as $3.4 million decrease in transitional services provided to CitiMortgage, Inc., in the prior year, related to the sale of Principal Residential Mortgage, which was mostly offset in total revenue. The decrease in total expenses was partially offset by a $4.4 million increase in interest related to the issuance of corporate debt.</w:t>
      </w:r>
    </w:p>
    <w:p>
      <w:pPr>
        <w:spacing w:after="0" w:line="188" w:lineRule="exact"/>
        <w:rPr>
          <w:sz w:val="20"/>
          <w:szCs w:val="20"/>
          <w:color w:val="auto"/>
        </w:rPr>
      </w:pPr>
    </w:p>
    <w:p>
      <w:pPr>
        <w:jc w:val="both"/>
        <w:ind w:right="100" w:firstLine="648"/>
        <w:spacing w:after="0" w:line="264" w:lineRule="auto"/>
        <w:rPr>
          <w:sz w:val="20"/>
          <w:szCs w:val="20"/>
          <w:color w:val="auto"/>
        </w:rPr>
      </w:pPr>
      <w:r>
        <w:rPr>
          <w:rFonts w:ascii="Arial" w:cs="Arial" w:eastAsia="Arial" w:hAnsi="Arial"/>
          <w:sz w:val="18"/>
          <w:szCs w:val="18"/>
          <w:color w:val="auto"/>
        </w:rPr>
        <w:t>Income tax benefits decreased $20.1 million, or 77%, to $6.1 million for the six months ended June 30, 2006, from $26.2 million for the six months ended June 30, 2005. The decrease was primarily due to a decrease in operating loss before income taxes and preferred stock dividends as well as a decrease in the estimated Section 29 tax credits from our investment in a synthetic fuel production facility in 2006.</w:t>
      </w:r>
    </w:p>
    <w:p>
      <w:pPr>
        <w:spacing w:after="0" w:line="181"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Preferred stock dividends were $16.5 million for the six months ended June 30, 2006, with no corresponding activity for the six months ended June 30, 2005. The preferred stock dividends were a result of issuing preferred stock in June 2005.</w:t>
      </w:r>
    </w:p>
    <w:p>
      <w:pPr>
        <w:spacing w:after="0" w:line="170" w:lineRule="exact"/>
        <w:rPr>
          <w:sz w:val="20"/>
          <w:szCs w:val="20"/>
          <w:color w:val="auto"/>
        </w:rPr>
      </w:pPr>
    </w:p>
    <w:p>
      <w:pPr>
        <w:ind w:right="400" w:firstLine="648"/>
        <w:spacing w:after="0" w:line="277" w:lineRule="auto"/>
        <w:rPr>
          <w:sz w:val="20"/>
          <w:szCs w:val="20"/>
          <w:color w:val="auto"/>
        </w:rPr>
      </w:pPr>
      <w:r>
        <w:rPr>
          <w:rFonts w:ascii="Arial" w:cs="Arial" w:eastAsia="Arial" w:hAnsi="Arial"/>
          <w:sz w:val="18"/>
          <w:szCs w:val="18"/>
          <w:color w:val="auto"/>
        </w:rPr>
        <w:t>As a result of the foregoing factors, operating loss decreased $0.4 million, or 3%, to $12.9 million for the six months ended June 30, 2006, from $13.3 million for the six months ended June 30, 2005.</w:t>
      </w:r>
    </w:p>
    <w:p>
      <w:pPr>
        <w:spacing w:after="0" w:line="170" w:lineRule="exact"/>
        <w:rPr>
          <w:sz w:val="20"/>
          <w:szCs w:val="20"/>
          <w:color w:val="auto"/>
        </w:rPr>
      </w:pPr>
    </w:p>
    <w:p>
      <w:pPr>
        <w:ind w:right="100" w:firstLine="648"/>
        <w:spacing w:after="0" w:line="276" w:lineRule="auto"/>
        <w:rPr>
          <w:sz w:val="20"/>
          <w:szCs w:val="20"/>
          <w:color w:val="auto"/>
        </w:rPr>
      </w:pPr>
      <w:r>
        <w:rPr>
          <w:rFonts w:ascii="Arial" w:cs="Arial" w:eastAsia="Arial" w:hAnsi="Arial"/>
          <w:sz w:val="17"/>
          <w:szCs w:val="17"/>
          <w:color w:val="auto"/>
        </w:rPr>
        <w:t>Net realized/unrealized capital gains, as adjusted, increased $25.6 million to $25.4 million of net realized/unrealized capital gains for the six months ended June 30, 2006, from $0.2 million net realized/unrealized capital losses for the six months ended June 30, 2005. The increase was primarily due to the gain on sale of stock of an equity method investment offset in part by the non-recurrence of a large recovery of previously impaired securities received in 2005 as the result of a litigation settlement and increased impairments in 2006 as the result of a change in our ability and intent to hold certain fixed maturity securities until recovery due to the need to fund our recently announced acquisition of WM Advisors.</w:t>
      </w:r>
    </w:p>
    <w:p>
      <w:pPr>
        <w:spacing w:after="0" w:line="173" w:lineRule="exact"/>
        <w:rPr>
          <w:sz w:val="20"/>
          <w:szCs w:val="20"/>
          <w:color w:val="auto"/>
        </w:rPr>
      </w:pPr>
    </w:p>
    <w:p>
      <w:pPr>
        <w:ind w:left="660"/>
        <w:spacing w:after="0"/>
        <w:rPr>
          <w:sz w:val="20"/>
          <w:szCs w:val="20"/>
          <w:color w:val="auto"/>
        </w:rPr>
      </w:pPr>
      <w:r>
        <w:rPr>
          <w:rFonts w:ascii="Arial" w:cs="Arial" w:eastAsia="Arial" w:hAnsi="Arial"/>
          <w:sz w:val="17"/>
          <w:szCs w:val="17"/>
          <w:color w:val="auto"/>
        </w:rPr>
        <w:t>As a result of the foregoing factors and the inclusion of other after-tax adjustments, net income available to common stockholders increased</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$30.1 million to $31.3 million for the six months ended June 30, 2006, from $1.2 million for the six months ended June 30, 2005. For the six months ended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June 30, 2006, net income included the positive effect of other after-tax adjustments of $18.8 million related to a favorable court ruling on a contested IRS</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issue for 1991 and later years. For the six months ended June 30, 2005, net income included the positive effect of other after-tax adjustments totaling</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$14.7 million due to a gain on sale of real estate property that qualified for discontinued operations treatment under SFAS 144.</w:t>
      </w:r>
    </w:p>
    <w:p>
      <w:pPr>
        <w:sectPr>
          <w:pgSz w:w="11900" w:h="16838" w:orient="portrait"/>
          <w:cols w:equalWidth="0" w:num="1">
            <w:col w:w="11420"/>
          </w:cols>
          <w:pgMar w:left="240" w:top="125" w:right="239" w:bottom="58" w:gutter="0" w:footer="0" w:header="0"/>
        </w:sectPr>
      </w:pPr>
    </w:p>
    <w:bookmarkStart w:id="42" w:name="page43"/>
    <w:bookmarkEnd w:id="42"/>
    <w:p>
      <w:pPr>
        <w:jc w:val="center"/>
        <w:ind w:right="-1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Our legal entity organizational structure has an impact on our ability to meet cash flow needs as an organization. Following is a simplified organizational 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2174875</wp:posOffset>
            </wp:positionH>
            <wp:positionV relativeFrom="paragraph">
              <wp:posOffset>117475</wp:posOffset>
            </wp:positionV>
            <wp:extent cx="3078480" cy="150050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3078480" cy="15005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Dividends from Principal Life</w:t>
      </w:r>
    </w:p>
    <w:p>
      <w:pPr>
        <w:spacing w:after="0" w:line="225" w:lineRule="exact"/>
        <w:rPr>
          <w:sz w:val="20"/>
          <w:szCs w:val="20"/>
          <w:color w:val="auto"/>
        </w:rPr>
      </w:pPr>
    </w:p>
    <w:p>
      <w:pPr>
        <w:ind w:right="280" w:firstLine="648"/>
        <w:spacing w:after="0" w:line="259" w:lineRule="auto"/>
        <w:rPr>
          <w:sz w:val="20"/>
          <w:szCs w:val="20"/>
          <w:color w:val="auto"/>
        </w:rPr>
      </w:pPr>
      <w:r>
        <w:rPr>
          <w:rFonts w:ascii="Arial" w:cs="Arial" w:eastAsia="Arial" w:hAnsi="Arial"/>
          <w:sz w:val="18"/>
          <w:szCs w:val="18"/>
          <w:color w:val="auto"/>
        </w:rPr>
        <w:t>The payment of stockholder dividends by Principal Life to its parent company is limited by Iowa laws. Under Iowa laws, Principal Life may pay dividends only from the earned surplus arising from its business and must receive the prior approval of the Insurance Commissioner of the State of Iowa (“the Commissioner”) to pay a stockholder dividend if such a stockholder dividend would exceed certain statutory limitations. The current statutory limitation is the greater of:</w:t>
      </w:r>
    </w:p>
    <w:p>
      <w:pPr>
        <w:spacing w:after="0" w:line="187" w:lineRule="exact"/>
        <w:rPr>
          <w:sz w:val="20"/>
          <w:szCs w:val="20"/>
          <w:color w:val="auto"/>
        </w:rPr>
      </w:pPr>
    </w:p>
    <w:p>
      <w:pPr>
        <w:ind w:left="320" w:hanging="312"/>
        <w:spacing w:after="0"/>
        <w:tabs>
          <w:tab w:leader="none" w:pos="3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10% of Principal Life’s statutory policyholder surplus as of the previous year-end; or</w:t>
      </w:r>
    </w:p>
    <w:p>
      <w:pPr>
        <w:spacing w:after="0" w:line="225" w:lineRule="exact"/>
        <w:rPr>
          <w:rFonts w:ascii="Arial" w:cs="Arial" w:eastAsia="Arial" w:hAnsi="Arial"/>
          <w:sz w:val="18"/>
          <w:szCs w:val="18"/>
          <w:color w:val="auto"/>
        </w:rPr>
      </w:pPr>
    </w:p>
    <w:p>
      <w:pPr>
        <w:ind w:left="320" w:hanging="312"/>
        <w:spacing w:after="0"/>
        <w:tabs>
          <w:tab w:leader="none" w:pos="3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statutory net gain from operations from the previous calendar year.</w:t>
      </w:r>
    </w:p>
    <w:p>
      <w:pPr>
        <w:spacing w:after="0" w:line="225" w:lineRule="exact"/>
        <w:rPr>
          <w:sz w:val="20"/>
          <w:szCs w:val="20"/>
          <w:color w:val="auto"/>
        </w:rPr>
      </w:pPr>
    </w:p>
    <w:p>
      <w:pPr>
        <w:ind w:right="220" w:firstLine="648"/>
        <w:spacing w:after="0" w:line="308" w:lineRule="auto"/>
        <w:rPr>
          <w:sz w:val="20"/>
          <w:szCs w:val="20"/>
          <w:color w:val="auto"/>
        </w:rPr>
      </w:pPr>
      <w:r>
        <w:rPr>
          <w:rFonts w:ascii="Arial" w:cs="Arial" w:eastAsia="Arial" w:hAnsi="Arial"/>
          <w:sz w:val="17"/>
          <w:szCs w:val="17"/>
          <w:color w:val="auto"/>
        </w:rPr>
        <w:t>Iowa law gives the Commissioner discretion to disapprove requests for dividends in excess of these limits. Based on this limitation and 2005 statutory results, Principal Life could pay approximately $630.7 million in stockholder dividends in 2006 without exceeding the statutory limitation.</w:t>
      </w:r>
    </w:p>
    <w:p>
      <w:pPr>
        <w:spacing w:after="0" w:line="147"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On February 28, 2006, Principal Life declared a common stock dividend to its parent company of up to $625.0 million, $425.0 million of which has been paid as of June 30, 2006. On May 16, 2006, Principal Life declared an extraordinary dividend to its parent company in an amount of up to $550.0 million. As required by Iowa law, Principal Life did seek permission from the Commissioner to pay this dividend. On May 17, 2006, the Commissioner approved this dividend and $550.0 million was subsequently paid on May 22, 2006.</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Shelf Registration</w:t>
      </w:r>
    </w:p>
    <w:p>
      <w:pPr>
        <w:spacing w:after="0" w:line="225" w:lineRule="exact"/>
        <w:rPr>
          <w:sz w:val="20"/>
          <w:szCs w:val="20"/>
          <w:color w:val="auto"/>
        </w:rPr>
      </w:pPr>
    </w:p>
    <w:p>
      <w:pPr>
        <w:ind w:right="20" w:firstLine="648"/>
        <w:spacing w:after="0" w:line="271" w:lineRule="auto"/>
        <w:rPr>
          <w:sz w:val="20"/>
          <w:szCs w:val="20"/>
          <w:color w:val="auto"/>
        </w:rPr>
      </w:pPr>
      <w:r>
        <w:rPr>
          <w:rFonts w:ascii="Arial" w:cs="Arial" w:eastAsia="Arial" w:hAnsi="Arial"/>
          <w:sz w:val="17"/>
          <w:szCs w:val="17"/>
          <w:b w:val="1"/>
          <w:bCs w:val="1"/>
          <w:i w:val="1"/>
          <w:iCs w:val="1"/>
          <w:color w:val="auto"/>
        </w:rPr>
        <w:t xml:space="preserve">Registration Statement. </w:t>
      </w:r>
      <w:r>
        <w:rPr>
          <w:rFonts w:ascii="Arial" w:cs="Arial" w:eastAsia="Arial" w:hAnsi="Arial"/>
          <w:sz w:val="17"/>
          <w:szCs w:val="17"/>
          <w:color w:val="auto"/>
        </w:rPr>
        <w:t>Although we generate adequate cash flow to meet the needs of our normal operations, periodically the need may arise to issue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debt to fund internal expansion, acquisitions, investment opportunities and retirement of existing debt and equity. In December 2003, we filed a shelf registration statement with the SEC, which became effective on June 30, 2004. The shelf registration totals $3.0 billion, with the ability to issue debt securities, preferred stock, common stock, warrants, stock purchase contracts and stock purchase units of Principal Financial Group, Inc (“PFG”) and trust preferred securities of three subsidiary trusts. If we issue additional securities, we intend to use the proceeds from the sale of the securities for general corporate purposes, including working capital, capital expenditures, investments in subsidiaries, share repurchase, acquisitions and refinancing of debt, including commercial paper and other short-term indebtedness. Principal Financial Services, Inc. unconditionally guarantees our obligations with respect to one or more series of debt securities described in the shelf registration statement.</w:t>
      </w:r>
    </w:p>
    <w:p>
      <w:pPr>
        <w:spacing w:after="0" w:line="179" w:lineRule="exact"/>
        <w:rPr>
          <w:sz w:val="20"/>
          <w:szCs w:val="20"/>
          <w:color w:val="auto"/>
        </w:rPr>
      </w:pPr>
    </w:p>
    <w:p>
      <w:pPr>
        <w:ind w:firstLine="648"/>
        <w:spacing w:after="0" w:line="302" w:lineRule="auto"/>
        <w:rPr>
          <w:sz w:val="20"/>
          <w:szCs w:val="20"/>
          <w:color w:val="auto"/>
        </w:rPr>
      </w:pPr>
      <w:r>
        <w:rPr>
          <w:rFonts w:ascii="Arial" w:cs="Arial" w:eastAsia="Arial" w:hAnsi="Arial"/>
          <w:sz w:val="16"/>
          <w:szCs w:val="16"/>
          <w:b w:val="1"/>
          <w:bCs w:val="1"/>
          <w:i w:val="1"/>
          <w:iCs w:val="1"/>
          <w:color w:val="auto"/>
        </w:rPr>
        <w:t xml:space="preserve">Preferred Stock Issuances. </w:t>
      </w:r>
      <w:r>
        <w:rPr>
          <w:rFonts w:ascii="Arial" w:cs="Arial" w:eastAsia="Arial" w:hAnsi="Arial"/>
          <w:sz w:val="16"/>
          <w:szCs w:val="16"/>
          <w:color w:val="auto"/>
        </w:rPr>
        <w:t>On June 16, 2005, we issued 13.0 million shares of non-cumulative perpetual preferred stock under our shelf registration for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net proceeds of $542.0 million. Substantially all of the preferred securities proceeds were used to repurchase shares of outstanding common stock. Following our issuance of perpetual preferred stock, we now have the ability to issue up to $2.45 billion of debt securities, preferred stock, common stock, warrants, stock purchase contracts and stock purchase units of PFG and trust preferred securities of three subsidiary trusts, under the shelf registration.</w:t>
      </w:r>
    </w:p>
    <w:p>
      <w:pPr>
        <w:spacing w:after="0" w:line="154" w:lineRule="exact"/>
        <w:rPr>
          <w:sz w:val="20"/>
          <w:szCs w:val="20"/>
          <w:color w:val="auto"/>
        </w:rPr>
      </w:pPr>
    </w:p>
    <w:p>
      <w:pPr>
        <w:ind w:right="40" w:firstLine="648"/>
        <w:spacing w:after="0" w:line="342" w:lineRule="auto"/>
        <w:rPr>
          <w:sz w:val="20"/>
          <w:szCs w:val="20"/>
          <w:color w:val="auto"/>
        </w:rPr>
      </w:pPr>
      <w:r>
        <w:rPr>
          <w:rFonts w:ascii="Arial" w:cs="Arial" w:eastAsia="Arial" w:hAnsi="Arial"/>
          <w:sz w:val="16"/>
          <w:szCs w:val="16"/>
          <w:b w:val="1"/>
          <w:bCs w:val="1"/>
          <w:i w:val="1"/>
          <w:iCs w:val="1"/>
          <w:color w:val="auto"/>
        </w:rPr>
        <w:t xml:space="preserve">Preferred Stock Dividend Restrictions and Payments. </w:t>
      </w:r>
      <w:r>
        <w:rPr>
          <w:rFonts w:ascii="Arial" w:cs="Arial" w:eastAsia="Arial" w:hAnsi="Arial"/>
          <w:sz w:val="16"/>
          <w:szCs w:val="16"/>
          <w:color w:val="auto"/>
        </w:rPr>
        <w:t>The certificates of designations for the preferred stock restrict the declaration of preferred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dividends if we fail to meet specified capital adequacy, net income or stockholders’ equity levels. As of June 30, 2006, we have no preferred dividend restrictions.</w:t>
      </w: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On March 30, 2006, we paid a dividend of $8.2 million, equal to $1.39 per share on Series A non-cumulative perpetual preferred stock and equal to</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$0.41 per share on Series B non-cumulative perpetual preferred stock, to stockholders of record as of March 15, 2006. On June 30, 2006, we paid a dividend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$8.3 million, equal to $1.39 per share on Series A non-cumulative perpetual preferred stock and equal to $0.41 per share on Series B non-cumulative perpetual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preferred stock, to stockholders of record as of June 15, 2006.</w:t>
      </w:r>
    </w:p>
    <w:p>
      <w:pPr>
        <w:spacing w:after="0" w:line="211"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Common Stock Issued and Treasury Stock Acquired</w:t>
      </w:r>
    </w:p>
    <w:p>
      <w:pPr>
        <w:spacing w:after="0" w:line="225" w:lineRule="exact"/>
        <w:rPr>
          <w:sz w:val="20"/>
          <w:szCs w:val="20"/>
          <w:color w:val="auto"/>
        </w:rPr>
      </w:pPr>
    </w:p>
    <w:p>
      <w:pPr>
        <w:ind w:right="100" w:firstLine="648"/>
        <w:spacing w:after="0" w:line="381" w:lineRule="auto"/>
        <w:rPr>
          <w:sz w:val="20"/>
          <w:szCs w:val="20"/>
          <w:color w:val="auto"/>
        </w:rPr>
      </w:pPr>
      <w:r>
        <w:rPr>
          <w:rFonts w:ascii="Arial" w:cs="Arial" w:eastAsia="Arial" w:hAnsi="Arial"/>
          <w:sz w:val="15"/>
          <w:szCs w:val="15"/>
          <w:color w:val="auto"/>
        </w:rPr>
        <w:t>Our Board of Directors has authorized various repurchase programs under which we are allowed to purchase shares of our outstanding common stock. Shares repurchased under these programs are accounted for as treasury stock, carried at cost and reflected as a reduction to stockholders’ equity. The repurchases</w:t>
      </w:r>
    </w:p>
    <w:p>
      <w:pPr>
        <w:sectPr>
          <w:pgSz w:w="11900" w:h="16838" w:orient="portrait"/>
          <w:cols w:equalWidth="0" w:num="1">
            <w:col w:w="11420"/>
          </w:cols>
          <w:pgMar w:left="240" w:top="125" w:right="239" w:bottom="0" w:gutter="0" w:footer="0" w:header="0"/>
        </w:sectPr>
      </w:pPr>
    </w:p>
    <w:bookmarkStart w:id="43" w:name="page44"/>
    <w:bookmarkEnd w:id="43"/>
    <w:p>
      <w:pPr>
        <w:spacing w:after="0" w:line="83" w:lineRule="exact"/>
        <w:rPr>
          <w:sz w:val="20"/>
          <w:szCs w:val="20"/>
          <w:color w:val="auto"/>
        </w:rPr>
      </w:pPr>
    </w:p>
    <w:p>
      <w:pPr>
        <w:spacing w:after="0"/>
        <w:rPr>
          <w:sz w:val="20"/>
          <w:szCs w:val="20"/>
          <w:color w:val="auto"/>
        </w:rPr>
      </w:pPr>
      <w:r>
        <w:rPr>
          <w:rFonts w:ascii="Arial" w:cs="Arial" w:eastAsia="Arial" w:hAnsi="Arial"/>
          <w:sz w:val="18"/>
          <w:szCs w:val="18"/>
          <w:color w:val="auto"/>
        </w:rPr>
        <w:t>are made in the open market or through privately negotiated transactions, from time to time, depending on market conditions.</w:t>
      </w:r>
    </w:p>
    <w:p>
      <w:pPr>
        <w:spacing w:after="0" w:line="225" w:lineRule="exact"/>
        <w:rPr>
          <w:sz w:val="20"/>
          <w:szCs w:val="20"/>
          <w:color w:val="auto"/>
        </w:rPr>
      </w:pPr>
    </w:p>
    <w:p>
      <w:pPr>
        <w:ind w:right="80" w:firstLine="360"/>
        <w:spacing w:after="0" w:line="297" w:lineRule="auto"/>
        <w:rPr>
          <w:sz w:val="20"/>
          <w:szCs w:val="20"/>
          <w:color w:val="auto"/>
        </w:rPr>
      </w:pPr>
      <w:r>
        <w:rPr>
          <w:rFonts w:ascii="Arial" w:cs="Arial" w:eastAsia="Arial" w:hAnsi="Arial"/>
          <w:sz w:val="16"/>
          <w:szCs w:val="16"/>
          <w:color w:val="auto"/>
        </w:rPr>
        <w:t>On May 19, 2006, following our Board of Directors’ share repurchase authorization, we entered into an accelerated common stock repurchase agreement with a third party investment bank for an aggregate purchase price of $500.0 million. On this date, we paid $500.0 million and received the initial delivery of 7.7 million common shares, while retaining the right to receive additional common shares depending on the volume weighted average share price of our common stock over the program’s duration. The maximum number of shares eligible for repurchase under this program is 19.5 million common shares. The program will be completed in the fourth quarter 2006, at which time we will receive any remaining common shares owed to us under this agreement.</w:t>
      </w:r>
    </w:p>
    <w:p>
      <w:pPr>
        <w:spacing w:after="0" w:line="158" w:lineRule="exact"/>
        <w:rPr>
          <w:sz w:val="20"/>
          <w:szCs w:val="20"/>
          <w:color w:val="auto"/>
        </w:rPr>
      </w:pPr>
    </w:p>
    <w:p>
      <w:pPr>
        <w:ind w:right="280" w:firstLine="648"/>
        <w:spacing w:after="0" w:line="308" w:lineRule="auto"/>
        <w:rPr>
          <w:sz w:val="20"/>
          <w:szCs w:val="20"/>
          <w:color w:val="auto"/>
        </w:rPr>
      </w:pPr>
      <w:r>
        <w:rPr>
          <w:rFonts w:ascii="Arial" w:cs="Arial" w:eastAsia="Arial" w:hAnsi="Arial"/>
          <w:sz w:val="17"/>
          <w:szCs w:val="17"/>
          <w:color w:val="auto"/>
        </w:rPr>
        <w:t>In November 2005, our Board of Directors authorized a repurchase program of up to $250.0 million of our outstanding common stock. This program was completed in May 2006. We acquired 5.1 million shares in the open market at an aggregate cost of $250.0 million under this program.</w:t>
      </w:r>
    </w:p>
    <w:p>
      <w:pPr>
        <w:spacing w:after="0" w:line="147"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International Asset Management and Accumulation Operations</w:t>
      </w:r>
    </w:p>
    <w:p>
      <w:pPr>
        <w:spacing w:after="0" w:line="225"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Our Brazilian, Hong Kong, Chilean, and Mexican operations produced positive cash flow from operations for the six months ended June 30, 2006 and 2005. These cash flows have been historically maintained at the local country level for strategic expansion purposes and local capital requirements. Our international operations have required infusions of capital primarily to fund acquisitions and to a lesser extent, to meet the cash flow and capital requirements of certain operations. Our capital funding of these operations is consistent with our long-term strategy to establish viable companies that can sustain future growth from internally generated sources. Based on reviews of our current capital needs and strategic opportunities within our foreign operations, we have repatriated and will continue to repatriate a portion of the capital from certain countries in 2006.</w:t>
      </w:r>
    </w:p>
    <w:p>
      <w:pPr>
        <w:spacing w:after="0" w:line="178"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Sources and Uses of Cash of Consolidated Operations</w:t>
      </w:r>
    </w:p>
    <w:p>
      <w:pPr>
        <w:spacing w:after="0" w:line="225" w:lineRule="exact"/>
        <w:rPr>
          <w:sz w:val="20"/>
          <w:szCs w:val="20"/>
          <w:color w:val="auto"/>
        </w:rPr>
      </w:pPr>
    </w:p>
    <w:p>
      <w:pPr>
        <w:ind w:right="160" w:firstLine="648"/>
        <w:spacing w:after="0" w:line="264" w:lineRule="auto"/>
        <w:rPr>
          <w:sz w:val="20"/>
          <w:szCs w:val="20"/>
          <w:color w:val="auto"/>
        </w:rPr>
      </w:pPr>
      <w:r>
        <w:rPr>
          <w:rFonts w:ascii="Arial" w:cs="Arial" w:eastAsia="Arial" w:hAnsi="Arial"/>
          <w:sz w:val="18"/>
          <w:szCs w:val="18"/>
          <w:color w:val="auto"/>
        </w:rPr>
        <w:t>Activity, as reported in our consolidated statements of cash flows, provides relevant information regarding our sources and uses of cash. The following discussion of our operating, investing and financing portions of the cash flows excludes cash flows attributable to our discontinued operations, which were as follows:</w:t>
      </w:r>
    </w:p>
    <w:p>
      <w:pPr>
        <w:spacing w:after="0" w:line="149" w:lineRule="exact"/>
        <w:rPr>
          <w:sz w:val="20"/>
          <w:szCs w:val="20"/>
          <w:color w:val="auto"/>
        </w:rPr>
      </w:pPr>
    </w:p>
    <w:p>
      <w:pPr>
        <w:jc w:val="center"/>
        <w:ind w:left="5640"/>
        <w:spacing w:after="0"/>
        <w:rPr>
          <w:sz w:val="20"/>
          <w:szCs w:val="20"/>
          <w:color w:val="auto"/>
        </w:rPr>
      </w:pPr>
      <w:r>
        <w:rPr>
          <w:rFonts w:ascii="Arial" w:cs="Arial" w:eastAsia="Arial" w:hAnsi="Arial"/>
          <w:sz w:val="14"/>
          <w:szCs w:val="14"/>
          <w:b w:val="1"/>
          <w:bCs w:val="1"/>
          <w:color w:val="auto"/>
        </w:rPr>
        <w:t>For the six months ended</w:t>
      </w:r>
    </w:p>
    <w:p>
      <w:pPr>
        <w:jc w:val="center"/>
        <w:ind w:left="5640"/>
        <w:spacing w:after="0" w:line="221" w:lineRule="auto"/>
        <w:rPr>
          <w:sz w:val="20"/>
          <w:szCs w:val="20"/>
          <w:color w:val="auto"/>
        </w:rPr>
      </w:pPr>
      <w:r>
        <w:rPr>
          <w:rFonts w:ascii="Arial" w:cs="Arial" w:eastAsia="Arial" w:hAnsi="Arial"/>
          <w:sz w:val="14"/>
          <w:szCs w:val="14"/>
          <w:b w:val="1"/>
          <w:bCs w:val="1"/>
          <w:color w:val="auto"/>
        </w:rPr>
        <w:t>June 30,</w:t>
      </w:r>
    </w:p>
    <w:tbl>
      <w:tblPr>
        <w:tblLayout w:type="fixed"/>
        <w:tblInd w:w="1840" w:type="dxa"/>
        <w:tblCellMar>
          <w:top w:w="0" w:type="dxa"/>
          <w:left w:w="0" w:type="dxa"/>
          <w:bottom w:w="0" w:type="dxa"/>
          <w:right w:w="0" w:type="dxa"/>
        </w:tblCellMar>
      </w:tblPr>
      <w:tr>
        <w:trPr>
          <w:trHeight w:val="136"/>
        </w:trPr>
        <w:tc>
          <w:tcPr>
            <w:tcW w:w="4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60" w:type="dxa"/>
            <w:vAlign w:val="bottom"/>
            <w:tcBorders>
              <w:top w:val="single" w:sz="8" w:color="auto"/>
              <w:bottom w:val="single" w:sz="8" w:color="auto"/>
            </w:tcBorders>
          </w:tcPr>
          <w:p>
            <w:pPr>
              <w:jc w:val="right"/>
              <w:spacing w:after="0" w:line="136" w:lineRule="exact"/>
              <w:rPr>
                <w:sz w:val="20"/>
                <w:szCs w:val="20"/>
                <w:color w:val="auto"/>
              </w:rPr>
            </w:pPr>
            <w:r>
              <w:rPr>
                <w:rFonts w:ascii="Arial" w:cs="Arial" w:eastAsia="Arial" w:hAnsi="Arial"/>
                <w:sz w:val="14"/>
                <w:szCs w:val="14"/>
                <w:b w:val="1"/>
                <w:bCs w:val="1"/>
                <w:color w:val="auto"/>
              </w:rPr>
              <w:t>2006</w:t>
            </w:r>
          </w:p>
        </w:tc>
        <w:tc>
          <w:tcPr>
            <w:tcW w:w="280" w:type="dxa"/>
            <w:vAlign w:val="bottom"/>
            <w:tcBorders>
              <w:top w:val="single" w:sz="8" w:color="auto"/>
              <w:bottom w:val="single" w:sz="8" w:color="auto"/>
            </w:tcBorders>
          </w:tcPr>
          <w:p>
            <w:pPr>
              <w:spacing w:after="0"/>
              <w:rPr>
                <w:sz w:val="11"/>
                <w:szCs w:val="11"/>
                <w:color w:val="auto"/>
              </w:rPr>
            </w:pPr>
          </w:p>
        </w:tc>
        <w:tc>
          <w:tcPr>
            <w:tcW w:w="220" w:type="dxa"/>
            <w:vAlign w:val="bottom"/>
            <w:tcBorders>
              <w:top w:val="single" w:sz="8" w:color="auto"/>
              <w:bottom w:val="single" w:sz="8" w:color="auto"/>
            </w:tcBorders>
          </w:tcPr>
          <w:p>
            <w:pPr>
              <w:spacing w:after="0"/>
              <w:rPr>
                <w:sz w:val="11"/>
                <w:szCs w:val="11"/>
                <w:color w:val="auto"/>
              </w:rPr>
            </w:pPr>
          </w:p>
        </w:tc>
        <w:tc>
          <w:tcPr>
            <w:tcW w:w="20" w:type="dxa"/>
            <w:vAlign w:val="bottom"/>
            <w:tcBorders>
              <w:top w:val="single" w:sz="8" w:color="auto"/>
              <w:bottom w:val="single" w:sz="8" w:color="auto"/>
            </w:tcBorders>
          </w:tcPr>
          <w:p>
            <w:pPr>
              <w:spacing w:after="0"/>
              <w:rPr>
                <w:sz w:val="11"/>
                <w:szCs w:val="11"/>
                <w:color w:val="auto"/>
              </w:rPr>
            </w:pPr>
          </w:p>
        </w:tc>
        <w:tc>
          <w:tcPr>
            <w:tcW w:w="240" w:type="dxa"/>
            <w:vAlign w:val="bottom"/>
            <w:tcBorders>
              <w:top w:val="single" w:sz="8" w:color="auto"/>
              <w:bottom w:val="single" w:sz="8" w:color="auto"/>
            </w:tcBorders>
          </w:tcPr>
          <w:p>
            <w:pPr>
              <w:spacing w:after="0"/>
              <w:rPr>
                <w:sz w:val="11"/>
                <w:szCs w:val="11"/>
                <w:color w:val="auto"/>
              </w:rPr>
            </w:pPr>
          </w:p>
        </w:tc>
        <w:tc>
          <w:tcPr>
            <w:tcW w:w="600" w:type="dxa"/>
            <w:vAlign w:val="bottom"/>
            <w:tcBorders>
              <w:top w:val="single" w:sz="8" w:color="auto"/>
              <w:bottom w:val="single" w:sz="8" w:color="auto"/>
            </w:tcBorders>
          </w:tcPr>
          <w:p>
            <w:pPr>
              <w:jc w:val="right"/>
              <w:ind w:right="214"/>
              <w:spacing w:after="0" w:line="136" w:lineRule="exact"/>
              <w:rPr>
                <w:sz w:val="20"/>
                <w:szCs w:val="20"/>
                <w:color w:val="auto"/>
              </w:rPr>
            </w:pPr>
            <w:r>
              <w:rPr>
                <w:rFonts w:ascii="Arial" w:cs="Arial" w:eastAsia="Arial" w:hAnsi="Arial"/>
                <w:sz w:val="14"/>
                <w:szCs w:val="14"/>
                <w:b w:val="1"/>
                <w:bCs w:val="1"/>
                <w:color w:val="auto"/>
                <w:w w:val="89"/>
              </w:rPr>
              <w:t>2005</w:t>
            </w:r>
          </w:p>
        </w:tc>
        <w:tc>
          <w:tcPr>
            <w:tcW w:w="100" w:type="dxa"/>
            <w:vAlign w:val="bottom"/>
          </w:tcPr>
          <w:p>
            <w:pPr>
              <w:spacing w:after="0"/>
              <w:rPr>
                <w:sz w:val="11"/>
                <w:szCs w:val="11"/>
                <w:color w:val="auto"/>
              </w:rPr>
            </w:pPr>
          </w:p>
        </w:tc>
      </w:tr>
      <w:tr>
        <w:trPr>
          <w:trHeight w:val="129"/>
        </w:trPr>
        <w:tc>
          <w:tcPr>
            <w:tcW w:w="4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gridSpan w:val="4"/>
          </w:tcPr>
          <w:p>
            <w:pPr>
              <w:ind w:left="20"/>
              <w:spacing w:after="0" w:line="129" w:lineRule="exact"/>
              <w:rPr>
                <w:sz w:val="20"/>
                <w:szCs w:val="20"/>
                <w:color w:val="auto"/>
              </w:rPr>
            </w:pPr>
            <w:r>
              <w:rPr>
                <w:rFonts w:ascii="Arial" w:cs="Arial" w:eastAsia="Arial" w:hAnsi="Arial"/>
                <w:sz w:val="14"/>
                <w:szCs w:val="14"/>
                <w:b w:val="1"/>
                <w:bCs w:val="1"/>
                <w:color w:val="auto"/>
                <w:w w:val="91"/>
              </w:rPr>
              <w:t>(in millions)</w:t>
            </w: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216"/>
        </w:trPr>
        <w:tc>
          <w:tcPr>
            <w:tcW w:w="48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attributable to discontinued operations:</w:t>
            </w:r>
          </w:p>
        </w:tc>
        <w:tc>
          <w:tcPr>
            <w:tcW w:w="9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820" w:type="dxa"/>
            <w:vAlign w:val="bottom"/>
          </w:tcPr>
          <w:p>
            <w:pPr>
              <w:spacing w:after="0"/>
              <w:rPr>
                <w:sz w:val="20"/>
                <w:szCs w:val="20"/>
                <w:color w:val="auto"/>
              </w:rPr>
            </w:pPr>
            <w:r>
              <w:rPr>
                <w:rFonts w:ascii="Arial" w:cs="Arial" w:eastAsia="Arial" w:hAnsi="Arial"/>
                <w:sz w:val="18"/>
                <w:szCs w:val="18"/>
                <w:color w:val="auto"/>
              </w:rPr>
              <w:t>Net cash used in operating activities</w:t>
            </w:r>
          </w:p>
        </w:tc>
        <w:tc>
          <w:tcPr>
            <w:tcW w:w="1480" w:type="dxa"/>
            <w:vAlign w:val="bottom"/>
            <w:gridSpan w:val="2"/>
          </w:tcPr>
          <w:p>
            <w:pPr>
              <w:jc w:val="right"/>
              <w:ind w:right="407"/>
              <w:spacing w:after="0"/>
              <w:rPr>
                <w:sz w:val="20"/>
                <w:szCs w:val="20"/>
                <w:color w:val="auto"/>
              </w:rPr>
            </w:pPr>
            <w:r>
              <w:rPr>
                <w:rFonts w:ascii="Arial" w:cs="Arial" w:eastAsia="Arial" w:hAnsi="Arial"/>
                <w:sz w:val="18"/>
                <w:szCs w:val="18"/>
                <w:b w:val="1"/>
                <w:bCs w:val="1"/>
                <w:color w:val="auto"/>
              </w:rPr>
              <w:t>$</w:t>
            </w:r>
          </w:p>
        </w:tc>
        <w:tc>
          <w:tcPr>
            <w:tcW w:w="500" w:type="dxa"/>
            <w:vAlign w:val="bottom"/>
            <w:gridSpan w:val="2"/>
          </w:tcPr>
          <w:p>
            <w:pPr>
              <w:ind w:left="80"/>
              <w:spacing w:after="0"/>
              <w:rPr>
                <w:sz w:val="20"/>
                <w:szCs w:val="20"/>
                <w:color w:val="auto"/>
              </w:rPr>
            </w:pPr>
            <w:r>
              <w:rPr>
                <w:rFonts w:ascii="Arial" w:cs="Arial" w:eastAsia="Arial" w:hAnsi="Arial"/>
                <w:sz w:val="18"/>
                <w:szCs w:val="18"/>
                <w:b w:val="1"/>
                <w:bCs w:val="1"/>
                <w:color w:val="auto"/>
              </w:rPr>
              <w:t>—</w:t>
            </w:r>
          </w:p>
        </w:tc>
        <w:tc>
          <w:tcPr>
            <w:tcW w:w="260" w:type="dxa"/>
            <w:vAlign w:val="bottom"/>
            <w:gridSpan w:val="2"/>
          </w:tcPr>
          <w:p>
            <w:pPr>
              <w:jc w:val="right"/>
              <w:ind w:right="130"/>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(0.1)</w:t>
            </w:r>
          </w:p>
        </w:tc>
      </w:tr>
      <w:tr>
        <w:trPr>
          <w:trHeight w:val="216"/>
        </w:trPr>
        <w:tc>
          <w:tcPr>
            <w:tcW w:w="482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investing activities</w:t>
            </w:r>
          </w:p>
        </w:tc>
        <w:tc>
          <w:tcPr>
            <w:tcW w:w="9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00" w:type="dxa"/>
            <w:vAlign w:val="bottom"/>
            <w:gridSpan w:val="2"/>
            <w:shd w:val="clear" w:color="auto" w:fill="CCEEFF"/>
          </w:tcPr>
          <w:p>
            <w:pPr>
              <w:ind w:left="80"/>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(0.1)</w:t>
            </w:r>
          </w:p>
        </w:tc>
      </w:tr>
      <w:tr>
        <w:trPr>
          <w:trHeight w:val="223"/>
        </w:trPr>
        <w:tc>
          <w:tcPr>
            <w:tcW w:w="4820" w:type="dxa"/>
            <w:vAlign w:val="bottom"/>
          </w:tcPr>
          <w:p>
            <w:pPr>
              <w:spacing w:after="0"/>
              <w:rPr>
                <w:sz w:val="20"/>
                <w:szCs w:val="20"/>
                <w:color w:val="auto"/>
              </w:rPr>
            </w:pPr>
            <w:r>
              <w:rPr>
                <w:rFonts w:ascii="Arial" w:cs="Arial" w:eastAsia="Arial" w:hAnsi="Arial"/>
                <w:sz w:val="18"/>
                <w:szCs w:val="18"/>
                <w:color w:val="auto"/>
              </w:rPr>
              <w:t>Net cash used in discontinued operations</w:t>
            </w:r>
          </w:p>
        </w:tc>
        <w:tc>
          <w:tcPr>
            <w:tcW w:w="920" w:type="dxa"/>
            <w:vAlign w:val="bottom"/>
          </w:tcPr>
          <w:p>
            <w:pPr>
              <w:spacing w:after="0"/>
              <w:rPr>
                <w:sz w:val="19"/>
                <w:szCs w:val="19"/>
                <w:color w:val="auto"/>
              </w:rPr>
            </w:pPr>
          </w:p>
        </w:tc>
        <w:tc>
          <w:tcPr>
            <w:tcW w:w="560" w:type="dxa"/>
            <w:vAlign w:val="bottom"/>
            <w:tcBorders>
              <w:top w:val="single" w:sz="8" w:color="auto"/>
              <w:bottom w:val="single" w:sz="8" w:color="auto"/>
            </w:tcBorders>
          </w:tcPr>
          <w:p>
            <w:pPr>
              <w:jc w:val="right"/>
              <w:ind w:right="407"/>
              <w:spacing w:after="0"/>
              <w:rPr>
                <w:sz w:val="20"/>
                <w:szCs w:val="20"/>
                <w:color w:val="auto"/>
              </w:rPr>
            </w:pPr>
            <w:r>
              <w:rPr>
                <w:rFonts w:ascii="Arial" w:cs="Arial" w:eastAsia="Arial" w:hAnsi="Arial"/>
                <w:sz w:val="15"/>
                <w:szCs w:val="15"/>
                <w:b w:val="1"/>
                <w:bCs w:val="1"/>
                <w:color w:val="auto"/>
                <w:w w:val="71"/>
              </w:rPr>
              <w:t>$</w:t>
            </w:r>
          </w:p>
        </w:tc>
        <w:tc>
          <w:tcPr>
            <w:tcW w:w="280" w:type="dxa"/>
            <w:vAlign w:val="bottom"/>
            <w:tcBorders>
              <w:top w:val="single" w:sz="8" w:color="auto"/>
              <w:bottom w:val="single" w:sz="8" w:color="auto"/>
            </w:tcBorders>
          </w:tcPr>
          <w:p>
            <w:pPr>
              <w:ind w:left="80"/>
              <w:spacing w:after="0"/>
              <w:rPr>
                <w:sz w:val="20"/>
                <w:szCs w:val="20"/>
                <w:color w:val="auto"/>
              </w:rPr>
            </w:pPr>
            <w:r>
              <w:rPr>
                <w:rFonts w:ascii="Arial" w:cs="Arial" w:eastAsia="Arial" w:hAnsi="Arial"/>
                <w:sz w:val="18"/>
                <w:szCs w:val="18"/>
                <w:b w:val="1"/>
                <w:bCs w:val="1"/>
                <w:color w:val="auto"/>
                <w:w w:val="99"/>
              </w:rPr>
              <w:t>—</w:t>
            </w:r>
          </w:p>
        </w:tc>
        <w:tc>
          <w:tcPr>
            <w:tcW w:w="2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(0.2</w:t>
            </w:r>
          </w:p>
        </w:tc>
        <w:tc>
          <w:tcPr>
            <w:tcW w:w="100" w:type="dxa"/>
            <w:vAlign w:val="bottom"/>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48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60" w:firstLine="648"/>
        <w:spacing w:after="0" w:line="342" w:lineRule="auto"/>
        <w:rPr>
          <w:sz w:val="20"/>
          <w:szCs w:val="20"/>
          <w:color w:val="auto"/>
        </w:rPr>
      </w:pPr>
      <w:r>
        <w:rPr>
          <w:rFonts w:ascii="Arial" w:cs="Arial" w:eastAsia="Arial" w:hAnsi="Arial"/>
          <w:sz w:val="16"/>
          <w:szCs w:val="16"/>
          <w:color w:val="auto"/>
        </w:rPr>
        <w:t>Net cash provided by operating activities was $1,104.8 million and $806.4 million for the six months ended June 30, 2006 and 2005, respectively. The increase in cash provided by operations was primarily related to the payment in 2005 of an IRS deficiency related to the examination for 1999 – 2001.</w:t>
      </w:r>
    </w:p>
    <w:p>
      <w:pPr>
        <w:spacing w:after="0" w:line="124" w:lineRule="exact"/>
        <w:rPr>
          <w:sz w:val="20"/>
          <w:szCs w:val="20"/>
          <w:color w:val="auto"/>
        </w:rPr>
      </w:pPr>
    </w:p>
    <w:p>
      <w:pPr>
        <w:ind w:right="100" w:firstLine="648"/>
        <w:spacing w:after="0" w:line="279" w:lineRule="auto"/>
        <w:rPr>
          <w:sz w:val="20"/>
          <w:szCs w:val="20"/>
          <w:color w:val="auto"/>
        </w:rPr>
      </w:pPr>
      <w:r>
        <w:rPr>
          <w:rFonts w:ascii="Arial" w:cs="Arial" w:eastAsia="Arial" w:hAnsi="Arial"/>
          <w:sz w:val="17"/>
          <w:szCs w:val="17"/>
          <w:color w:val="auto"/>
        </w:rPr>
        <w:t>Net cash used in investing activities was $2,068.0 million and $762.8 million for the six months ended June 30, 2006 and 2005, respectively. The increase in cash used in investing activities between periods was primarily related to an increase in acquisitions, a decrease in the sales, and fewer maturities of available for sale securities, an increase in mortgage loans acquired as well as a reduction in real estate acquired and sold. This increase in cash used in investing activities was partially offset by a sale of stock of an equity method investment in 2006.</w:t>
      </w: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140" w:firstLine="648"/>
        <w:spacing w:after="0" w:line="327" w:lineRule="auto"/>
        <w:rPr>
          <w:sz w:val="20"/>
          <w:szCs w:val="20"/>
          <w:color w:val="auto"/>
        </w:rPr>
      </w:pPr>
      <w:r>
        <w:rPr>
          <w:rFonts w:ascii="Arial" w:cs="Arial" w:eastAsia="Arial" w:hAnsi="Arial"/>
          <w:sz w:val="15"/>
          <w:szCs w:val="15"/>
          <w:color w:val="auto"/>
        </w:rPr>
        <w:t>Net cash provided by financing activities was $538.8 million and $675.7 million for the six months ended June 30, 2006 and 2005, respectively. The decrease in cash provided by financing activities is due to the issuance of preferred stock in the prior year with no corresponding issuance in the current year as well as a reduction of short-term debt proceeds in the current year. In the first quarter of 2005, short term debt was issued to fund the IRS deficiency. These decreases were partially offset by an increase in net deposits of investment contracts and a reduction in the amount of treasury stock acquired in the current year.</w:t>
      </w:r>
    </w:p>
    <w:p>
      <w:pPr>
        <w:spacing w:after="0" w:line="140" w:lineRule="exact"/>
        <w:rPr>
          <w:sz w:val="20"/>
          <w:szCs w:val="20"/>
          <w:color w:val="auto"/>
        </w:rPr>
      </w:pPr>
    </w:p>
    <w:p>
      <w:pPr>
        <w:ind w:right="100" w:firstLine="648"/>
        <w:spacing w:after="0" w:line="312" w:lineRule="auto"/>
        <w:rPr>
          <w:sz w:val="20"/>
          <w:szCs w:val="20"/>
          <w:color w:val="auto"/>
        </w:rPr>
      </w:pPr>
      <w:r>
        <w:rPr>
          <w:rFonts w:ascii="Arial" w:cs="Arial" w:eastAsia="Arial" w:hAnsi="Arial"/>
          <w:sz w:val="16"/>
          <w:szCs w:val="16"/>
          <w:color w:val="auto"/>
        </w:rPr>
        <w:t>As discussed in Item 1, “Financial Statements, Notes to Unaudited Consolidated Financial Statements – March 31, 2006, Note 12 – Subsequent Event”, on July 25, 2006, we announced a definitive agreement to acquire WM Advisors Inc. and its subsidiaries. Upon closing of this transaction, expected in fourth quarter 2006 or early 2007, we will pay approximately $740.0 million in cash. The closing of this transaction is subject to regulatory and other approvals.</w:t>
      </w:r>
    </w:p>
    <w:p>
      <w:pPr>
        <w:spacing w:after="0" w:line="147" w:lineRule="exact"/>
        <w:rPr>
          <w:sz w:val="20"/>
          <w:szCs w:val="20"/>
          <w:color w:val="auto"/>
        </w:rPr>
      </w:pPr>
    </w:p>
    <w:p>
      <w:pPr>
        <w:ind w:right="20" w:firstLine="648"/>
        <w:spacing w:after="0" w:line="381" w:lineRule="auto"/>
        <w:rPr>
          <w:sz w:val="20"/>
          <w:szCs w:val="20"/>
          <w:color w:val="auto"/>
        </w:rPr>
      </w:pPr>
      <w:r>
        <w:rPr>
          <w:rFonts w:ascii="Arial" w:cs="Arial" w:eastAsia="Arial" w:hAnsi="Arial"/>
          <w:sz w:val="15"/>
          <w:szCs w:val="15"/>
          <w:color w:val="auto"/>
        </w:rPr>
        <w:t>Given the historical cash flow of our subsidiaries and the financial results of these subsidiaries, we believe the cash flow from our consolidated operating activities over the next year will provide sufficient liquidity for our operations, as well as satisfy interest payments and any payments related to debt servicing.</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Ratio of Earnings to Fixed Charges</w:t>
      </w:r>
    </w:p>
    <w:p>
      <w:pPr>
        <w:spacing w:after="0" w:line="225"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The ratio of earnings to fixed charges is a measure of our ability to cover fixed costs with current period earnings. A high ratio indicates that earnings are sufficiently covering committed expenses. The following table sets forth, for the periods indicated, our ratios of:</w:t>
      </w:r>
    </w:p>
    <w:p>
      <w:pPr>
        <w:spacing w:after="0" w:line="170" w:lineRule="exact"/>
        <w:rPr>
          <w:sz w:val="20"/>
          <w:szCs w:val="20"/>
          <w:color w:val="auto"/>
        </w:rPr>
      </w:pPr>
    </w:p>
    <w:p>
      <w:pPr>
        <w:ind w:left="320" w:hanging="312"/>
        <w:spacing w:after="0"/>
        <w:tabs>
          <w:tab w:leader="none" w:pos="3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earnings to fixed charges before interest credited on investment products; and</w:t>
      </w:r>
    </w:p>
    <w:p>
      <w:pPr>
        <w:spacing w:after="0" w:line="225" w:lineRule="exact"/>
        <w:rPr>
          <w:rFonts w:ascii="Arial" w:cs="Arial" w:eastAsia="Arial" w:hAnsi="Arial"/>
          <w:sz w:val="18"/>
          <w:szCs w:val="18"/>
          <w:color w:val="auto"/>
        </w:rPr>
      </w:pPr>
    </w:p>
    <w:p>
      <w:pPr>
        <w:ind w:left="320" w:hanging="312"/>
        <w:spacing w:after="0"/>
        <w:tabs>
          <w:tab w:leader="none" w:pos="3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earnings to fixed charges.</w:t>
      </w:r>
    </w:p>
    <w:p>
      <w:pPr>
        <w:spacing w:after="0" w:line="225" w:lineRule="exact"/>
        <w:rPr>
          <w:sz w:val="20"/>
          <w:szCs w:val="20"/>
          <w:color w:val="auto"/>
        </w:rPr>
      </w:pPr>
    </w:p>
    <w:p>
      <w:pPr>
        <w:ind w:right="120" w:firstLine="648"/>
        <w:spacing w:after="0" w:line="259" w:lineRule="auto"/>
        <w:rPr>
          <w:sz w:val="20"/>
          <w:szCs w:val="20"/>
          <w:color w:val="auto"/>
        </w:rPr>
      </w:pPr>
      <w:r>
        <w:rPr>
          <w:rFonts w:ascii="Arial" w:cs="Arial" w:eastAsia="Arial" w:hAnsi="Arial"/>
          <w:sz w:val="18"/>
          <w:szCs w:val="18"/>
          <w:color w:val="auto"/>
        </w:rPr>
        <w:t>We calculate the ratio of “earnings to fixed charges before interest credited on investment products” by dividing the sum of income from continuing operations before income taxes (BT), interest expense (I), interest factor of rental expense (IF) less undistributed income from equity investees (E) by the sum of interest expense (I), interest factor of rental expense (IF) and dividends on majority-owned subsidiary redeemable preferred securities (non-intercompany) (D). The formula for this ratio is: (BT+I+IF-E)/(I+IF+D).</w:t>
      </w:r>
    </w:p>
    <w:p>
      <w:pPr>
        <w:spacing w:after="0" w:line="187" w:lineRule="exact"/>
        <w:rPr>
          <w:sz w:val="20"/>
          <w:szCs w:val="20"/>
          <w:color w:val="auto"/>
        </w:rPr>
      </w:pPr>
    </w:p>
    <w:p>
      <w:pPr>
        <w:ind w:right="500" w:firstLine="648"/>
        <w:spacing w:after="0" w:line="342" w:lineRule="auto"/>
        <w:rPr>
          <w:sz w:val="20"/>
          <w:szCs w:val="20"/>
          <w:color w:val="auto"/>
        </w:rPr>
      </w:pPr>
      <w:r>
        <w:rPr>
          <w:rFonts w:ascii="Arial" w:cs="Arial" w:eastAsia="Arial" w:hAnsi="Arial"/>
          <w:sz w:val="16"/>
          <w:szCs w:val="16"/>
          <w:color w:val="auto"/>
        </w:rPr>
        <w:t>We calculate the ratio of “earnings to fixed charges” by dividing the sum of income from continuing operations before income taxes (BT), interest expense (I), interest factor of rental expense (IF) less undistributed income from equity investees (E) and the addition of interest credited on investment</w:t>
      </w:r>
    </w:p>
    <w:p>
      <w:pPr>
        <w:sectPr>
          <w:pgSz w:w="11900" w:h="16921" w:orient="portrait"/>
          <w:cols w:equalWidth="0" w:num="1">
            <w:col w:w="11420"/>
          </w:cols>
          <w:pgMar w:left="240" w:top="125" w:right="239" w:bottom="0" w:gutter="0" w:footer="0" w:header="0"/>
        </w:sectPr>
      </w:pPr>
    </w:p>
    <w:bookmarkStart w:id="44" w:name="page45"/>
    <w:bookmarkEnd w:id="44"/>
    <w:p>
      <w:pPr>
        <w:ind w:right="80"/>
        <w:spacing w:after="0" w:line="259" w:lineRule="auto"/>
        <w:rPr>
          <w:sz w:val="20"/>
          <w:szCs w:val="20"/>
          <w:color w:val="auto"/>
        </w:rPr>
      </w:pPr>
      <w:r>
        <w:rPr>
          <w:rFonts w:ascii="Arial" w:cs="Arial" w:eastAsia="Arial" w:hAnsi="Arial"/>
          <w:sz w:val="18"/>
          <w:szCs w:val="18"/>
          <w:color w:val="auto"/>
        </w:rPr>
        <w:t>products (IC) by interest expense (I), interest factor of rental expense (IF), dividends on majority-owned subsidiary redeemable preferred securities (non-intercompany) (D) and interest credited on investment products (IC). The formula for this calculation is: (BT+I+IF-E+IC)/(I+IF+D+IC). “Interest credited on investment products” includes interest paid on guaranteed investment contracts, funding agreements and other investment-only pension products. Similar to debt, these products have a total fixed return and a fixed maturity date.</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820" w:type="dxa"/>
            <w:vAlign w:val="bottom"/>
          </w:tcPr>
          <w:p>
            <w:pPr>
              <w:spacing w:after="0"/>
              <w:rPr>
                <w:sz w:val="14"/>
                <w:szCs w:val="14"/>
                <w:color w:val="auto"/>
              </w:rPr>
            </w:pPr>
          </w:p>
        </w:tc>
        <w:tc>
          <w:tcPr>
            <w:tcW w:w="1920" w:type="dxa"/>
            <w:vAlign w:val="bottom"/>
            <w:gridSpan w:val="4"/>
          </w:tcPr>
          <w:p>
            <w:pPr>
              <w:jc w:val="center"/>
              <w:ind w:right="260"/>
              <w:spacing w:after="0"/>
              <w:rPr>
                <w:sz w:val="20"/>
                <w:szCs w:val="20"/>
                <w:color w:val="auto"/>
              </w:rPr>
            </w:pPr>
            <w:r>
              <w:rPr>
                <w:rFonts w:ascii="Arial" w:cs="Arial" w:eastAsia="Arial" w:hAnsi="Arial"/>
                <w:sz w:val="14"/>
                <w:szCs w:val="14"/>
                <w:b w:val="1"/>
                <w:bCs w:val="1"/>
                <w:color w:val="auto"/>
                <w:w w:val="90"/>
              </w:rPr>
              <w:t>For the six months</w:t>
            </w:r>
          </w:p>
        </w:tc>
        <w:tc>
          <w:tcPr>
            <w:tcW w:w="700" w:type="dxa"/>
            <w:vAlign w:val="bottom"/>
          </w:tcPr>
          <w:p>
            <w:pPr>
              <w:spacing w:after="0"/>
              <w:rPr>
                <w:sz w:val="14"/>
                <w:szCs w:val="14"/>
                <w:color w:val="auto"/>
              </w:rPr>
            </w:pPr>
          </w:p>
        </w:tc>
        <w:tc>
          <w:tcPr>
            <w:tcW w:w="1240" w:type="dxa"/>
            <w:vAlign w:val="bottom"/>
            <w:gridSpan w:val="3"/>
          </w:tcPr>
          <w:p>
            <w:pPr>
              <w:jc w:val="center"/>
              <w:spacing w:after="0"/>
              <w:rPr>
                <w:sz w:val="20"/>
                <w:szCs w:val="20"/>
                <w:color w:val="auto"/>
              </w:rPr>
            </w:pPr>
            <w:r>
              <w:rPr>
                <w:rFonts w:ascii="Arial" w:cs="Arial" w:eastAsia="Arial" w:hAnsi="Arial"/>
                <w:sz w:val="14"/>
                <w:szCs w:val="14"/>
                <w:b w:val="1"/>
                <w:bCs w:val="1"/>
                <w:color w:val="auto"/>
                <w:w w:val="92"/>
              </w:rPr>
              <w:t>For the year ended</w:t>
            </w: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820" w:type="dxa"/>
            <w:vAlign w:val="bottom"/>
          </w:tcPr>
          <w:p>
            <w:pPr>
              <w:spacing w:after="0"/>
              <w:rPr>
                <w:sz w:val="14"/>
                <w:szCs w:val="14"/>
                <w:color w:val="auto"/>
              </w:rPr>
            </w:pPr>
          </w:p>
        </w:tc>
        <w:tc>
          <w:tcPr>
            <w:tcW w:w="1920" w:type="dxa"/>
            <w:vAlign w:val="bottom"/>
            <w:gridSpan w:val="4"/>
          </w:tcPr>
          <w:p>
            <w:pPr>
              <w:jc w:val="center"/>
              <w:ind w:right="280"/>
              <w:spacing w:after="0"/>
              <w:rPr>
                <w:sz w:val="20"/>
                <w:szCs w:val="20"/>
                <w:color w:val="auto"/>
              </w:rPr>
            </w:pPr>
            <w:r>
              <w:rPr>
                <w:rFonts w:ascii="Arial" w:cs="Arial" w:eastAsia="Arial" w:hAnsi="Arial"/>
                <w:sz w:val="14"/>
                <w:szCs w:val="14"/>
                <w:b w:val="1"/>
                <w:bCs w:val="1"/>
                <w:color w:val="auto"/>
                <w:w w:val="90"/>
              </w:rPr>
              <w:t>ended June 30,</w:t>
            </w:r>
          </w:p>
        </w:tc>
        <w:tc>
          <w:tcPr>
            <w:tcW w:w="700" w:type="dxa"/>
            <w:vAlign w:val="bottom"/>
          </w:tcPr>
          <w:p>
            <w:pPr>
              <w:spacing w:after="0"/>
              <w:rPr>
                <w:sz w:val="14"/>
                <w:szCs w:val="14"/>
                <w:color w:val="auto"/>
              </w:rPr>
            </w:pPr>
          </w:p>
        </w:tc>
        <w:tc>
          <w:tcPr>
            <w:tcW w:w="1240" w:type="dxa"/>
            <w:vAlign w:val="bottom"/>
            <w:gridSpan w:val="3"/>
          </w:tcPr>
          <w:p>
            <w:pPr>
              <w:jc w:val="center"/>
              <w:spacing w:after="0"/>
              <w:rPr>
                <w:sz w:val="20"/>
                <w:szCs w:val="20"/>
                <w:color w:val="auto"/>
              </w:rPr>
            </w:pPr>
            <w:r>
              <w:rPr>
                <w:rFonts w:ascii="Arial" w:cs="Arial" w:eastAsia="Arial" w:hAnsi="Arial"/>
                <w:sz w:val="14"/>
                <w:szCs w:val="14"/>
                <w:b w:val="1"/>
                <w:bCs w:val="1"/>
                <w:color w:val="auto"/>
                <w:w w:val="92"/>
              </w:rPr>
              <w:t>December 31,</w:t>
            </w: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6820" w:type="dxa"/>
            <w:vAlign w:val="bottom"/>
          </w:tcPr>
          <w:p>
            <w:pPr>
              <w:spacing w:after="0"/>
              <w:rPr>
                <w:sz w:val="11"/>
                <w:szCs w:val="11"/>
                <w:color w:val="auto"/>
              </w:rPr>
            </w:pPr>
          </w:p>
        </w:tc>
        <w:tc>
          <w:tcPr>
            <w:tcW w:w="700" w:type="dxa"/>
            <w:vAlign w:val="bottom"/>
            <w:tcBorders>
              <w:top w:val="single" w:sz="8" w:color="auto"/>
            </w:tcBorders>
          </w:tcPr>
          <w:p>
            <w:pPr>
              <w:jc w:val="right"/>
              <w:ind w:right="121"/>
              <w:spacing w:after="0" w:line="129" w:lineRule="exact"/>
              <w:rPr>
                <w:sz w:val="20"/>
                <w:szCs w:val="20"/>
                <w:color w:val="auto"/>
              </w:rPr>
            </w:pPr>
            <w:r>
              <w:rPr>
                <w:rFonts w:ascii="Arial" w:cs="Arial" w:eastAsia="Arial" w:hAnsi="Arial"/>
                <w:sz w:val="14"/>
                <w:szCs w:val="14"/>
                <w:b w:val="1"/>
                <w:bCs w:val="1"/>
                <w:color w:val="auto"/>
              </w:rPr>
              <w:t>2006</w:t>
            </w:r>
          </w:p>
        </w:tc>
        <w:tc>
          <w:tcPr>
            <w:tcW w:w="26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jc w:val="right"/>
              <w:ind w:right="136"/>
              <w:spacing w:after="0" w:line="129" w:lineRule="exact"/>
              <w:rPr>
                <w:sz w:val="20"/>
                <w:szCs w:val="20"/>
                <w:color w:val="auto"/>
              </w:rPr>
            </w:pPr>
            <w:r>
              <w:rPr>
                <w:rFonts w:ascii="Arial" w:cs="Arial" w:eastAsia="Arial" w:hAnsi="Arial"/>
                <w:sz w:val="14"/>
                <w:szCs w:val="14"/>
                <w:b w:val="1"/>
                <w:bCs w:val="1"/>
                <w:color w:val="auto"/>
              </w:rPr>
              <w:t>2005</w:t>
            </w:r>
          </w:p>
        </w:tc>
        <w:tc>
          <w:tcPr>
            <w:tcW w:w="260" w:type="dxa"/>
            <w:vAlign w:val="bottom"/>
          </w:tcPr>
          <w:p>
            <w:pPr>
              <w:spacing w:after="0"/>
              <w:rPr>
                <w:sz w:val="11"/>
                <w:szCs w:val="11"/>
                <w:color w:val="auto"/>
              </w:rPr>
            </w:pPr>
          </w:p>
        </w:tc>
        <w:tc>
          <w:tcPr>
            <w:tcW w:w="700" w:type="dxa"/>
            <w:vAlign w:val="bottom"/>
            <w:tcBorders>
              <w:top w:val="single" w:sz="8" w:color="auto"/>
            </w:tcBorders>
          </w:tcPr>
          <w:p>
            <w:pPr>
              <w:jc w:val="right"/>
              <w:ind w:right="136"/>
              <w:spacing w:after="0" w:line="129" w:lineRule="exact"/>
              <w:rPr>
                <w:sz w:val="20"/>
                <w:szCs w:val="20"/>
                <w:color w:val="auto"/>
              </w:rPr>
            </w:pPr>
            <w:r>
              <w:rPr>
                <w:rFonts w:ascii="Arial" w:cs="Arial" w:eastAsia="Arial" w:hAnsi="Arial"/>
                <w:sz w:val="14"/>
                <w:szCs w:val="14"/>
                <w:b w:val="1"/>
                <w:bCs w:val="1"/>
                <w:color w:val="auto"/>
              </w:rPr>
              <w:t>2005</w:t>
            </w:r>
          </w:p>
        </w:tc>
        <w:tc>
          <w:tcPr>
            <w:tcW w:w="960" w:type="dxa"/>
            <w:vAlign w:val="bottom"/>
            <w:tcBorders>
              <w:top w:val="single" w:sz="8" w:color="auto"/>
            </w:tcBorders>
            <w:gridSpan w:val="2"/>
          </w:tcPr>
          <w:p>
            <w:pPr>
              <w:jc w:val="center"/>
              <w:ind w:left="181"/>
              <w:spacing w:after="0" w:line="129" w:lineRule="exact"/>
              <w:rPr>
                <w:sz w:val="20"/>
                <w:szCs w:val="20"/>
                <w:color w:val="auto"/>
              </w:rPr>
            </w:pPr>
            <w:r>
              <w:rPr>
                <w:rFonts w:ascii="Arial" w:cs="Arial" w:eastAsia="Arial" w:hAnsi="Arial"/>
                <w:sz w:val="14"/>
                <w:szCs w:val="14"/>
                <w:b w:val="1"/>
                <w:bCs w:val="1"/>
                <w:color w:val="auto"/>
                <w:w w:val="96"/>
              </w:rPr>
              <w:t>2004</w:t>
            </w:r>
          </w:p>
        </w:tc>
        <w:tc>
          <w:tcPr>
            <w:tcW w:w="28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jc w:val="right"/>
              <w:ind w:right="136"/>
              <w:spacing w:after="0" w:line="129" w:lineRule="exact"/>
              <w:rPr>
                <w:sz w:val="20"/>
                <w:szCs w:val="20"/>
                <w:color w:val="auto"/>
              </w:rPr>
            </w:pPr>
            <w:r>
              <w:rPr>
                <w:rFonts w:ascii="Arial" w:cs="Arial" w:eastAsia="Arial" w:hAnsi="Arial"/>
                <w:sz w:val="14"/>
                <w:szCs w:val="14"/>
                <w:b w:val="1"/>
                <w:bCs w:val="1"/>
                <w:color w:val="auto"/>
              </w:rPr>
              <w:t>2003</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2"/>
        </w:trPr>
        <w:tc>
          <w:tcPr>
            <w:tcW w:w="6820" w:type="dxa"/>
            <w:vAlign w:val="bottom"/>
            <w:tcBorders>
              <w:top w:val="single" w:sz="8" w:color="CCEEFF"/>
            </w:tcBorders>
            <w:shd w:val="clear" w:color="auto" w:fill="CCEEFF"/>
          </w:tcPr>
          <w:p>
            <w:pPr>
              <w:spacing w:after="0" w:line="182" w:lineRule="exact"/>
              <w:rPr>
                <w:sz w:val="20"/>
                <w:szCs w:val="20"/>
                <w:color w:val="auto"/>
              </w:rPr>
            </w:pPr>
            <w:r>
              <w:rPr>
                <w:rFonts w:ascii="Arial" w:cs="Arial" w:eastAsia="Arial" w:hAnsi="Arial"/>
                <w:sz w:val="18"/>
                <w:szCs w:val="18"/>
                <w:color w:val="auto"/>
              </w:rPr>
              <w:t>Ratio of earnings to fixed charges and preferred dividends before interest credited on</w:t>
            </w:r>
          </w:p>
        </w:tc>
        <w:tc>
          <w:tcPr>
            <w:tcW w:w="70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10.9</w:t>
            </w:r>
          </w:p>
        </w:tc>
        <w:tc>
          <w:tcPr>
            <w:tcW w:w="260" w:type="dxa"/>
            <w:vAlign w:val="bottom"/>
            <w:tcBorders>
              <w:top w:val="single" w:sz="8" w:color="CCEEFF"/>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260" w:type="dxa"/>
            <w:vAlign w:val="bottom"/>
            <w:tcBorders>
              <w:top w:val="single" w:sz="8" w:color="CCEEFF"/>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260" w:type="dxa"/>
            <w:vAlign w:val="bottom"/>
            <w:tcBorders>
              <w:top w:val="single" w:sz="8" w:color="CCEEFF"/>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CCEEFF"/>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4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68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investment products</w:t>
            </w:r>
          </w:p>
        </w:tc>
        <w:tc>
          <w:tcPr>
            <w:tcW w:w="700" w:type="dxa"/>
            <w:vAlign w:val="bottom"/>
            <w:vMerge w:val="continue"/>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w:t>
            </w:r>
          </w:p>
        </w:tc>
        <w:tc>
          <w:tcPr>
            <w:tcW w:w="260" w:type="dxa"/>
            <w:vAlign w:val="bottom"/>
            <w:shd w:val="clear" w:color="auto" w:fill="CCEEFF"/>
          </w:tcPr>
          <w:p>
            <w:pPr>
              <w:spacing w:after="0"/>
              <w:rPr>
                <w:sz w:val="20"/>
                <w:szCs w:val="20"/>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280" w:type="dxa"/>
            <w:vAlign w:val="bottom"/>
            <w:shd w:val="clear" w:color="auto" w:fill="CCEEFF"/>
          </w:tcPr>
          <w:p>
            <w:pPr>
              <w:spacing w:after="0"/>
              <w:rPr>
                <w:sz w:val="20"/>
                <w:szCs w:val="20"/>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4"/>
        </w:trPr>
        <w:tc>
          <w:tcPr>
            <w:tcW w:w="6820" w:type="dxa"/>
            <w:vAlign w:val="bottom"/>
          </w:tcPr>
          <w:p>
            <w:pPr>
              <w:spacing w:after="0"/>
              <w:rPr>
                <w:sz w:val="20"/>
                <w:szCs w:val="20"/>
                <w:color w:val="auto"/>
              </w:rPr>
            </w:pPr>
            <w:r>
              <w:rPr>
                <w:rFonts w:ascii="Arial" w:cs="Arial" w:eastAsia="Arial" w:hAnsi="Arial"/>
                <w:sz w:val="18"/>
                <w:szCs w:val="18"/>
                <w:color w:val="auto"/>
              </w:rPr>
              <w:t>Ratio of earnings to fixed charges</w:t>
            </w: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2.3</w:t>
            </w:r>
          </w:p>
        </w:tc>
        <w:tc>
          <w:tcPr>
            <w:tcW w:w="26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2.2</w:t>
            </w:r>
          </w:p>
        </w:tc>
        <w:tc>
          <w:tcPr>
            <w:tcW w:w="26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2.1</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2.0</w:t>
            </w:r>
          </w:p>
        </w:tc>
        <w:tc>
          <w:tcPr>
            <w:tcW w:w="28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1.9</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Obligations and Commercial Commitments</w:t>
      </w:r>
    </w:p>
    <w:p>
      <w:pPr>
        <w:spacing w:after="0" w:line="225" w:lineRule="exact"/>
        <w:rPr>
          <w:sz w:val="20"/>
          <w:szCs w:val="20"/>
          <w:color w:val="auto"/>
        </w:rPr>
      </w:pPr>
    </w:p>
    <w:p>
      <w:pPr>
        <w:ind w:right="480" w:firstLine="648"/>
        <w:spacing w:after="0" w:line="277" w:lineRule="auto"/>
        <w:rPr>
          <w:sz w:val="20"/>
          <w:szCs w:val="20"/>
          <w:color w:val="auto"/>
        </w:rPr>
      </w:pPr>
      <w:r>
        <w:rPr>
          <w:rFonts w:ascii="Arial" w:cs="Arial" w:eastAsia="Arial" w:hAnsi="Arial"/>
          <w:sz w:val="18"/>
          <w:szCs w:val="18"/>
          <w:color w:val="auto"/>
        </w:rPr>
        <w:t>As of June 30, 2006 we had $894.2 million of long-term debt outstanding compared to $898.8 million at December 31, 2005. There have been no significant changes to contractual obligations and commitments since December 31, 2005.</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Short-Term Debt</w:t>
      </w:r>
    </w:p>
    <w:p>
      <w:pPr>
        <w:spacing w:after="0" w:line="225"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As of June 30, 2006, we had credit facilities with various financial institutions in an aggregate amount of $890.3 million. As of June 30, 2006 we had $424.4 million of outstanding borrowings related to our credit facilities with $427.1 million of assets pledged as support, compared to $476.4 million of outstanding borrowings at December 31, 2005 with $110.6 million of assets pledged as support. Assets pledged consisted primarily of commercial mortgages and securities. Our credit facilities also include a $600.0 million back-stop facility to provide 100% support for our commercial paper program, of which there were no outstanding balances as of June 30, 2006.</w:t>
      </w:r>
    </w:p>
    <w:p>
      <w:pPr>
        <w:spacing w:after="0" w:line="184" w:lineRule="exact"/>
        <w:rPr>
          <w:sz w:val="20"/>
          <w:szCs w:val="20"/>
          <w:color w:val="auto"/>
        </w:rPr>
      </w:pPr>
    </w:p>
    <w:p>
      <w:pPr>
        <w:ind w:left="280"/>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b w:val="1"/>
          <w:bCs w:val="1"/>
          <w:i w:val="1"/>
          <w:iCs w:val="1"/>
          <w:color w:val="auto"/>
        </w:rPr>
        <w:t xml:space="preserve">Synthetic Collateralized Debt Obligation. </w:t>
      </w:r>
      <w:r>
        <w:rPr>
          <w:rFonts w:ascii="Arial" w:cs="Arial" w:eastAsia="Arial" w:hAnsi="Arial"/>
          <w:sz w:val="18"/>
          <w:szCs w:val="18"/>
          <w:color w:val="auto"/>
        </w:rPr>
        <w:t>On June 21, 2006, we invested $285.0 million in a secured limited recourse note issued by a segregated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portfolio company. The note represents Class B notes. Class A notes are senior and Class C through Class F notes are subordinated to Class B notes. The entity entered into a credit default swap with a third party providing credit protection in exchange for a fee. Defaults in an underlying reference portfolio will only affect the note if cumulative losses of a synthetic reference portfolio exceed the loss attachment point on the portfolio. We have determined we are not the primary beneficiary, as we do not hold the majority of the risk of loss. Our maximum exposure to loss as a result of our involvement with this entity is our recorded investment of $285.0 million as of June 30, 2006.</w:t>
      </w:r>
    </w:p>
    <w:p>
      <w:pPr>
        <w:spacing w:after="0" w:line="193"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Guarantees and Indemnifications</w:t>
      </w:r>
    </w:p>
    <w:p>
      <w:pPr>
        <w:spacing w:after="0" w:line="225" w:lineRule="exact"/>
        <w:rPr>
          <w:sz w:val="20"/>
          <w:szCs w:val="20"/>
          <w:color w:val="auto"/>
        </w:rPr>
      </w:pPr>
    </w:p>
    <w:p>
      <w:pPr>
        <w:ind w:firstLine="648"/>
        <w:spacing w:after="0" w:line="271" w:lineRule="auto"/>
        <w:rPr>
          <w:sz w:val="20"/>
          <w:szCs w:val="20"/>
          <w:color w:val="auto"/>
        </w:rPr>
      </w:pPr>
      <w:r>
        <w:rPr>
          <w:rFonts w:ascii="Arial" w:cs="Arial" w:eastAsia="Arial" w:hAnsi="Arial"/>
          <w:sz w:val="17"/>
          <w:szCs w:val="17"/>
          <w:color w:val="auto"/>
        </w:rPr>
        <w:t>In the normal course of business, we have provided guarantees to third parties primarily related to a former subsidiary, joint ventures and industrial revenue bonds. These agreements generally expire from 2006 through 2019. The maximum exposure under these agreements as of June 30, 2006, was approximately $166.0 million; however, we believe the likelihood is remote that material payments will be required and therefore have not accrued for a liability on our consolidated statements of financial position. Should we be required to perform under these guarantees, we generally could recover a portion of the loss from third parties through recourse provisions included in agreements with such parties, the sale of assets held as collateral that can be liquidated in the event that performance is required under the guarantees or other recourse generally available to us, therefore, such guarantees would not result in a material adverse effect on our business or financial position. It is possible that such outcomes could materially affect net income in a particular quarter or annual period. The fair value of such guarantees is not material.</w:t>
      </w:r>
    </w:p>
    <w:p>
      <w:pPr>
        <w:spacing w:after="0" w:line="179" w:lineRule="exact"/>
        <w:rPr>
          <w:sz w:val="20"/>
          <w:szCs w:val="20"/>
          <w:color w:val="auto"/>
        </w:rPr>
      </w:pPr>
    </w:p>
    <w:p>
      <w:pPr>
        <w:ind w:right="220" w:firstLine="648"/>
        <w:spacing w:after="0" w:line="272" w:lineRule="auto"/>
        <w:rPr>
          <w:sz w:val="20"/>
          <w:szCs w:val="20"/>
          <w:color w:val="auto"/>
        </w:rPr>
      </w:pPr>
      <w:r>
        <w:rPr>
          <w:rFonts w:ascii="Arial" w:cs="Arial" w:eastAsia="Arial" w:hAnsi="Arial"/>
          <w:sz w:val="17"/>
          <w:szCs w:val="17"/>
          <w:color w:val="auto"/>
        </w:rPr>
        <w:t>In connection with the 2002 sale of BT Financial Group, we agreed to indemnify the purchaser, Westpac Banking Corporation (“Westpac”), for among other things, the costs associated with potential late filings made by BT Financial Group in New Zealand prior to Westpac’s ownership, up to a maximum of A$250.0 million Australian dollars (approximately U.S. $186.0 million as of June 30, 2006). New Zealand securities regulations allow Australian issuers to issue their securities in New Zealand provided that certain documents are appropriately filed with the New Zealand Registrar of Companies. Specifically, the regulations require that any amendments to constitutions and compliance plans be filed in New Zealand. In April 2003, the New Zealand Securities Commission opined that such late filings would result in certain New Zealand investors having a right to return of their investment plus interest at 10% per annum from the date of investment. This technical issue affected many in the industry.</w:t>
      </w:r>
    </w:p>
    <w:p>
      <w:pPr>
        <w:spacing w:after="0" w:line="178" w:lineRule="exact"/>
        <w:rPr>
          <w:sz w:val="20"/>
          <w:szCs w:val="20"/>
          <w:color w:val="auto"/>
        </w:rPr>
      </w:pPr>
    </w:p>
    <w:p>
      <w:pPr>
        <w:ind w:right="120" w:firstLine="648"/>
        <w:spacing w:after="0" w:line="276" w:lineRule="auto"/>
        <w:rPr>
          <w:sz w:val="20"/>
          <w:szCs w:val="20"/>
          <w:color w:val="auto"/>
        </w:rPr>
      </w:pPr>
      <w:r>
        <w:rPr>
          <w:rFonts w:ascii="Arial" w:cs="Arial" w:eastAsia="Arial" w:hAnsi="Arial"/>
          <w:sz w:val="17"/>
          <w:szCs w:val="17"/>
          <w:color w:val="auto"/>
        </w:rPr>
        <w:t>On December 24, 2004, Westpac lodged several warranty and indemnification claims related to the sale of BT Financial Group. The claims aggregated approximately A$50.0 million Australian dollars (approximately U.S. $37.0 million as of June 30, 2006) with the majority of the claims (approximately A$45.0 million Australian dollars, or U.S. $33.0 million as of June 30, 2006) related to fund pricing and accounting issues around a tax asset called future income tax benefit (“FITB”). FITB is an asset used in calculating unit pricing of funds. Westpac claimed that BT Financial Group incorrectly accrued FITB assets in valuing asset portfolios of BT funds in Australia and New Zealand and that as a result fund values were overstated.</w:t>
      </w:r>
    </w:p>
    <w:p>
      <w:pPr>
        <w:spacing w:after="0" w:line="173"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The claims made by Westpac related to both indemnifications were settled and paid by us in 2006. This settlement did not have a material impact on net income.</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5"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right="300" w:firstLine="648"/>
        <w:spacing w:after="0" w:line="342" w:lineRule="auto"/>
        <w:rPr>
          <w:sz w:val="20"/>
          <w:szCs w:val="20"/>
          <w:color w:val="auto"/>
        </w:rPr>
      </w:pPr>
      <w:r>
        <w:rPr>
          <w:rFonts w:ascii="Arial" w:cs="Arial" w:eastAsia="Arial" w:hAnsi="Arial"/>
          <w:sz w:val="16"/>
          <w:szCs w:val="16"/>
          <w:color w:val="auto"/>
        </w:rPr>
        <w:t>We are also subject to various other indemnification obligations issued in conjunction with certain transactions, primarily the sale of Principal Residential Mortgage, Inc., and other divestitures, acquisitions and financing transactions whose terms range in duration and often are not explicitly defined.</w:t>
      </w:r>
    </w:p>
    <w:p>
      <w:pPr>
        <w:sectPr>
          <w:pgSz w:w="11900" w:h="16838" w:orient="portrait"/>
          <w:cols w:equalWidth="0" w:num="1">
            <w:col w:w="11420"/>
          </w:cols>
          <w:pgMar w:left="240" w:top="125" w:right="239" w:bottom="0" w:gutter="0" w:footer="0" w:header="0"/>
          <w:type w:val="continuous"/>
        </w:sectPr>
      </w:pPr>
    </w:p>
    <w:bookmarkStart w:id="45" w:name="page46"/>
    <w:bookmarkEnd w:id="45"/>
    <w:p>
      <w:pPr>
        <w:spacing w:after="0" w:line="54"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color w:val="auto"/>
        </w:rPr>
        <w:t>Certain portions of these indemnifications may be capped, while other portions are not subject to such limitations; therefore, the overall maximum amount of the obligation under the indemnifications cannot be reasonably estimated. While we are unable to estimate with certainty the ultimate legal and financial liability with respect to these indemnifications, we believe the likelihood is remote that material payments would be required under such indemnifications and therefore such indemnifications would not result in a material adverse effect on our business or financial position. It is possible that such outcomes could materially affect net income in a particular quarter or annual period. The fair value of such indemnifications is not material.</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Investments</w:t>
      </w:r>
    </w:p>
    <w:p>
      <w:pPr>
        <w:spacing w:after="0" w:line="229" w:lineRule="exact"/>
        <w:rPr>
          <w:sz w:val="20"/>
          <w:szCs w:val="20"/>
          <w:color w:val="auto"/>
        </w:rPr>
      </w:pPr>
    </w:p>
    <w:p>
      <w:pPr>
        <w:ind w:right="220" w:firstLine="648"/>
        <w:spacing w:after="0" w:line="302" w:lineRule="auto"/>
        <w:rPr>
          <w:sz w:val="20"/>
          <w:szCs w:val="20"/>
          <w:color w:val="auto"/>
        </w:rPr>
      </w:pPr>
      <w:r>
        <w:rPr>
          <w:rFonts w:ascii="Arial" w:cs="Arial" w:eastAsia="Arial" w:hAnsi="Arial"/>
          <w:sz w:val="16"/>
          <w:szCs w:val="16"/>
          <w:color w:val="auto"/>
        </w:rPr>
        <w:t>We had total consolidated assets as of June 30, 2006, of $131.4 billion, of which $58.1 billion were invested assets. The rest of our total consolidated assets are comprised primarily of separate account assets for which we do not bear investment risk. Because we generally do not bear any investment risk on assets held in separate accounts, the discussion and financial information below does not include such assets. Of our invested assets, $55.1 billion were held by our U.S. operations and the remaining $3.0 billion were held by our International Asset Management and Accumulation segment.</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Investment Operations</w:t>
      </w:r>
    </w:p>
    <w:p>
      <w:pPr>
        <w:spacing w:after="0" w:line="229" w:lineRule="exact"/>
        <w:rPr>
          <w:sz w:val="20"/>
          <w:szCs w:val="20"/>
          <w:color w:val="auto"/>
        </w:rPr>
      </w:pPr>
    </w:p>
    <w:p>
      <w:pPr>
        <w:jc w:val="both"/>
        <w:ind w:right="160" w:firstLine="648"/>
        <w:spacing w:after="0" w:line="302" w:lineRule="auto"/>
        <w:rPr>
          <w:sz w:val="20"/>
          <w:szCs w:val="20"/>
          <w:color w:val="auto"/>
        </w:rPr>
      </w:pPr>
      <w:r>
        <w:rPr>
          <w:rFonts w:ascii="Arial" w:cs="Arial" w:eastAsia="Arial" w:hAnsi="Arial"/>
          <w:sz w:val="16"/>
          <w:szCs w:val="16"/>
          <w:color w:val="auto"/>
        </w:rPr>
        <w:t>Our U.S. invested assets are managed by Principal Global Investors, a subsidiary of Principal Life. Our primary investment objective is to maximize after-tax returns consistent with acceptable risk parameters. We seek to protect policyholders’ benefits by optimizing the risk/return relationship on an ongoing basis, through asset/liability matching, reducing the credit risk, avoiding high levels of investments that may be redeemed by the issuer, maintaining sufficiently liquid investments and avoiding undue asset concentrations through diversification. We are exposed to three primary sources of investment risk:</w:t>
      </w:r>
    </w:p>
    <w:p>
      <w:pPr>
        <w:spacing w:after="0" w:line="154" w:lineRule="exact"/>
        <w:rPr>
          <w:sz w:val="20"/>
          <w:szCs w:val="20"/>
          <w:color w:val="auto"/>
        </w:rPr>
      </w:pPr>
    </w:p>
    <w:p>
      <w:pPr>
        <w:ind w:left="320" w:hanging="312"/>
        <w:spacing w:after="0"/>
        <w:tabs>
          <w:tab w:leader="none" w:pos="320" w:val="left"/>
        </w:tabs>
        <w:numPr>
          <w:ilvl w:val="0"/>
          <w:numId w:val="24"/>
        </w:numPr>
        <w:rPr>
          <w:rFonts w:ascii="Arial" w:cs="Arial" w:eastAsia="Arial" w:hAnsi="Arial"/>
          <w:sz w:val="17"/>
          <w:szCs w:val="17"/>
          <w:color w:val="auto"/>
        </w:rPr>
      </w:pPr>
      <w:r>
        <w:rPr>
          <w:rFonts w:ascii="Arial" w:cs="Arial" w:eastAsia="Arial" w:hAnsi="Arial"/>
          <w:sz w:val="17"/>
          <w:szCs w:val="17"/>
          <w:color w:val="auto"/>
        </w:rPr>
        <w:t>credit risk, relating to the uncertainty associated with the continued ability of a given obligor to make timely payments of principal and interest;</w:t>
      </w:r>
    </w:p>
    <w:p>
      <w:pPr>
        <w:spacing w:after="0" w:line="236" w:lineRule="exact"/>
        <w:rPr>
          <w:rFonts w:ascii="Arial" w:cs="Arial" w:eastAsia="Arial" w:hAnsi="Arial"/>
          <w:sz w:val="17"/>
          <w:szCs w:val="17"/>
          <w:color w:val="auto"/>
        </w:rPr>
      </w:pPr>
    </w:p>
    <w:p>
      <w:pPr>
        <w:ind w:left="320" w:hanging="312"/>
        <w:spacing w:after="0"/>
        <w:tabs>
          <w:tab w:leader="none" w:pos="3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interest rate risk, relating to the market price and/or cash flow variability associated with changes in market yield curves; and</w:t>
      </w:r>
    </w:p>
    <w:p>
      <w:pPr>
        <w:spacing w:after="0" w:line="225" w:lineRule="exact"/>
        <w:rPr>
          <w:rFonts w:ascii="Arial" w:cs="Arial" w:eastAsia="Arial" w:hAnsi="Arial"/>
          <w:sz w:val="18"/>
          <w:szCs w:val="18"/>
          <w:color w:val="auto"/>
        </w:rPr>
      </w:pPr>
    </w:p>
    <w:p>
      <w:pPr>
        <w:ind w:left="320" w:hanging="312"/>
        <w:spacing w:after="0"/>
        <w:tabs>
          <w:tab w:leader="none" w:pos="3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equity risk, relating to adverse fluctuations in a particular common stock.</w:t>
      </w:r>
    </w:p>
    <w:p>
      <w:pPr>
        <w:spacing w:after="0" w:line="225" w:lineRule="exact"/>
        <w:rPr>
          <w:sz w:val="20"/>
          <w:szCs w:val="20"/>
          <w:color w:val="auto"/>
        </w:rPr>
      </w:pPr>
    </w:p>
    <w:p>
      <w:pPr>
        <w:ind w:right="60" w:firstLine="648"/>
        <w:spacing w:after="0" w:line="297" w:lineRule="auto"/>
        <w:rPr>
          <w:sz w:val="20"/>
          <w:szCs w:val="20"/>
          <w:color w:val="auto"/>
        </w:rPr>
      </w:pPr>
      <w:r>
        <w:rPr>
          <w:rFonts w:ascii="Arial" w:cs="Arial" w:eastAsia="Arial" w:hAnsi="Arial"/>
          <w:sz w:val="16"/>
          <w:szCs w:val="16"/>
          <w:color w:val="auto"/>
        </w:rPr>
        <w:t>Our ability to manage credit risk is essential to our business and our profitability. We devote considerable resources to the credit analysis of each new investment. We manage credit risk through industry, issuer and asset class diversification. Our Investment Committee, appointed by our Board of Directors, is responsible for establishing all investment policies and approving or authorizing all investments, except the Executive Committee of the Board must approve any investment transaction exceeding $500.0 million. As of June 30, 2006, there are ten members on the Investment Committee, two of whom are members of our Board of Directors. The remaining members are senior management members representing various areas of our company.</w:t>
      </w:r>
    </w:p>
    <w:p>
      <w:pPr>
        <w:spacing w:after="0" w:line="158"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We also seek to reduce call or prepayment risk arising from changes in interest rates in individual investments. We limit our exposure to investments that are prepayable without penalty prior to maturity at the option of the issuer, and we require additional yield on these investments to compensate for the risk that the issuer will exercise such option. We assess option risk in all investments we make and, when we take that risk, we price for it accordingly.</w:t>
      </w:r>
    </w:p>
    <w:p>
      <w:pPr>
        <w:spacing w:after="0" w:line="147"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color w:val="auto"/>
        </w:rPr>
        <w:t>Our Fixed Income Securities Committee, consisting of fixed income securities senior management members, approves the credit rating for the fixed maturity securities we purchase. Teams of security analysts organized by industry focus either on the public or private markets and analyze and monitor these investments. In addition, we have teams who specialize in residential mortgage-backed securities, commercial mortgage-backed securities, asset-backed securities, and public below investment grade securities. We establish a credit reviewed list of approved public issuers to provide an efficient way for our portfolio managers to purchase liquid bonds for which credit review has already been completed. Issuers remain on the list for one year unless removed by our analysts. Our analysts monitor issuers on the list on a continuous basis with a formal review documented annually or more frequently if material events affect the issuer. The analysis includes both fundamental and technical factors. The fundamental analysis encompasses both quantitative and qualitative analysis of the issuer.</w:t>
      </w:r>
    </w:p>
    <w:p>
      <w:pPr>
        <w:spacing w:after="0" w:line="167"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The qualitative analysis includes an assessment of both accounting and management aggressiveness. In addition, technical indicators such as stock price volatility and credit default swap levels are monitored.</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420" w:firstLine="648"/>
        <w:spacing w:after="0" w:line="308" w:lineRule="auto"/>
        <w:rPr>
          <w:sz w:val="20"/>
          <w:szCs w:val="20"/>
          <w:color w:val="auto"/>
        </w:rPr>
      </w:pPr>
      <w:r>
        <w:rPr>
          <w:rFonts w:ascii="Arial" w:cs="Arial" w:eastAsia="Arial" w:hAnsi="Arial"/>
          <w:sz w:val="17"/>
          <w:szCs w:val="17"/>
          <w:color w:val="auto"/>
        </w:rPr>
        <w:t>Our Fixed Income Securities Committee also reviews private transactions on a continuous basis to assess the quality ratings of our privately placed investments. We regularly review our investments to determine whether we should re-rate them, employing the following criteria:</w:t>
      </w:r>
    </w:p>
    <w:p>
      <w:pPr>
        <w:spacing w:after="0" w:line="147" w:lineRule="exact"/>
        <w:rPr>
          <w:sz w:val="20"/>
          <w:szCs w:val="20"/>
          <w:color w:val="auto"/>
        </w:rPr>
      </w:pPr>
    </w:p>
    <w:p>
      <w:pPr>
        <w:ind w:left="320" w:hanging="312"/>
        <w:spacing w:after="0"/>
        <w:tabs>
          <w:tab w:leader="none" w:pos="3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material declines in the issuer’s revenues or margins;</w:t>
      </w:r>
    </w:p>
    <w:p>
      <w:pPr>
        <w:spacing w:after="0" w:line="225" w:lineRule="exact"/>
        <w:rPr>
          <w:rFonts w:ascii="Arial" w:cs="Arial" w:eastAsia="Arial" w:hAnsi="Arial"/>
          <w:sz w:val="18"/>
          <w:szCs w:val="18"/>
          <w:color w:val="auto"/>
        </w:rPr>
      </w:pPr>
    </w:p>
    <w:p>
      <w:pPr>
        <w:ind w:left="320" w:hanging="312"/>
        <w:spacing w:after="0"/>
        <w:tabs>
          <w:tab w:leader="none" w:pos="3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significant management or organizational changes;</w:t>
      </w:r>
    </w:p>
    <w:p>
      <w:pPr>
        <w:spacing w:after="0" w:line="225" w:lineRule="exact"/>
        <w:rPr>
          <w:rFonts w:ascii="Arial" w:cs="Arial" w:eastAsia="Arial" w:hAnsi="Arial"/>
          <w:sz w:val="18"/>
          <w:szCs w:val="18"/>
          <w:color w:val="auto"/>
        </w:rPr>
      </w:pPr>
    </w:p>
    <w:p>
      <w:pPr>
        <w:ind w:left="320" w:hanging="312"/>
        <w:spacing w:after="0"/>
        <w:tabs>
          <w:tab w:leader="none" w:pos="3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significant uncertainty regarding the issuer’s industry;</w:t>
      </w:r>
    </w:p>
    <w:p>
      <w:pPr>
        <w:spacing w:after="0" w:line="225" w:lineRule="exact"/>
        <w:rPr>
          <w:rFonts w:ascii="Arial" w:cs="Arial" w:eastAsia="Arial" w:hAnsi="Arial"/>
          <w:sz w:val="18"/>
          <w:szCs w:val="18"/>
          <w:color w:val="auto"/>
        </w:rPr>
      </w:pPr>
    </w:p>
    <w:p>
      <w:pPr>
        <w:ind w:left="320" w:hanging="312"/>
        <w:spacing w:after="0"/>
        <w:tabs>
          <w:tab w:leader="none" w:pos="3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debt service coverage or cash flow ratios that fall below industry-specific thresholds;</w:t>
      </w:r>
    </w:p>
    <w:p>
      <w:pPr>
        <w:spacing w:after="0" w:line="225" w:lineRule="exact"/>
        <w:rPr>
          <w:rFonts w:ascii="Arial" w:cs="Arial" w:eastAsia="Arial" w:hAnsi="Arial"/>
          <w:sz w:val="18"/>
          <w:szCs w:val="18"/>
          <w:color w:val="auto"/>
        </w:rPr>
      </w:pPr>
    </w:p>
    <w:p>
      <w:pPr>
        <w:ind w:left="320" w:hanging="312"/>
        <w:spacing w:after="0"/>
        <w:tabs>
          <w:tab w:leader="none" w:pos="3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violation of financial covenants; and</w:t>
      </w:r>
    </w:p>
    <w:p>
      <w:pPr>
        <w:spacing w:after="0" w:line="225" w:lineRule="exact"/>
        <w:rPr>
          <w:rFonts w:ascii="Arial" w:cs="Arial" w:eastAsia="Arial" w:hAnsi="Arial"/>
          <w:sz w:val="18"/>
          <w:szCs w:val="18"/>
          <w:color w:val="auto"/>
        </w:rPr>
      </w:pPr>
    </w:p>
    <w:p>
      <w:pPr>
        <w:ind w:left="320" w:hanging="312"/>
        <w:spacing w:after="0"/>
        <w:tabs>
          <w:tab w:leader="none" w:pos="3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other business factors that relate to the issuer.</w:t>
      </w:r>
    </w:p>
    <w:p>
      <w:pPr>
        <w:spacing w:after="0" w:line="225" w:lineRule="exact"/>
        <w:rPr>
          <w:sz w:val="20"/>
          <w:szCs w:val="20"/>
          <w:color w:val="auto"/>
        </w:rPr>
      </w:pPr>
    </w:p>
    <w:p>
      <w:pPr>
        <w:ind w:right="120" w:firstLine="648"/>
        <w:spacing w:after="0" w:line="290" w:lineRule="auto"/>
        <w:rPr>
          <w:sz w:val="20"/>
          <w:szCs w:val="20"/>
          <w:color w:val="auto"/>
        </w:rPr>
      </w:pPr>
      <w:r>
        <w:rPr>
          <w:rFonts w:ascii="Arial" w:cs="Arial" w:eastAsia="Arial" w:hAnsi="Arial"/>
          <w:sz w:val="16"/>
          <w:szCs w:val="16"/>
          <w:color w:val="auto"/>
        </w:rPr>
        <w:t>A dedicated risk management team is responsible for centralized monitoring of the commercial mortgage portfolio. We apply a variety of strategies to minimize credit risk in our commercial mortgage loan portfolio. When considering the origination of new commercial mortgage loans, we review the cash flow fundamentals of the property, make a physical assessment of the underlying security, conduct a comprehensive market analysis and compare against industry lending practices. We use a proprietary risk rating model to evaluate all new and a majority of existing loans within the portfolio. The proprietary risk model is designed to stress projected cash flows under simulated economic and market downturns. Our lending guidelines are designed to encourage 75% or less loan-to-value ratios and a debt service coverage ratio of at least 1.2 times. We analyze investments outside of these guidelines based on cash flow quality, tenancy and other factors. The weighted average loan-to-value ratio at origination for brick and mortar commercial mortgages in our portfolio was 69% and the debt service coverage ratio at loan inception was 1.6 times as of June 30, 2006.</w:t>
      </w:r>
    </w:p>
    <w:p>
      <w:pPr>
        <w:sectPr>
          <w:pgSz w:w="11900" w:h="16892" w:orient="portrait"/>
          <w:cols w:equalWidth="0" w:num="1">
            <w:col w:w="11400"/>
          </w:cols>
          <w:pgMar w:left="240" w:top="125" w:right="259" w:bottom="0" w:gutter="0" w:footer="0" w:header="0"/>
        </w:sectPr>
      </w:pPr>
    </w:p>
    <w:bookmarkStart w:id="46" w:name="page47"/>
    <w:bookmarkEnd w:id="46"/>
    <w:p>
      <w:pPr>
        <w:ind w:right="260" w:firstLine="648"/>
        <w:spacing w:after="0" w:line="277" w:lineRule="auto"/>
        <w:rPr>
          <w:sz w:val="20"/>
          <w:szCs w:val="20"/>
          <w:color w:val="auto"/>
        </w:rPr>
      </w:pPr>
      <w:r>
        <w:rPr>
          <w:rFonts w:ascii="Arial" w:cs="Arial" w:eastAsia="Arial" w:hAnsi="Arial"/>
          <w:sz w:val="18"/>
          <w:szCs w:val="18"/>
          <w:color w:val="auto"/>
        </w:rPr>
        <w:t>We have limited exposure to equity risk in our common stock portfolio. Equity securities accounted for only 1% of our U.S. invested assets as of June 30, 2006.</w:t>
      </w:r>
    </w:p>
    <w:p>
      <w:pPr>
        <w:spacing w:after="0" w:line="170"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Our investment decisions and objectives are a function of the underlying risks and product profiles of each primary business operation. In addition, we diversify our product portfolio offerings to include products that contain features that will protect us against fluctuations in interest rates. Those features include adjustable crediting rates, policy surrender charges and market value adjustments on liquidations. For further information on our management of interest rate risk, see Item 3, “Quantitative and Qualitative Disclosures about Market Risk”.</w:t>
      </w:r>
    </w:p>
    <w:p>
      <w:pPr>
        <w:spacing w:after="0" w:line="200" w:lineRule="exact"/>
        <w:rPr>
          <w:sz w:val="20"/>
          <w:szCs w:val="20"/>
          <w:color w:val="auto"/>
        </w:rPr>
      </w:pPr>
    </w:p>
    <w:p>
      <w:pPr>
        <w:spacing w:after="0" w:line="20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Overall Composition of U.S. Invested Assets</w:t>
      </w:r>
    </w:p>
    <w:p>
      <w:pPr>
        <w:spacing w:after="0" w:line="225" w:lineRule="exact"/>
        <w:rPr>
          <w:sz w:val="20"/>
          <w:szCs w:val="20"/>
          <w:color w:val="auto"/>
        </w:rPr>
      </w:pPr>
    </w:p>
    <w:p>
      <w:pPr>
        <w:ind w:right="240" w:firstLine="648"/>
        <w:spacing w:after="0" w:line="276" w:lineRule="auto"/>
        <w:rPr>
          <w:sz w:val="20"/>
          <w:szCs w:val="20"/>
          <w:color w:val="auto"/>
        </w:rPr>
      </w:pPr>
      <w:r>
        <w:rPr>
          <w:rFonts w:ascii="Arial" w:cs="Arial" w:eastAsia="Arial" w:hAnsi="Arial"/>
          <w:sz w:val="17"/>
          <w:szCs w:val="17"/>
          <w:color w:val="auto"/>
        </w:rPr>
        <w:t>U.S. invested assets as of June 30, 2006, were predominantly of high quality and broadly diversified across asset class, individual credit, industry and geographic location. Asset allocation is determined based on cash flow and the risk/return requirements of our products. As shown in the following table, the major categories of U.S. invested assets are fixed maturity securities and commercial mortgages. The remainder is invested in real estate, residential mortgage loans, equity securities and other assets. In addition, policy loans are included in our invested assets. The following discussion analyzes the composition of U.S. invested assets, but excludes invested assets of the participating separate accounts.</w:t>
      </w:r>
    </w:p>
    <w:p>
      <w:pPr>
        <w:spacing w:after="0" w:line="16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U.S. Invested Assets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0" w:type="dxa"/>
            <w:vAlign w:val="bottom"/>
            <w:gridSpan w:val="3"/>
          </w:tcPr>
          <w:p>
            <w:pPr>
              <w:ind w:left="920"/>
              <w:spacing w:after="0"/>
              <w:rPr>
                <w:sz w:val="20"/>
                <w:szCs w:val="20"/>
                <w:color w:val="auto"/>
              </w:rPr>
            </w:pPr>
            <w:r>
              <w:rPr>
                <w:rFonts w:ascii="Arial" w:cs="Arial" w:eastAsia="Arial" w:hAnsi="Arial"/>
                <w:sz w:val="14"/>
                <w:szCs w:val="14"/>
                <w:b w:val="1"/>
                <w:bCs w:val="1"/>
                <w:color w:val="auto"/>
                <w:w w:val="94"/>
              </w:rPr>
              <w:t>June 30, 2006</w:t>
            </w:r>
          </w:p>
        </w:tc>
        <w:tc>
          <w:tcPr>
            <w:tcW w:w="10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180" w:type="dxa"/>
            <w:vAlign w:val="bottom"/>
            <w:gridSpan w:val="4"/>
          </w:tcPr>
          <w:p>
            <w:pPr>
              <w:jc w:val="right"/>
              <w:ind w:right="1180"/>
              <w:spacing w:after="0"/>
              <w:rPr>
                <w:sz w:val="20"/>
                <w:szCs w:val="20"/>
                <w:color w:val="auto"/>
              </w:rPr>
            </w:pPr>
            <w:r>
              <w:rPr>
                <w:rFonts w:ascii="Arial" w:cs="Arial" w:eastAsia="Arial" w:hAnsi="Arial"/>
                <w:sz w:val="14"/>
                <w:szCs w:val="14"/>
                <w:b w:val="1"/>
                <w:bCs w:val="1"/>
                <w:color w:val="auto"/>
              </w:rPr>
              <w:t>December 31, 2005</w:t>
            </w:r>
          </w:p>
        </w:tc>
        <w:tc>
          <w:tcPr>
            <w:tcW w:w="0" w:type="dxa"/>
            <w:vAlign w:val="bottom"/>
          </w:tcPr>
          <w:p>
            <w:pPr>
              <w:spacing w:after="0"/>
              <w:rPr>
                <w:sz w:val="1"/>
                <w:szCs w:val="1"/>
                <w:color w:val="auto"/>
              </w:rPr>
            </w:pPr>
          </w:p>
        </w:tc>
      </w:tr>
      <w:tr>
        <w:trPr>
          <w:trHeight w:val="129"/>
        </w:trPr>
        <w:tc>
          <w:tcPr>
            <w:tcW w:w="4740" w:type="dxa"/>
            <w:vAlign w:val="bottom"/>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1800" w:type="dxa"/>
            <w:vAlign w:val="bottom"/>
            <w:tcBorders>
              <w:top w:val="single" w:sz="8" w:color="auto"/>
              <w:bottom w:val="single" w:sz="8" w:color="auto"/>
            </w:tcBorders>
            <w:gridSpan w:val="3"/>
          </w:tcPr>
          <w:p>
            <w:pPr>
              <w:ind w:left="20"/>
              <w:spacing w:after="0" w:line="129" w:lineRule="exact"/>
              <w:rPr>
                <w:sz w:val="20"/>
                <w:szCs w:val="20"/>
                <w:color w:val="auto"/>
              </w:rPr>
            </w:pPr>
            <w:r>
              <w:rPr>
                <w:rFonts w:ascii="Arial" w:cs="Arial" w:eastAsia="Arial" w:hAnsi="Arial"/>
                <w:sz w:val="14"/>
                <w:szCs w:val="14"/>
                <w:b w:val="1"/>
                <w:bCs w:val="1"/>
                <w:color w:val="auto"/>
              </w:rPr>
              <w:t>Carrying Amount</w:t>
            </w:r>
          </w:p>
        </w:tc>
        <w:tc>
          <w:tcPr>
            <w:tcW w:w="1000" w:type="dxa"/>
            <w:vAlign w:val="bottom"/>
            <w:tcBorders>
              <w:top w:val="single" w:sz="8" w:color="auto"/>
              <w:bottom w:val="single" w:sz="8" w:color="auto"/>
            </w:tcBorders>
          </w:tcPr>
          <w:p>
            <w:pPr>
              <w:jc w:val="right"/>
              <w:ind w:right="233"/>
              <w:spacing w:after="0" w:line="129" w:lineRule="exact"/>
              <w:rPr>
                <w:sz w:val="20"/>
                <w:szCs w:val="20"/>
                <w:color w:val="auto"/>
              </w:rPr>
            </w:pPr>
            <w:r>
              <w:rPr>
                <w:rFonts w:ascii="Arial" w:cs="Arial" w:eastAsia="Arial" w:hAnsi="Arial"/>
                <w:sz w:val="14"/>
                <w:szCs w:val="14"/>
                <w:b w:val="1"/>
                <w:bCs w:val="1"/>
                <w:color w:val="auto"/>
                <w:w w:val="98"/>
              </w:rPr>
              <w:t>% of Total</w:t>
            </w:r>
          </w:p>
        </w:tc>
        <w:tc>
          <w:tcPr>
            <w:tcW w:w="32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1280" w:type="dxa"/>
            <w:vAlign w:val="bottom"/>
            <w:tcBorders>
              <w:top w:val="single" w:sz="8" w:color="auto"/>
              <w:bottom w:val="single" w:sz="8" w:color="auto"/>
            </w:tcBorders>
          </w:tcPr>
          <w:p>
            <w:pPr>
              <w:jc w:val="right"/>
              <w:ind w:right="53"/>
              <w:spacing w:after="0" w:line="129" w:lineRule="exact"/>
              <w:rPr>
                <w:sz w:val="20"/>
                <w:szCs w:val="20"/>
                <w:color w:val="auto"/>
              </w:rPr>
            </w:pPr>
            <w:r>
              <w:rPr>
                <w:rFonts w:ascii="Arial" w:cs="Arial" w:eastAsia="Arial" w:hAnsi="Arial"/>
                <w:sz w:val="14"/>
                <w:szCs w:val="14"/>
                <w:b w:val="1"/>
                <w:bCs w:val="1"/>
                <w:color w:val="auto"/>
                <w:w w:val="97"/>
              </w:rPr>
              <w:t>Carrying Amount</w:t>
            </w:r>
          </w:p>
        </w:tc>
        <w:tc>
          <w:tcPr>
            <w:tcW w:w="280" w:type="dxa"/>
            <w:vAlign w:val="bottom"/>
            <w:tcBorders>
              <w:top w:val="single" w:sz="8" w:color="auto"/>
              <w:bottom w:val="single" w:sz="8" w:color="auto"/>
            </w:tcBorders>
          </w:tcPr>
          <w:p>
            <w:pPr>
              <w:spacing w:after="0"/>
              <w:rPr>
                <w:sz w:val="11"/>
                <w:szCs w:val="11"/>
                <w:color w:val="auto"/>
              </w:rPr>
            </w:pPr>
          </w:p>
        </w:tc>
        <w:tc>
          <w:tcPr>
            <w:tcW w:w="1420" w:type="dxa"/>
            <w:vAlign w:val="bottom"/>
            <w:tcBorders>
              <w:top w:val="single" w:sz="8" w:color="auto"/>
              <w:bottom w:val="single" w:sz="8" w:color="auto"/>
            </w:tcBorders>
          </w:tcPr>
          <w:p>
            <w:pPr>
              <w:jc w:val="right"/>
              <w:ind w:right="314"/>
              <w:spacing w:after="0" w:line="129" w:lineRule="exact"/>
              <w:rPr>
                <w:sz w:val="20"/>
                <w:szCs w:val="20"/>
                <w:color w:val="auto"/>
              </w:rPr>
            </w:pPr>
            <w:r>
              <w:rPr>
                <w:rFonts w:ascii="Arial" w:cs="Arial" w:eastAsia="Arial" w:hAnsi="Arial"/>
                <w:sz w:val="14"/>
                <w:szCs w:val="14"/>
                <w:b w:val="1"/>
                <w:bCs w:val="1"/>
                <w:color w:val="auto"/>
              </w:rPr>
              <w:t>% of Total</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4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60" w:type="dxa"/>
            <w:vAlign w:val="bottom"/>
            <w:gridSpan w:val="5"/>
          </w:tcPr>
          <w:p>
            <w:pPr>
              <w:jc w:val="right"/>
              <w:ind w:right="1033"/>
              <w:spacing w:after="0" w:line="129" w:lineRule="exact"/>
              <w:rPr>
                <w:sz w:val="20"/>
                <w:szCs w:val="20"/>
                <w:color w:val="auto"/>
              </w:rPr>
            </w:pPr>
            <w:r>
              <w:rPr>
                <w:rFonts w:ascii="Arial" w:cs="Arial" w:eastAsia="Arial" w:hAnsi="Arial"/>
                <w:sz w:val="14"/>
                <w:szCs w:val="14"/>
                <w:b w:val="1"/>
                <w:bCs w:val="1"/>
                <w:color w:val="auto"/>
              </w:rPr>
              <w:t>($ in millions)</w:t>
            </w:r>
          </w:p>
        </w:tc>
        <w:tc>
          <w:tcPr>
            <w:tcW w:w="28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Fixed maturity securities:</w:t>
            </w: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ind w:left="180"/>
              <w:spacing w:after="0"/>
              <w:rPr>
                <w:sz w:val="20"/>
                <w:szCs w:val="20"/>
                <w:color w:val="auto"/>
              </w:rPr>
            </w:pPr>
            <w:r>
              <w:rPr>
                <w:rFonts w:ascii="Arial" w:cs="Arial" w:eastAsia="Arial" w:hAnsi="Arial"/>
                <w:sz w:val="18"/>
                <w:szCs w:val="18"/>
                <w:color w:val="auto"/>
              </w:rPr>
              <w:t>Public</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27,678.3</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50%</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27,826.3</w:t>
            </w:r>
          </w:p>
        </w:tc>
        <w:tc>
          <w:tcPr>
            <w:tcW w:w="1900" w:type="dxa"/>
            <w:vAlign w:val="bottom"/>
            <w:gridSpan w:val="3"/>
          </w:tcPr>
          <w:p>
            <w:pPr>
              <w:jc w:val="right"/>
              <w:ind w:right="60"/>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Private</w:t>
            </w: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12,821.7</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12,289.4</w:t>
            </w:r>
          </w:p>
        </w:tc>
        <w:tc>
          <w:tcPr>
            <w:tcW w:w="1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Equity securities</w:t>
            </w: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775.9</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764.0</w:t>
            </w:r>
          </w:p>
        </w:tc>
        <w:tc>
          <w:tcPr>
            <w:tcW w:w="1700" w:type="dxa"/>
            <w:vAlign w:val="bottom"/>
            <w:gridSpan w:val="2"/>
          </w:tcPr>
          <w:p>
            <w:pPr>
              <w:jc w:val="right"/>
              <w:spacing w:after="0"/>
              <w:rPr>
                <w:sz w:val="20"/>
                <w:szCs w:val="20"/>
                <w:color w:val="auto"/>
              </w:rPr>
            </w:pPr>
            <w:r>
              <w:rPr>
                <w:rFonts w:ascii="Arial" w:cs="Arial" w:eastAsia="Arial" w:hAnsi="Arial"/>
                <w:sz w:val="18"/>
                <w:szCs w:val="18"/>
                <w:color w:val="auto"/>
              </w:rPr>
              <w:t>1</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Mortgage loans:</w:t>
            </w: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ind w:left="180"/>
              <w:spacing w:after="0"/>
              <w:rPr>
                <w:sz w:val="20"/>
                <w:szCs w:val="20"/>
                <w:color w:val="auto"/>
              </w:rPr>
            </w:pPr>
            <w:r>
              <w:rPr>
                <w:rFonts w:ascii="Arial" w:cs="Arial" w:eastAsia="Arial" w:hAnsi="Arial"/>
                <w:sz w:val="18"/>
                <w:szCs w:val="18"/>
                <w:color w:val="auto"/>
              </w:rPr>
              <w:t>Commercial</w:t>
            </w: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9,963.8</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18</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9,890.7</w:t>
            </w:r>
          </w:p>
        </w:tc>
        <w:tc>
          <w:tcPr>
            <w:tcW w:w="1700" w:type="dxa"/>
            <w:vAlign w:val="bottom"/>
            <w:gridSpan w:val="2"/>
          </w:tcPr>
          <w:p>
            <w:pPr>
              <w:jc w:val="right"/>
              <w:spacing w:after="0"/>
              <w:rPr>
                <w:sz w:val="20"/>
                <w:szCs w:val="20"/>
                <w:color w:val="auto"/>
              </w:rPr>
            </w:pPr>
            <w:r>
              <w:rPr>
                <w:rFonts w:ascii="Arial" w:cs="Arial" w:eastAsia="Arial" w:hAnsi="Arial"/>
                <w:sz w:val="18"/>
                <w:szCs w:val="18"/>
                <w:color w:val="auto"/>
              </w:rPr>
              <w:t>18</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Residential</w:t>
            </w: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1,068.0</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1,088.5</w:t>
            </w:r>
          </w:p>
        </w:tc>
        <w:tc>
          <w:tcPr>
            <w:tcW w:w="1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Real estate held for sale</w:t>
            </w: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141.9</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2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133.8</w:t>
            </w:r>
          </w:p>
        </w:tc>
        <w:tc>
          <w:tcPr>
            <w:tcW w:w="280" w:type="dxa"/>
            <w:vAlign w:val="bottom"/>
          </w:tcPr>
          <w:p>
            <w:pPr>
              <w:spacing w:after="0"/>
              <w:rPr>
                <w:sz w:val="18"/>
                <w:szCs w:val="18"/>
                <w:color w:val="auto"/>
              </w:rPr>
            </w:pPr>
          </w:p>
        </w:tc>
        <w:tc>
          <w:tcPr>
            <w:tcW w:w="16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Real estate held for investment</w:t>
            </w: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843.0</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853.9</w:t>
            </w:r>
          </w:p>
        </w:tc>
        <w:tc>
          <w:tcPr>
            <w:tcW w:w="1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Policy loans</w:t>
            </w: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843.2</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2</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827.7</w:t>
            </w:r>
          </w:p>
        </w:tc>
        <w:tc>
          <w:tcPr>
            <w:tcW w:w="1700" w:type="dxa"/>
            <w:vAlign w:val="bottom"/>
            <w:gridSpan w:val="2"/>
          </w:tcPr>
          <w:p>
            <w:pPr>
              <w:jc w:val="right"/>
              <w:spacing w:after="0"/>
              <w:rPr>
                <w:sz w:val="20"/>
                <w:szCs w:val="20"/>
                <w:color w:val="auto"/>
              </w:rPr>
            </w:pPr>
            <w:r>
              <w:rPr>
                <w:rFonts w:ascii="Arial" w:cs="Arial" w:eastAsia="Arial" w:hAnsi="Arial"/>
                <w:sz w:val="18"/>
                <w:szCs w:val="18"/>
                <w:color w:val="auto"/>
              </w:rPr>
              <w:t>2</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12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1,010.5</w:t>
            </w:r>
          </w:p>
        </w:tc>
        <w:tc>
          <w:tcPr>
            <w:tcW w:w="26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755.3</w:t>
            </w:r>
          </w:p>
        </w:tc>
        <w:tc>
          <w:tcPr>
            <w:tcW w:w="280" w:type="dxa"/>
            <w:vAlign w:val="bottom"/>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4740" w:type="dxa"/>
            <w:vAlign w:val="bottom"/>
          </w:tcPr>
          <w:p>
            <w:pPr>
              <w:ind w:left="180"/>
              <w:spacing w:after="0"/>
              <w:rPr>
                <w:sz w:val="20"/>
                <w:szCs w:val="20"/>
                <w:color w:val="auto"/>
              </w:rPr>
            </w:pPr>
            <w:r>
              <w:rPr>
                <w:rFonts w:ascii="Arial" w:cs="Arial" w:eastAsia="Arial" w:hAnsi="Arial"/>
                <w:sz w:val="18"/>
                <w:szCs w:val="18"/>
                <w:color w:val="auto"/>
              </w:rPr>
              <w:t>Total invested assets</w:t>
            </w:r>
          </w:p>
        </w:tc>
        <w:tc>
          <w:tcPr>
            <w:tcW w:w="12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55,146.3</w:t>
            </w:r>
          </w:p>
        </w:tc>
        <w:tc>
          <w:tcPr>
            <w:tcW w:w="2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100%</w:t>
            </w: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54,429.6</w:t>
            </w:r>
          </w:p>
        </w:tc>
        <w:tc>
          <w:tcPr>
            <w:tcW w:w="280" w:type="dxa"/>
            <w:vAlign w:val="bottom"/>
          </w:tcPr>
          <w:p>
            <w:pPr>
              <w:spacing w:after="0"/>
              <w:rPr>
                <w:sz w:val="21"/>
                <w:szCs w:val="21"/>
                <w:color w:val="auto"/>
              </w:rPr>
            </w:pPr>
          </w:p>
        </w:tc>
        <w:tc>
          <w:tcPr>
            <w:tcW w:w="1620" w:type="dxa"/>
            <w:vAlign w:val="bottom"/>
            <w:gridSpan w:val="2"/>
          </w:tcPr>
          <w:p>
            <w:pPr>
              <w:jc w:val="right"/>
              <w:ind w:right="6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170"/>
        </w:trPr>
        <w:tc>
          <w:tcPr>
            <w:tcW w:w="4740" w:type="dxa"/>
            <w:vAlign w:val="bottom"/>
            <w:tcBorders>
              <w:top w:val="single" w:sz="8" w:color="CCEEFF"/>
            </w:tcBorders>
            <w:shd w:val="clear" w:color="auto" w:fill="CCEEFF"/>
          </w:tcPr>
          <w:p>
            <w:pPr>
              <w:spacing w:after="0" w:line="170" w:lineRule="exact"/>
              <w:rPr>
                <w:sz w:val="20"/>
                <w:szCs w:val="20"/>
                <w:color w:val="auto"/>
              </w:rPr>
            </w:pPr>
            <w:r>
              <w:rPr>
                <w:rFonts w:ascii="Arial" w:cs="Arial" w:eastAsia="Arial" w:hAnsi="Arial"/>
                <w:sz w:val="18"/>
                <w:szCs w:val="18"/>
                <w:color w:val="auto"/>
              </w:rPr>
              <w:t>Cash and cash equivalents</w:t>
            </w:r>
          </w:p>
        </w:tc>
        <w:tc>
          <w:tcPr>
            <w:tcW w:w="120" w:type="dxa"/>
            <w:vAlign w:val="bottom"/>
            <w:tcBorders>
              <w:top w:val="single" w:sz="8" w:color="CCEEFF"/>
              <w:bottom w:val="single" w:sz="8" w:color="auto"/>
            </w:tcBorders>
            <w:shd w:val="clear" w:color="auto" w:fill="CCEEFF"/>
          </w:tcPr>
          <w:p>
            <w:pPr>
              <w:spacing w:after="0"/>
              <w:rPr>
                <w:sz w:val="14"/>
                <w:szCs w:val="14"/>
                <w:color w:val="auto"/>
              </w:rPr>
            </w:pPr>
          </w:p>
        </w:tc>
        <w:tc>
          <w:tcPr>
            <w:tcW w:w="1280" w:type="dxa"/>
            <w:vAlign w:val="bottom"/>
            <w:tcBorders>
              <w:top w:val="single" w:sz="8" w:color="CCEEFF"/>
              <w:bottom w:val="single" w:sz="8" w:color="auto"/>
            </w:tcBorders>
            <w:shd w:val="clear" w:color="auto" w:fill="CCEEFF"/>
          </w:tcPr>
          <w:p>
            <w:pPr>
              <w:jc w:val="right"/>
              <w:spacing w:after="0" w:line="170" w:lineRule="exact"/>
              <w:rPr>
                <w:sz w:val="20"/>
                <w:szCs w:val="20"/>
                <w:color w:val="auto"/>
              </w:rPr>
            </w:pPr>
            <w:r>
              <w:rPr>
                <w:rFonts w:ascii="Arial" w:cs="Arial" w:eastAsia="Arial" w:hAnsi="Arial"/>
                <w:sz w:val="18"/>
                <w:szCs w:val="18"/>
                <w:b w:val="1"/>
                <w:bCs w:val="1"/>
                <w:color w:val="auto"/>
              </w:rPr>
              <w:t>1,154.7</w:t>
            </w:r>
          </w:p>
        </w:tc>
        <w:tc>
          <w:tcPr>
            <w:tcW w:w="260" w:type="dxa"/>
            <w:vAlign w:val="bottom"/>
            <w:tcBorders>
              <w:top w:val="single" w:sz="8" w:color="CCEEFF"/>
            </w:tcBorders>
            <w:shd w:val="clear" w:color="auto" w:fill="CCEEFF"/>
          </w:tcPr>
          <w:p>
            <w:pPr>
              <w:spacing w:after="0"/>
              <w:rPr>
                <w:sz w:val="14"/>
                <w:szCs w:val="14"/>
                <w:color w:val="auto"/>
              </w:rPr>
            </w:pPr>
          </w:p>
        </w:tc>
        <w:tc>
          <w:tcPr>
            <w:tcW w:w="260" w:type="dxa"/>
            <w:vAlign w:val="bottom"/>
            <w:tcBorders>
              <w:top w:val="single" w:sz="8" w:color="auto"/>
            </w:tcBorders>
            <w:shd w:val="clear" w:color="auto" w:fill="CCEEFF"/>
          </w:tcPr>
          <w:p>
            <w:pPr>
              <w:spacing w:after="0"/>
              <w:rPr>
                <w:sz w:val="14"/>
                <w:szCs w:val="14"/>
                <w:color w:val="auto"/>
              </w:rPr>
            </w:pPr>
          </w:p>
        </w:tc>
        <w:tc>
          <w:tcPr>
            <w:tcW w:w="1000" w:type="dxa"/>
            <w:vAlign w:val="bottom"/>
            <w:tcBorders>
              <w:top w:val="single" w:sz="8" w:color="auto"/>
            </w:tcBorders>
            <w:shd w:val="clear" w:color="auto" w:fill="CCEEFF"/>
          </w:tcPr>
          <w:p>
            <w:pPr>
              <w:spacing w:after="0"/>
              <w:rPr>
                <w:sz w:val="14"/>
                <w:szCs w:val="14"/>
                <w:color w:val="auto"/>
              </w:rPr>
            </w:pPr>
          </w:p>
        </w:tc>
        <w:tc>
          <w:tcPr>
            <w:tcW w:w="32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CCEEFF"/>
              <w:bottom w:val="single" w:sz="8" w:color="auto"/>
            </w:tcBorders>
            <w:shd w:val="clear" w:color="auto" w:fill="CCEEFF"/>
          </w:tcPr>
          <w:p>
            <w:pPr>
              <w:spacing w:after="0"/>
              <w:rPr>
                <w:sz w:val="14"/>
                <w:szCs w:val="14"/>
                <w:color w:val="auto"/>
              </w:rPr>
            </w:pPr>
          </w:p>
        </w:tc>
        <w:tc>
          <w:tcPr>
            <w:tcW w:w="1280" w:type="dxa"/>
            <w:vAlign w:val="bottom"/>
            <w:tcBorders>
              <w:top w:val="single" w:sz="8" w:color="CCEEFF"/>
              <w:bottom w:val="single" w:sz="8" w:color="auto"/>
            </w:tcBorders>
            <w:shd w:val="clear" w:color="auto" w:fill="CCEEFF"/>
          </w:tcPr>
          <w:p>
            <w:pPr>
              <w:jc w:val="right"/>
              <w:spacing w:after="0" w:line="170" w:lineRule="exact"/>
              <w:rPr>
                <w:sz w:val="20"/>
                <w:szCs w:val="20"/>
                <w:color w:val="auto"/>
              </w:rPr>
            </w:pPr>
            <w:r>
              <w:rPr>
                <w:rFonts w:ascii="Arial" w:cs="Arial" w:eastAsia="Arial" w:hAnsi="Arial"/>
                <w:sz w:val="18"/>
                <w:szCs w:val="18"/>
                <w:color w:val="auto"/>
              </w:rPr>
              <w:t>1,585.1</w:t>
            </w:r>
          </w:p>
        </w:tc>
        <w:tc>
          <w:tcPr>
            <w:tcW w:w="280" w:type="dxa"/>
            <w:vAlign w:val="bottom"/>
            <w:tcBorders>
              <w:top w:val="single" w:sz="8" w:color="CCEEFF"/>
            </w:tcBorders>
            <w:shd w:val="clear" w:color="auto" w:fill="CCEEFF"/>
          </w:tcPr>
          <w:p>
            <w:pPr>
              <w:spacing w:after="0"/>
              <w:rPr>
                <w:sz w:val="14"/>
                <w:szCs w:val="14"/>
                <w:color w:val="auto"/>
              </w:rPr>
            </w:pPr>
          </w:p>
        </w:tc>
        <w:tc>
          <w:tcPr>
            <w:tcW w:w="1420" w:type="dxa"/>
            <w:vAlign w:val="bottom"/>
            <w:tcBorders>
              <w:top w:val="single" w:sz="8" w:color="auto"/>
            </w:tcBorders>
            <w:shd w:val="clear" w:color="auto" w:fill="CCEEFF"/>
          </w:tcPr>
          <w:p>
            <w:pPr>
              <w:spacing w:after="0"/>
              <w:rPr>
                <w:sz w:val="14"/>
                <w:szCs w:val="14"/>
                <w:color w:val="auto"/>
              </w:rPr>
            </w:pPr>
          </w:p>
        </w:tc>
        <w:tc>
          <w:tcPr>
            <w:tcW w:w="200" w:type="dxa"/>
            <w:vAlign w:val="bottom"/>
            <w:tcBorders>
              <w:top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invested assets and cash</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56,301.0</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56,014.7</w:t>
            </w:r>
          </w:p>
        </w:tc>
        <w:tc>
          <w:tcPr>
            <w:tcW w:w="28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74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b w:val="1"/>
                <w:bCs w:val="1"/>
                <w:i w:val="1"/>
                <w:iCs w:val="1"/>
                <w:color w:val="auto"/>
              </w:rPr>
              <w:t>U.S. Investment Results</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4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474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color w:val="auto"/>
        </w:rPr>
        <w:t>The following tables present the yield and investment income, excluding net realized/unrealized gains and losses for our U.S. invested assets. The annualized yield on U.S. invested assets and on cash and cash equivalents was 6.0% for the three months ended June 30, 2006, compared to 5.5% for the three months ended June 30, 2005. The annualized yield on U.S. invested assets and on cash and cash equivalents was 5.9% for the six months ended June 30, 2006, compared to 5.5% for the six months ended June 30, 2005. We calculate annualized yields using a simple average of asset classes at the beginning and end of the reporting period.</w:t>
      </w:r>
    </w:p>
    <w:p>
      <w:pPr>
        <w:spacing w:after="0" w:line="18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U.S. Invested Assets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Investment Income Yields by Asset Type</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10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1400" w:type="dxa"/>
            <w:vAlign w:val="bottom"/>
            <w:tcBorders>
              <w:bottom w:val="single" w:sz="8" w:color="auto"/>
            </w:tcBorders>
          </w:tcPr>
          <w:p>
            <w:pPr>
              <w:spacing w:after="0"/>
              <w:rPr>
                <w:sz w:val="14"/>
                <w:szCs w:val="14"/>
                <w:color w:val="auto"/>
              </w:rPr>
            </w:pPr>
          </w:p>
        </w:tc>
        <w:tc>
          <w:tcPr>
            <w:tcW w:w="2720" w:type="dxa"/>
            <w:vAlign w:val="bottom"/>
            <w:tcBorders>
              <w:bottom w:val="single" w:sz="8" w:color="auto"/>
            </w:tcBorders>
            <w:gridSpan w:val="5"/>
          </w:tcPr>
          <w:p>
            <w:pPr>
              <w:jc w:val="center"/>
              <w:ind w:right="273"/>
              <w:spacing w:after="0"/>
              <w:rPr>
                <w:sz w:val="20"/>
                <w:szCs w:val="20"/>
                <w:color w:val="auto"/>
              </w:rPr>
            </w:pPr>
            <w:r>
              <w:rPr>
                <w:rFonts w:ascii="Arial" w:cs="Arial" w:eastAsia="Arial" w:hAnsi="Arial"/>
                <w:sz w:val="14"/>
                <w:szCs w:val="14"/>
                <w:b w:val="1"/>
                <w:bCs w:val="1"/>
                <w:color w:val="auto"/>
                <w:w w:val="91"/>
              </w:rPr>
              <w:t>For the three months ended June 30,</w:t>
            </w:r>
          </w:p>
        </w:tc>
        <w:tc>
          <w:tcPr>
            <w:tcW w:w="1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4100" w:type="dxa"/>
            <w:vAlign w:val="bottom"/>
          </w:tcPr>
          <w:p>
            <w:pPr>
              <w:spacing w:after="0"/>
              <w:rPr>
                <w:sz w:val="11"/>
                <w:szCs w:val="11"/>
                <w:color w:val="auto"/>
              </w:rPr>
            </w:pPr>
          </w:p>
        </w:tc>
        <w:tc>
          <w:tcPr>
            <w:tcW w:w="2040" w:type="dxa"/>
            <w:vAlign w:val="bottom"/>
          </w:tcPr>
          <w:p>
            <w:pPr>
              <w:spacing w:after="0"/>
              <w:rPr>
                <w:sz w:val="11"/>
                <w:szCs w:val="11"/>
                <w:color w:val="auto"/>
              </w:rPr>
            </w:pPr>
          </w:p>
        </w:tc>
        <w:tc>
          <w:tcPr>
            <w:tcW w:w="140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2006</w:t>
            </w:r>
          </w:p>
        </w:tc>
        <w:tc>
          <w:tcPr>
            <w:tcW w:w="200" w:type="dxa"/>
            <w:vAlign w:val="bottom"/>
            <w:tcBorders>
              <w:bottom w:val="single" w:sz="8" w:color="auto"/>
            </w:tcBorders>
          </w:tcPr>
          <w:p>
            <w:pPr>
              <w:spacing w:after="0"/>
              <w:rPr>
                <w:sz w:val="11"/>
                <w:szCs w:val="11"/>
                <w:color w:val="auto"/>
              </w:rPr>
            </w:pPr>
          </w:p>
        </w:tc>
        <w:tc>
          <w:tcPr>
            <w:tcW w:w="900" w:type="dxa"/>
            <w:vAlign w:val="bottom"/>
            <w:tcBorders>
              <w:bottom w:val="single" w:sz="8" w:color="auto"/>
            </w:tcBorders>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1080" w:type="dxa"/>
            <w:vAlign w:val="bottom"/>
            <w:tcBorders>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rPr>
              <w:t>2005</w:t>
            </w:r>
          </w:p>
        </w:tc>
        <w:tc>
          <w:tcPr>
            <w:tcW w:w="180" w:type="dxa"/>
            <w:vAlign w:val="bottom"/>
            <w:tcBorders>
              <w:bottom w:val="single" w:sz="8" w:color="auto"/>
            </w:tcBorders>
          </w:tcPr>
          <w:p>
            <w:pPr>
              <w:spacing w:after="0"/>
              <w:rPr>
                <w:sz w:val="11"/>
                <w:szCs w:val="11"/>
                <w:color w:val="auto"/>
              </w:rPr>
            </w:pPr>
          </w:p>
        </w:tc>
        <w:tc>
          <w:tcPr>
            <w:tcW w:w="880" w:type="dxa"/>
            <w:vAlign w:val="bottom"/>
            <w:tcBorders>
              <w:bottom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4100" w:type="dxa"/>
            <w:vAlign w:val="bottom"/>
          </w:tcPr>
          <w:p>
            <w:pPr>
              <w:spacing w:after="0"/>
              <w:rPr>
                <w:sz w:val="11"/>
                <w:szCs w:val="11"/>
                <w:color w:val="auto"/>
              </w:rPr>
            </w:pPr>
          </w:p>
        </w:tc>
        <w:tc>
          <w:tcPr>
            <w:tcW w:w="2040" w:type="dxa"/>
            <w:vAlign w:val="bottom"/>
          </w:tcPr>
          <w:p>
            <w:pPr>
              <w:spacing w:after="0"/>
              <w:rPr>
                <w:sz w:val="11"/>
                <w:szCs w:val="11"/>
                <w:color w:val="auto"/>
              </w:rPr>
            </w:pPr>
          </w:p>
        </w:tc>
        <w:tc>
          <w:tcPr>
            <w:tcW w:w="1400" w:type="dxa"/>
            <w:vAlign w:val="bottom"/>
            <w:tcBorders>
              <w:bottom w:val="single" w:sz="8" w:color="auto"/>
            </w:tcBorders>
          </w:tcPr>
          <w:p>
            <w:pPr>
              <w:jc w:val="right"/>
              <w:ind w:right="688"/>
              <w:spacing w:after="0" w:line="129" w:lineRule="exact"/>
              <w:rPr>
                <w:sz w:val="20"/>
                <w:szCs w:val="20"/>
                <w:color w:val="auto"/>
              </w:rPr>
            </w:pPr>
            <w:r>
              <w:rPr>
                <w:rFonts w:ascii="Arial" w:cs="Arial" w:eastAsia="Arial" w:hAnsi="Arial"/>
                <w:sz w:val="14"/>
                <w:szCs w:val="14"/>
                <w:b w:val="1"/>
                <w:bCs w:val="1"/>
                <w:color w:val="auto"/>
              </w:rPr>
              <w:t>Yield</w:t>
            </w:r>
          </w:p>
        </w:tc>
        <w:tc>
          <w:tcPr>
            <w:tcW w:w="200" w:type="dxa"/>
            <w:vAlign w:val="bottom"/>
            <w:tcBorders>
              <w:bottom w:val="single" w:sz="8" w:color="auto"/>
            </w:tcBorders>
          </w:tcPr>
          <w:p>
            <w:pPr>
              <w:spacing w:after="0"/>
              <w:rPr>
                <w:sz w:val="11"/>
                <w:szCs w:val="11"/>
                <w:color w:val="auto"/>
              </w:rPr>
            </w:pPr>
          </w:p>
        </w:tc>
        <w:tc>
          <w:tcPr>
            <w:tcW w:w="900" w:type="dxa"/>
            <w:vAlign w:val="bottom"/>
            <w:tcBorders>
              <w:bottom w:val="single" w:sz="8" w:color="auto"/>
            </w:tcBorders>
          </w:tcPr>
          <w:p>
            <w:pPr>
              <w:jc w:val="right"/>
              <w:ind w:right="213"/>
              <w:spacing w:after="0" w:line="129" w:lineRule="exact"/>
              <w:rPr>
                <w:sz w:val="20"/>
                <w:szCs w:val="20"/>
                <w:color w:val="auto"/>
              </w:rPr>
            </w:pPr>
            <w:r>
              <w:rPr>
                <w:rFonts w:ascii="Arial" w:cs="Arial" w:eastAsia="Arial" w:hAnsi="Arial"/>
                <w:sz w:val="14"/>
                <w:szCs w:val="14"/>
                <w:b w:val="1"/>
                <w:bCs w:val="1"/>
                <w:color w:val="auto"/>
              </w:rPr>
              <w:t>Amount</w:t>
            </w:r>
          </w:p>
        </w:tc>
        <w:tc>
          <w:tcPr>
            <w:tcW w:w="26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1080" w:type="dxa"/>
            <w:vAlign w:val="bottom"/>
            <w:tcBorders>
              <w:bottom w:val="single" w:sz="8" w:color="auto"/>
            </w:tcBorders>
          </w:tcPr>
          <w:p>
            <w:pPr>
              <w:jc w:val="right"/>
              <w:ind w:right="633"/>
              <w:spacing w:after="0" w:line="129" w:lineRule="exact"/>
              <w:rPr>
                <w:sz w:val="20"/>
                <w:szCs w:val="20"/>
                <w:color w:val="auto"/>
              </w:rPr>
            </w:pPr>
            <w:r>
              <w:rPr>
                <w:rFonts w:ascii="Arial" w:cs="Arial" w:eastAsia="Arial" w:hAnsi="Arial"/>
                <w:sz w:val="14"/>
                <w:szCs w:val="14"/>
                <w:b w:val="1"/>
                <w:bCs w:val="1"/>
                <w:color w:val="auto"/>
              </w:rPr>
              <w:t>Yield</w:t>
            </w:r>
          </w:p>
        </w:tc>
        <w:tc>
          <w:tcPr>
            <w:tcW w:w="180" w:type="dxa"/>
            <w:vAlign w:val="bottom"/>
            <w:tcBorders>
              <w:bottom w:val="single" w:sz="8" w:color="auto"/>
            </w:tcBorders>
          </w:tcPr>
          <w:p>
            <w:pPr>
              <w:spacing w:after="0"/>
              <w:rPr>
                <w:sz w:val="11"/>
                <w:szCs w:val="11"/>
                <w:color w:val="auto"/>
              </w:rPr>
            </w:pPr>
          </w:p>
        </w:tc>
        <w:tc>
          <w:tcPr>
            <w:tcW w:w="880" w:type="dxa"/>
            <w:vAlign w:val="bottom"/>
            <w:tcBorders>
              <w:bottom w:val="single" w:sz="8" w:color="auto"/>
            </w:tcBorders>
          </w:tcPr>
          <w:p>
            <w:pPr>
              <w:jc w:val="right"/>
              <w:ind w:right="191"/>
              <w:spacing w:after="0" w:line="129" w:lineRule="exact"/>
              <w:rPr>
                <w:sz w:val="20"/>
                <w:szCs w:val="20"/>
                <w:color w:val="auto"/>
              </w:rPr>
            </w:pPr>
            <w:r>
              <w:rPr>
                <w:rFonts w:ascii="Arial" w:cs="Arial" w:eastAsia="Arial" w:hAnsi="Arial"/>
                <w:sz w:val="14"/>
                <w:szCs w:val="14"/>
                <w:b w:val="1"/>
                <w:bCs w:val="1"/>
                <w:color w:val="auto"/>
              </w:rPr>
              <w:t>Amount</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4100" w:type="dxa"/>
            <w:vAlign w:val="bottom"/>
          </w:tcPr>
          <w:p>
            <w:pPr>
              <w:spacing w:after="0"/>
              <w:rPr>
                <w:sz w:val="11"/>
                <w:szCs w:val="11"/>
                <w:color w:val="auto"/>
              </w:rPr>
            </w:pPr>
          </w:p>
        </w:tc>
        <w:tc>
          <w:tcPr>
            <w:tcW w:w="2040" w:type="dxa"/>
            <w:vAlign w:val="bottom"/>
          </w:tcPr>
          <w:p>
            <w:pPr>
              <w:spacing w:after="0"/>
              <w:rPr>
                <w:sz w:val="11"/>
                <w:szCs w:val="11"/>
                <w:color w:val="auto"/>
              </w:rPr>
            </w:pPr>
          </w:p>
        </w:tc>
        <w:tc>
          <w:tcPr>
            <w:tcW w:w="1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40" w:type="dxa"/>
            <w:vAlign w:val="bottom"/>
            <w:gridSpan w:val="3"/>
          </w:tcPr>
          <w:p>
            <w:pPr>
              <w:jc w:val="center"/>
              <w:ind w:left="453"/>
              <w:spacing w:after="0" w:line="129" w:lineRule="exact"/>
              <w:rPr>
                <w:sz w:val="20"/>
                <w:szCs w:val="20"/>
                <w:color w:val="auto"/>
              </w:rPr>
            </w:pPr>
            <w:r>
              <w:rPr>
                <w:rFonts w:ascii="Arial" w:cs="Arial" w:eastAsia="Arial" w:hAnsi="Arial"/>
                <w:sz w:val="14"/>
                <w:szCs w:val="14"/>
                <w:b w:val="1"/>
                <w:bCs w:val="1"/>
                <w:color w:val="auto"/>
                <w:w w:val="95"/>
              </w:rPr>
              <w:t>($ in millions)</w:t>
            </w:r>
          </w:p>
        </w:tc>
        <w:tc>
          <w:tcPr>
            <w:tcW w:w="10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Fixed maturity securities</w:t>
            </w:r>
          </w:p>
        </w:tc>
        <w:tc>
          <w:tcPr>
            <w:tcW w:w="3440" w:type="dxa"/>
            <w:vAlign w:val="bottom"/>
            <w:gridSpan w:val="2"/>
            <w:shd w:val="clear" w:color="auto" w:fill="CCEEFF"/>
          </w:tcPr>
          <w:p>
            <w:pPr>
              <w:ind w:left="2760"/>
              <w:spacing w:after="0"/>
              <w:rPr>
                <w:sz w:val="20"/>
                <w:szCs w:val="20"/>
                <w:color w:val="auto"/>
              </w:rPr>
            </w:pPr>
            <w:r>
              <w:rPr>
                <w:rFonts w:ascii="Arial" w:cs="Arial" w:eastAsia="Arial" w:hAnsi="Arial"/>
                <w:sz w:val="18"/>
                <w:szCs w:val="18"/>
                <w:b w:val="1"/>
                <w:bCs w:val="1"/>
                <w:color w:val="auto"/>
              </w:rPr>
              <w:t>6.1%</w:t>
            </w:r>
          </w:p>
        </w:tc>
        <w:tc>
          <w:tcPr>
            <w:tcW w:w="200" w:type="dxa"/>
            <w:vAlign w:val="bottom"/>
            <w:shd w:val="clear" w:color="auto" w:fill="CCEEFF"/>
          </w:tcPr>
          <w:p>
            <w:pPr>
              <w:jc w:val="right"/>
              <w:ind w:right="16"/>
              <w:spacing w:after="0"/>
              <w:rPr>
                <w:sz w:val="20"/>
                <w:szCs w:val="20"/>
                <w:color w:val="auto"/>
              </w:rPr>
            </w:pPr>
            <w:r>
              <w:rPr>
                <w:rFonts w:ascii="Arial" w:cs="Arial" w:eastAsia="Arial" w:hAnsi="Arial"/>
                <w:sz w:val="18"/>
                <w:szCs w:val="18"/>
                <w:b w:val="1"/>
                <w:bCs w:val="1"/>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613.9</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153"/>
              <w:spacing w:after="0"/>
              <w:rPr>
                <w:sz w:val="20"/>
                <w:szCs w:val="20"/>
                <w:color w:val="auto"/>
              </w:rPr>
            </w:pPr>
            <w:r>
              <w:rPr>
                <w:rFonts w:ascii="Arial" w:cs="Arial" w:eastAsia="Arial" w:hAnsi="Arial"/>
                <w:sz w:val="18"/>
                <w:szCs w:val="18"/>
                <w:color w:val="auto"/>
              </w:rPr>
              <w:t>5.8%</w:t>
            </w: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575.3</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tcPr>
          <w:p>
            <w:pPr>
              <w:spacing w:after="0"/>
              <w:rPr>
                <w:sz w:val="20"/>
                <w:szCs w:val="20"/>
                <w:color w:val="auto"/>
              </w:rPr>
            </w:pPr>
            <w:r>
              <w:rPr>
                <w:rFonts w:ascii="Arial" w:cs="Arial" w:eastAsia="Arial" w:hAnsi="Arial"/>
                <w:sz w:val="18"/>
                <w:szCs w:val="18"/>
                <w:color w:val="auto"/>
              </w:rPr>
              <w:t>Equity securities</w:t>
            </w:r>
          </w:p>
        </w:tc>
        <w:tc>
          <w:tcPr>
            <w:tcW w:w="3440" w:type="dxa"/>
            <w:vAlign w:val="bottom"/>
            <w:gridSpan w:val="2"/>
          </w:tcPr>
          <w:p>
            <w:pPr>
              <w:ind w:left="2760"/>
              <w:spacing w:after="0"/>
              <w:rPr>
                <w:sz w:val="20"/>
                <w:szCs w:val="20"/>
                <w:color w:val="auto"/>
              </w:rPr>
            </w:pPr>
            <w:r>
              <w:rPr>
                <w:rFonts w:ascii="Arial" w:cs="Arial" w:eastAsia="Arial" w:hAnsi="Arial"/>
                <w:sz w:val="18"/>
                <w:szCs w:val="18"/>
                <w:b w:val="1"/>
                <w:bCs w:val="1"/>
                <w:color w:val="auto"/>
              </w:rPr>
              <w:t>6.3</w:t>
            </w: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12.3</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ind w:right="313"/>
              <w:spacing w:after="0"/>
              <w:rPr>
                <w:sz w:val="20"/>
                <w:szCs w:val="20"/>
                <w:color w:val="auto"/>
              </w:rPr>
            </w:pPr>
            <w:r>
              <w:rPr>
                <w:rFonts w:ascii="Arial" w:cs="Arial" w:eastAsia="Arial" w:hAnsi="Arial"/>
                <w:sz w:val="18"/>
                <w:szCs w:val="18"/>
                <w:color w:val="auto"/>
              </w:rPr>
              <w:t>6.8</w:t>
            </w: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12.4</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Mortgage loans — commercial</w:t>
            </w:r>
          </w:p>
        </w:tc>
        <w:tc>
          <w:tcPr>
            <w:tcW w:w="3440" w:type="dxa"/>
            <w:vAlign w:val="bottom"/>
            <w:gridSpan w:val="2"/>
            <w:shd w:val="clear" w:color="auto" w:fill="CCEEFF"/>
          </w:tcPr>
          <w:p>
            <w:pPr>
              <w:ind w:left="2760"/>
              <w:spacing w:after="0"/>
              <w:rPr>
                <w:sz w:val="20"/>
                <w:szCs w:val="20"/>
                <w:color w:val="auto"/>
              </w:rPr>
            </w:pPr>
            <w:r>
              <w:rPr>
                <w:rFonts w:ascii="Arial" w:cs="Arial" w:eastAsia="Arial" w:hAnsi="Arial"/>
                <w:sz w:val="18"/>
                <w:szCs w:val="18"/>
                <w:b w:val="1"/>
                <w:bCs w:val="1"/>
                <w:color w:val="auto"/>
              </w:rPr>
              <w:t>6.6</w:t>
            </w: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163.3</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313"/>
              <w:spacing w:after="0"/>
              <w:rPr>
                <w:sz w:val="20"/>
                <w:szCs w:val="20"/>
                <w:color w:val="auto"/>
              </w:rPr>
            </w:pPr>
            <w:r>
              <w:rPr>
                <w:rFonts w:ascii="Arial" w:cs="Arial" w:eastAsia="Arial" w:hAnsi="Arial"/>
                <w:sz w:val="18"/>
                <w:szCs w:val="18"/>
                <w:color w:val="auto"/>
              </w:rPr>
              <w:t>6.6</w:t>
            </w: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169.2</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tcPr>
          <w:p>
            <w:pPr>
              <w:spacing w:after="0"/>
              <w:rPr>
                <w:sz w:val="20"/>
                <w:szCs w:val="20"/>
                <w:color w:val="auto"/>
              </w:rPr>
            </w:pPr>
            <w:r>
              <w:rPr>
                <w:rFonts w:ascii="Arial" w:cs="Arial" w:eastAsia="Arial" w:hAnsi="Arial"/>
                <w:sz w:val="18"/>
                <w:szCs w:val="18"/>
                <w:color w:val="auto"/>
              </w:rPr>
              <w:t>Mortgage loans — residential</w:t>
            </w:r>
          </w:p>
        </w:tc>
        <w:tc>
          <w:tcPr>
            <w:tcW w:w="3440" w:type="dxa"/>
            <w:vAlign w:val="bottom"/>
            <w:gridSpan w:val="2"/>
          </w:tcPr>
          <w:p>
            <w:pPr>
              <w:ind w:left="2760"/>
              <w:spacing w:after="0"/>
              <w:rPr>
                <w:sz w:val="20"/>
                <w:szCs w:val="20"/>
                <w:color w:val="auto"/>
              </w:rPr>
            </w:pPr>
            <w:r>
              <w:rPr>
                <w:rFonts w:ascii="Arial" w:cs="Arial" w:eastAsia="Arial" w:hAnsi="Arial"/>
                <w:sz w:val="18"/>
                <w:szCs w:val="18"/>
                <w:b w:val="1"/>
                <w:bCs w:val="1"/>
                <w:color w:val="auto"/>
              </w:rPr>
              <w:t>5.0</w:t>
            </w: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13.3</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ind w:right="313"/>
              <w:spacing w:after="0"/>
              <w:rPr>
                <w:sz w:val="20"/>
                <w:szCs w:val="20"/>
                <w:color w:val="auto"/>
              </w:rPr>
            </w:pPr>
            <w:r>
              <w:rPr>
                <w:rFonts w:ascii="Arial" w:cs="Arial" w:eastAsia="Arial" w:hAnsi="Arial"/>
                <w:sz w:val="18"/>
                <w:szCs w:val="18"/>
                <w:color w:val="auto"/>
              </w:rPr>
              <w:t>4.5</w:t>
            </w: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12.8</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Real estate</w:t>
            </w:r>
          </w:p>
        </w:tc>
        <w:tc>
          <w:tcPr>
            <w:tcW w:w="3440" w:type="dxa"/>
            <w:vAlign w:val="bottom"/>
            <w:gridSpan w:val="2"/>
            <w:shd w:val="clear" w:color="auto" w:fill="CCEEFF"/>
          </w:tcPr>
          <w:p>
            <w:pPr>
              <w:ind w:left="2760"/>
              <w:spacing w:after="0"/>
              <w:rPr>
                <w:sz w:val="20"/>
                <w:szCs w:val="20"/>
                <w:color w:val="auto"/>
              </w:rPr>
            </w:pPr>
            <w:r>
              <w:rPr>
                <w:rFonts w:ascii="Arial" w:cs="Arial" w:eastAsia="Arial" w:hAnsi="Arial"/>
                <w:sz w:val="18"/>
                <w:szCs w:val="18"/>
                <w:b w:val="1"/>
                <w:bCs w:val="1"/>
                <w:color w:val="auto"/>
              </w:rPr>
              <w:t>8.6</w:t>
            </w: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21.3</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313"/>
              <w:spacing w:after="0"/>
              <w:rPr>
                <w:sz w:val="20"/>
                <w:szCs w:val="20"/>
                <w:color w:val="auto"/>
              </w:rPr>
            </w:pPr>
            <w:r>
              <w:rPr>
                <w:rFonts w:ascii="Arial" w:cs="Arial" w:eastAsia="Arial" w:hAnsi="Arial"/>
                <w:sz w:val="18"/>
                <w:szCs w:val="18"/>
                <w:color w:val="auto"/>
              </w:rPr>
              <w:t>5.8</w:t>
            </w: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tcPr>
          <w:p>
            <w:pPr>
              <w:spacing w:after="0"/>
              <w:rPr>
                <w:sz w:val="20"/>
                <w:szCs w:val="20"/>
                <w:color w:val="auto"/>
              </w:rPr>
            </w:pPr>
            <w:r>
              <w:rPr>
                <w:rFonts w:ascii="Arial" w:cs="Arial" w:eastAsia="Arial" w:hAnsi="Arial"/>
                <w:sz w:val="18"/>
                <w:szCs w:val="18"/>
                <w:color w:val="auto"/>
              </w:rPr>
              <w:t>Policy loans</w:t>
            </w:r>
          </w:p>
        </w:tc>
        <w:tc>
          <w:tcPr>
            <w:tcW w:w="3440" w:type="dxa"/>
            <w:vAlign w:val="bottom"/>
            <w:gridSpan w:val="2"/>
          </w:tcPr>
          <w:p>
            <w:pPr>
              <w:ind w:left="2760"/>
              <w:spacing w:after="0"/>
              <w:rPr>
                <w:sz w:val="20"/>
                <w:szCs w:val="20"/>
                <w:color w:val="auto"/>
              </w:rPr>
            </w:pPr>
            <w:r>
              <w:rPr>
                <w:rFonts w:ascii="Arial" w:cs="Arial" w:eastAsia="Arial" w:hAnsi="Arial"/>
                <w:sz w:val="18"/>
                <w:szCs w:val="18"/>
                <w:b w:val="1"/>
                <w:bCs w:val="1"/>
                <w:color w:val="auto"/>
              </w:rPr>
              <w:t>5.9</w:t>
            </w: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12.4</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ind w:right="313"/>
              <w:spacing w:after="0"/>
              <w:rPr>
                <w:sz w:val="20"/>
                <w:szCs w:val="20"/>
                <w:color w:val="auto"/>
              </w:rPr>
            </w:pPr>
            <w:r>
              <w:rPr>
                <w:rFonts w:ascii="Arial" w:cs="Arial" w:eastAsia="Arial" w:hAnsi="Arial"/>
                <w:sz w:val="18"/>
                <w:szCs w:val="18"/>
                <w:color w:val="auto"/>
              </w:rPr>
              <w:t>6.2</w:t>
            </w: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12.6</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3440" w:type="dxa"/>
            <w:vAlign w:val="bottom"/>
            <w:gridSpan w:val="2"/>
            <w:shd w:val="clear" w:color="auto" w:fill="CCEEFF"/>
          </w:tcPr>
          <w:p>
            <w:pPr>
              <w:ind w:left="2760"/>
              <w:spacing w:after="0"/>
              <w:rPr>
                <w:sz w:val="20"/>
                <w:szCs w:val="20"/>
                <w:color w:val="auto"/>
              </w:rPr>
            </w:pPr>
            <w:r>
              <w:rPr>
                <w:rFonts w:ascii="Arial" w:cs="Arial" w:eastAsia="Arial" w:hAnsi="Arial"/>
                <w:sz w:val="18"/>
                <w:szCs w:val="18"/>
                <w:b w:val="1"/>
                <w:bCs w:val="1"/>
                <w:color w:val="auto"/>
              </w:rPr>
              <w:t>3.6</w:t>
            </w: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12.0</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313"/>
              <w:spacing w:after="0"/>
              <w:rPr>
                <w:sz w:val="20"/>
                <w:szCs w:val="20"/>
                <w:color w:val="auto"/>
              </w:rPr>
            </w:pPr>
            <w:r>
              <w:rPr>
                <w:rFonts w:ascii="Arial" w:cs="Arial" w:eastAsia="Arial" w:hAnsi="Arial"/>
                <w:sz w:val="18"/>
                <w:szCs w:val="18"/>
                <w:color w:val="auto"/>
              </w:rPr>
              <w:t>2.8</w:t>
            </w: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tcPr>
          <w:p>
            <w:pPr>
              <w:spacing w:after="0"/>
              <w:rPr>
                <w:sz w:val="20"/>
                <w:szCs w:val="20"/>
                <w:color w:val="auto"/>
              </w:rPr>
            </w:pPr>
            <w:r>
              <w:rPr>
                <w:rFonts w:ascii="Arial" w:cs="Arial" w:eastAsia="Arial" w:hAnsi="Arial"/>
                <w:sz w:val="18"/>
                <w:szCs w:val="18"/>
                <w:color w:val="auto"/>
              </w:rPr>
              <w:t>Other investments</w:t>
            </w:r>
          </w:p>
        </w:tc>
        <w:tc>
          <w:tcPr>
            <w:tcW w:w="3440" w:type="dxa"/>
            <w:vAlign w:val="bottom"/>
            <w:gridSpan w:val="2"/>
          </w:tcPr>
          <w:p>
            <w:pPr>
              <w:ind w:left="2760"/>
              <w:spacing w:after="0"/>
              <w:rPr>
                <w:sz w:val="20"/>
                <w:szCs w:val="20"/>
                <w:color w:val="auto"/>
              </w:rPr>
            </w:pPr>
            <w:r>
              <w:rPr>
                <w:rFonts w:ascii="Arial" w:cs="Arial" w:eastAsia="Arial" w:hAnsi="Arial"/>
                <w:sz w:val="18"/>
                <w:szCs w:val="18"/>
                <w:b w:val="1"/>
                <w:bCs w:val="1"/>
                <w:color w:val="auto"/>
              </w:rPr>
              <w:t>8.8</w:t>
            </w: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20.0</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jc w:val="right"/>
              <w:ind w:right="253"/>
              <w:spacing w:after="0"/>
              <w:rPr>
                <w:sz w:val="20"/>
                <w:szCs w:val="20"/>
                <w:color w:val="auto"/>
              </w:rPr>
            </w:pPr>
            <w:r>
              <w:rPr>
                <w:rFonts w:ascii="Arial" w:cs="Arial" w:eastAsia="Arial" w:hAnsi="Arial"/>
                <w:sz w:val="18"/>
                <w:szCs w:val="18"/>
                <w:color w:val="auto"/>
              </w:rPr>
              <w:t>(0.3)</w:t>
            </w:r>
          </w:p>
        </w:tc>
        <w:tc>
          <w:tcPr>
            <w:tcW w:w="18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(0.7)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10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before investment expenses</w:t>
            </w:r>
          </w:p>
        </w:tc>
        <w:tc>
          <w:tcPr>
            <w:tcW w:w="3440" w:type="dxa"/>
            <w:vAlign w:val="bottom"/>
            <w:tcBorders>
              <w:top w:val="single" w:sz="8" w:color="CCEEFF"/>
            </w:tcBorders>
            <w:gridSpan w:val="2"/>
            <w:shd w:val="clear" w:color="auto" w:fill="CCEEFF"/>
          </w:tcPr>
          <w:p>
            <w:pPr>
              <w:ind w:left="2760"/>
              <w:spacing w:after="0"/>
              <w:rPr>
                <w:sz w:val="20"/>
                <w:szCs w:val="20"/>
                <w:color w:val="auto"/>
              </w:rPr>
            </w:pPr>
            <w:r>
              <w:rPr>
                <w:rFonts w:ascii="Arial" w:cs="Arial" w:eastAsia="Arial" w:hAnsi="Arial"/>
                <w:sz w:val="18"/>
                <w:szCs w:val="18"/>
                <w:b w:val="1"/>
                <w:bCs w:val="1"/>
                <w:color w:val="auto"/>
              </w:rPr>
              <w:t>6.2</w:t>
            </w: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868.5</w:t>
            </w:r>
          </w:p>
        </w:tc>
        <w:tc>
          <w:tcPr>
            <w:tcW w:w="26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080" w:type="dxa"/>
            <w:vAlign w:val="bottom"/>
            <w:tcBorders>
              <w:top w:val="single" w:sz="8" w:color="CCEEFF"/>
            </w:tcBorders>
            <w:shd w:val="clear" w:color="auto" w:fill="CCEEFF"/>
          </w:tcPr>
          <w:p>
            <w:pPr>
              <w:jc w:val="right"/>
              <w:ind w:right="313"/>
              <w:spacing w:after="0"/>
              <w:rPr>
                <w:sz w:val="20"/>
                <w:szCs w:val="20"/>
                <w:color w:val="auto"/>
              </w:rPr>
            </w:pPr>
            <w:r>
              <w:rPr>
                <w:rFonts w:ascii="Arial" w:cs="Arial" w:eastAsia="Arial" w:hAnsi="Arial"/>
                <w:sz w:val="18"/>
                <w:szCs w:val="18"/>
                <w:color w:val="auto"/>
              </w:rPr>
              <w:t>5.8</w:t>
            </w:r>
          </w:p>
        </w:tc>
        <w:tc>
          <w:tcPr>
            <w:tcW w:w="18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801.3</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Investment expenses</w:t>
            </w:r>
          </w:p>
        </w:tc>
        <w:tc>
          <w:tcPr>
            <w:tcW w:w="3440" w:type="dxa"/>
            <w:vAlign w:val="bottom"/>
            <w:tcBorders>
              <w:bottom w:val="single" w:sz="8" w:color="CCEEFF"/>
            </w:tcBorders>
            <w:gridSpan w:val="2"/>
          </w:tcPr>
          <w:p>
            <w:pPr>
              <w:ind w:left="2760"/>
              <w:spacing w:after="0"/>
              <w:rPr>
                <w:sz w:val="20"/>
                <w:szCs w:val="20"/>
                <w:color w:val="auto"/>
              </w:rPr>
            </w:pPr>
            <w:r>
              <w:rPr>
                <w:rFonts w:ascii="Arial" w:cs="Arial" w:eastAsia="Arial" w:hAnsi="Arial"/>
                <w:sz w:val="18"/>
                <w:szCs w:val="18"/>
                <w:b w:val="1"/>
                <w:bCs w:val="1"/>
                <w:color w:val="auto"/>
              </w:rPr>
              <w:t>0.2</w:t>
            </w: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31.3</w:t>
            </w:r>
          </w:p>
        </w:tc>
        <w:tc>
          <w:tcPr>
            <w:tcW w:w="260" w:type="dxa"/>
            <w:vAlign w:val="bottom"/>
            <w:tcBorders>
              <w:bottom w:val="single" w:sz="8" w:color="CCEEFF"/>
            </w:tcBorders>
          </w:tcPr>
          <w:p>
            <w:pPr>
              <w:spacing w:after="0"/>
              <w:rPr>
                <w:sz w:val="18"/>
                <w:szCs w:val="18"/>
                <w:color w:val="auto"/>
              </w:rPr>
            </w:pPr>
          </w:p>
        </w:tc>
        <w:tc>
          <w:tcPr>
            <w:tcW w:w="280" w:type="dxa"/>
            <w:vAlign w:val="bottom"/>
            <w:tcBorders>
              <w:bottom w:val="single" w:sz="8" w:color="CCEEFF"/>
            </w:tcBorders>
          </w:tcPr>
          <w:p>
            <w:pPr>
              <w:spacing w:after="0"/>
              <w:rPr>
                <w:sz w:val="18"/>
                <w:szCs w:val="18"/>
                <w:color w:val="auto"/>
              </w:rPr>
            </w:pPr>
          </w:p>
        </w:tc>
        <w:tc>
          <w:tcPr>
            <w:tcW w:w="1080" w:type="dxa"/>
            <w:vAlign w:val="bottom"/>
            <w:tcBorders>
              <w:bottom w:val="single" w:sz="8" w:color="CCEEFF"/>
            </w:tcBorders>
          </w:tcPr>
          <w:p>
            <w:pPr>
              <w:jc w:val="right"/>
              <w:ind w:right="313"/>
              <w:spacing w:after="0"/>
              <w:rPr>
                <w:sz w:val="20"/>
                <w:szCs w:val="20"/>
                <w:color w:val="auto"/>
              </w:rPr>
            </w:pPr>
            <w:r>
              <w:rPr>
                <w:rFonts w:ascii="Arial" w:cs="Arial" w:eastAsia="Arial" w:hAnsi="Arial"/>
                <w:sz w:val="18"/>
                <w:szCs w:val="18"/>
                <w:color w:val="auto"/>
              </w:rPr>
              <w:t>0.3</w:t>
            </w:r>
          </w:p>
        </w:tc>
        <w:tc>
          <w:tcPr>
            <w:tcW w:w="1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35.1</w:t>
            </w:r>
          </w:p>
        </w:tc>
        <w:tc>
          <w:tcPr>
            <w:tcW w:w="10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1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Net investment income</w:t>
            </w:r>
          </w:p>
        </w:tc>
        <w:tc>
          <w:tcPr>
            <w:tcW w:w="3440" w:type="dxa"/>
            <w:vAlign w:val="bottom"/>
            <w:tcBorders>
              <w:bottom w:val="single" w:sz="8" w:color="CCEEFF"/>
            </w:tcBorders>
            <w:gridSpan w:val="2"/>
            <w:shd w:val="clear" w:color="auto" w:fill="CCEEFF"/>
          </w:tcPr>
          <w:p>
            <w:pPr>
              <w:ind w:left="2760"/>
              <w:spacing w:after="0"/>
              <w:rPr>
                <w:sz w:val="20"/>
                <w:szCs w:val="20"/>
                <w:color w:val="auto"/>
              </w:rPr>
            </w:pPr>
            <w:r>
              <w:rPr>
                <w:rFonts w:ascii="Arial" w:cs="Arial" w:eastAsia="Arial" w:hAnsi="Arial"/>
                <w:sz w:val="18"/>
                <w:szCs w:val="18"/>
                <w:b w:val="1"/>
                <w:bCs w:val="1"/>
                <w:color w:val="auto"/>
              </w:rPr>
              <w:t>6.0%</w:t>
            </w:r>
          </w:p>
        </w:tc>
        <w:tc>
          <w:tcPr>
            <w:tcW w:w="20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b w:val="1"/>
                <w:bCs w:val="1"/>
                <w:color w:val="auto"/>
                <w:w w:val="7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837.2</w:t>
            </w:r>
          </w:p>
        </w:tc>
        <w:tc>
          <w:tcPr>
            <w:tcW w:w="26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CCEEFF"/>
            </w:tcBorders>
            <w:shd w:val="clear" w:color="auto" w:fill="CCEEFF"/>
          </w:tcPr>
          <w:p>
            <w:pPr>
              <w:spacing w:after="0"/>
              <w:rPr>
                <w:sz w:val="18"/>
                <w:szCs w:val="18"/>
                <w:color w:val="auto"/>
              </w:rPr>
            </w:pPr>
          </w:p>
        </w:tc>
        <w:tc>
          <w:tcPr>
            <w:tcW w:w="108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8"/>
                <w:szCs w:val="18"/>
                <w:color w:val="auto"/>
              </w:rPr>
              <w:t>5.5%</w:t>
            </w:r>
          </w:p>
        </w:tc>
        <w:tc>
          <w:tcPr>
            <w:tcW w:w="180" w:type="dxa"/>
            <w:vAlign w:val="bottom"/>
            <w:tcBorders>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766.2</w:t>
            </w:r>
          </w:p>
        </w:tc>
        <w:tc>
          <w:tcPr>
            <w:tcW w:w="100" w:type="dxa"/>
            <w:vAlign w:val="bottom"/>
            <w:tcBorders>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100" w:type="dxa"/>
            <w:vAlign w:val="bottom"/>
          </w:tcPr>
          <w:p>
            <w:pPr>
              <w:spacing w:after="0" w:line="20" w:lineRule="exact"/>
              <w:rPr>
                <w:sz w:val="1"/>
                <w:szCs w:val="1"/>
                <w:color w:val="auto"/>
              </w:rPr>
            </w:pPr>
          </w:p>
        </w:tc>
        <w:tc>
          <w:tcPr>
            <w:tcW w:w="2040" w:type="dxa"/>
            <w:vAlign w:val="bottom"/>
            <w:vMerge w:val="restart"/>
          </w:tcPr>
          <w:p>
            <w:pPr>
              <w:jc w:val="right"/>
              <w:ind w:right="250"/>
              <w:spacing w:after="0"/>
              <w:rPr>
                <w:sz w:val="20"/>
                <w:szCs w:val="20"/>
                <w:color w:val="auto"/>
              </w:rPr>
            </w:pPr>
            <w:r>
              <w:rPr>
                <w:rFonts w:ascii="Arial" w:cs="Arial" w:eastAsia="Arial" w:hAnsi="Arial"/>
                <w:sz w:val="18"/>
                <w:szCs w:val="18"/>
                <w:color w:val="auto"/>
              </w:rPr>
              <w:t>68</w:t>
            </w:r>
          </w:p>
        </w:tc>
        <w:tc>
          <w:tcPr>
            <w:tcW w:w="14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4100" w:type="dxa"/>
            <w:vAlign w:val="bottom"/>
          </w:tcPr>
          <w:p>
            <w:pPr>
              <w:spacing w:after="0"/>
              <w:rPr>
                <w:sz w:val="24"/>
                <w:szCs w:val="24"/>
                <w:color w:val="auto"/>
              </w:rPr>
            </w:pPr>
          </w:p>
        </w:tc>
        <w:tc>
          <w:tcPr>
            <w:tcW w:w="2040" w:type="dxa"/>
            <w:vAlign w:val="bottom"/>
            <w:vMerge w:val="continue"/>
          </w:tcPr>
          <w:p>
            <w:pPr>
              <w:spacing w:after="0"/>
              <w:rPr>
                <w:sz w:val="24"/>
                <w:szCs w:val="24"/>
                <w:color w:val="auto"/>
              </w:rPr>
            </w:pPr>
          </w:p>
        </w:tc>
        <w:tc>
          <w:tcPr>
            <w:tcW w:w="1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4100" w:type="dxa"/>
            <w:vAlign w:val="bottom"/>
            <w:tcBorders>
              <w:bottom w:val="single" w:sz="8" w:color="010101"/>
            </w:tcBorders>
          </w:tcPr>
          <w:p>
            <w:pPr>
              <w:spacing w:after="0"/>
              <w:rPr>
                <w:sz w:val="24"/>
                <w:szCs w:val="24"/>
                <w:color w:val="auto"/>
              </w:rPr>
            </w:pPr>
          </w:p>
        </w:tc>
        <w:tc>
          <w:tcPr>
            <w:tcW w:w="2040" w:type="dxa"/>
            <w:vAlign w:val="bottom"/>
            <w:tcBorders>
              <w:bottom w:val="single" w:sz="8" w:color="010101"/>
            </w:tcBorders>
          </w:tcPr>
          <w:p>
            <w:pPr>
              <w:spacing w:after="0"/>
              <w:rPr>
                <w:sz w:val="24"/>
                <w:szCs w:val="24"/>
                <w:color w:val="auto"/>
              </w:rPr>
            </w:pPr>
          </w:p>
        </w:tc>
        <w:tc>
          <w:tcPr>
            <w:tcW w:w="140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90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08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88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5" w:right="199" w:bottom="221" w:gutter="0" w:footer="0" w:header="0"/>
        </w:sectPr>
      </w:pPr>
    </w:p>
    <w:bookmarkStart w:id="47" w:name="page48"/>
    <w:bookmarkEnd w:id="47"/>
    <w:p>
      <w:pPr>
        <w:jc w:val="center"/>
        <w:ind w:right="-19"/>
        <w:spacing w:after="0"/>
        <w:rPr>
          <w:sz w:val="20"/>
          <w:szCs w:val="20"/>
          <w:color w:val="auto"/>
        </w:rPr>
      </w:pPr>
      <w:r>
        <w:rPr>
          <w:rFonts w:ascii="Arial" w:cs="Arial" w:eastAsia="Arial" w:hAnsi="Arial"/>
          <w:sz w:val="18"/>
          <w:szCs w:val="18"/>
          <w:b w:val="1"/>
          <w:bCs w:val="1"/>
          <w:color w:val="auto"/>
        </w:rPr>
        <w:t>U.S. Invested Assets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Investment Income Yields by Asset Type</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140" w:type="dxa"/>
            <w:vAlign w:val="bottom"/>
          </w:tcPr>
          <w:p>
            <w:pPr>
              <w:spacing w:after="0"/>
              <w:rPr>
                <w:sz w:val="14"/>
                <w:szCs w:val="14"/>
                <w:color w:val="auto"/>
              </w:rPr>
            </w:pPr>
          </w:p>
        </w:tc>
        <w:tc>
          <w:tcPr>
            <w:tcW w:w="14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640" w:type="dxa"/>
            <w:vAlign w:val="bottom"/>
            <w:tcBorders>
              <w:bottom w:val="single" w:sz="8" w:color="auto"/>
            </w:tcBorders>
            <w:gridSpan w:val="4"/>
          </w:tcPr>
          <w:p>
            <w:pPr>
              <w:jc w:val="center"/>
              <w:ind w:right="393"/>
              <w:spacing w:after="0"/>
              <w:rPr>
                <w:sz w:val="20"/>
                <w:szCs w:val="20"/>
                <w:color w:val="auto"/>
              </w:rPr>
            </w:pPr>
            <w:r>
              <w:rPr>
                <w:rFonts w:ascii="Arial" w:cs="Arial" w:eastAsia="Arial" w:hAnsi="Arial"/>
                <w:sz w:val="14"/>
                <w:szCs w:val="14"/>
                <w:b w:val="1"/>
                <w:bCs w:val="1"/>
                <w:color w:val="auto"/>
                <w:w w:val="90"/>
              </w:rPr>
              <w:t>For the six months ended June 30,</w:t>
            </w:r>
          </w:p>
        </w:tc>
        <w:tc>
          <w:tcPr>
            <w:tcW w:w="18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29"/>
        </w:trPr>
        <w:tc>
          <w:tcPr>
            <w:tcW w:w="6140" w:type="dxa"/>
            <w:vAlign w:val="bottom"/>
          </w:tcPr>
          <w:p>
            <w:pPr>
              <w:spacing w:after="0"/>
              <w:rPr>
                <w:sz w:val="11"/>
                <w:szCs w:val="11"/>
                <w:color w:val="auto"/>
              </w:rPr>
            </w:pPr>
          </w:p>
        </w:tc>
        <w:tc>
          <w:tcPr>
            <w:tcW w:w="1400" w:type="dxa"/>
            <w:vAlign w:val="bottom"/>
            <w:tcBorders>
              <w:bottom w:val="single" w:sz="8" w:color="auto"/>
            </w:tcBorders>
          </w:tcPr>
          <w:p>
            <w:pPr>
              <w:ind w:left="1100"/>
              <w:spacing w:after="0" w:line="129" w:lineRule="exact"/>
              <w:rPr>
                <w:sz w:val="20"/>
                <w:szCs w:val="20"/>
                <w:color w:val="auto"/>
              </w:rPr>
            </w:pPr>
            <w:r>
              <w:rPr>
                <w:rFonts w:ascii="Arial" w:cs="Arial" w:eastAsia="Arial" w:hAnsi="Arial"/>
                <w:sz w:val="14"/>
                <w:szCs w:val="14"/>
                <w:b w:val="1"/>
                <w:bCs w:val="1"/>
                <w:color w:val="auto"/>
                <w:w w:val="89"/>
              </w:rPr>
              <w:t>2006</w:t>
            </w:r>
          </w:p>
        </w:tc>
        <w:tc>
          <w:tcPr>
            <w:tcW w:w="2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980" w:type="dxa"/>
            <w:vAlign w:val="bottom"/>
            <w:tcBorders>
              <w:bottom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1100" w:type="dxa"/>
            <w:vAlign w:val="bottom"/>
            <w:tcBorders>
              <w:bottom w:val="single" w:sz="8" w:color="auto"/>
            </w:tcBorders>
          </w:tcPr>
          <w:p>
            <w:pPr>
              <w:ind w:left="800"/>
              <w:spacing w:after="0" w:line="129" w:lineRule="exact"/>
              <w:rPr>
                <w:sz w:val="20"/>
                <w:szCs w:val="20"/>
                <w:color w:val="auto"/>
              </w:rPr>
            </w:pPr>
            <w:r>
              <w:rPr>
                <w:rFonts w:ascii="Arial" w:cs="Arial" w:eastAsia="Arial" w:hAnsi="Arial"/>
                <w:sz w:val="14"/>
                <w:szCs w:val="14"/>
                <w:b w:val="1"/>
                <w:bCs w:val="1"/>
                <w:color w:val="auto"/>
                <w:w w:val="89"/>
              </w:rPr>
              <w:t>2005</w:t>
            </w:r>
          </w:p>
        </w:tc>
        <w:tc>
          <w:tcPr>
            <w:tcW w:w="180" w:type="dxa"/>
            <w:vAlign w:val="bottom"/>
            <w:tcBorders>
              <w:bottom w:val="single" w:sz="8" w:color="auto"/>
            </w:tcBorders>
          </w:tcPr>
          <w:p>
            <w:pPr>
              <w:spacing w:after="0"/>
              <w:rPr>
                <w:sz w:val="11"/>
                <w:szCs w:val="11"/>
                <w:color w:val="auto"/>
              </w:rPr>
            </w:pPr>
          </w:p>
        </w:tc>
        <w:tc>
          <w:tcPr>
            <w:tcW w:w="900" w:type="dxa"/>
            <w:vAlign w:val="bottom"/>
            <w:tcBorders>
              <w:bottom w:val="single" w:sz="8" w:color="auto"/>
            </w:tcBorders>
          </w:tcPr>
          <w:p>
            <w:pPr>
              <w:spacing w:after="0"/>
              <w:rPr>
                <w:sz w:val="11"/>
                <w:szCs w:val="11"/>
                <w:color w:val="auto"/>
              </w:rPr>
            </w:pPr>
          </w:p>
        </w:tc>
        <w:tc>
          <w:tcPr>
            <w:tcW w:w="20" w:type="dxa"/>
            <w:vAlign w:val="bottom"/>
          </w:tcPr>
          <w:p>
            <w:pPr>
              <w:spacing w:after="0"/>
              <w:rPr>
                <w:sz w:val="11"/>
                <w:szCs w:val="11"/>
                <w:color w:val="auto"/>
              </w:rPr>
            </w:pPr>
          </w:p>
        </w:tc>
      </w:tr>
      <w:tr>
        <w:trPr>
          <w:trHeight w:val="129"/>
        </w:trPr>
        <w:tc>
          <w:tcPr>
            <w:tcW w:w="6140" w:type="dxa"/>
            <w:vAlign w:val="bottom"/>
          </w:tcPr>
          <w:p>
            <w:pPr>
              <w:spacing w:after="0"/>
              <w:rPr>
                <w:sz w:val="11"/>
                <w:szCs w:val="11"/>
                <w:color w:val="auto"/>
              </w:rPr>
            </w:pPr>
          </w:p>
        </w:tc>
        <w:tc>
          <w:tcPr>
            <w:tcW w:w="1400" w:type="dxa"/>
            <w:vAlign w:val="bottom"/>
            <w:tcBorders>
              <w:bottom w:val="single" w:sz="8" w:color="auto"/>
            </w:tcBorders>
          </w:tcPr>
          <w:p>
            <w:pPr>
              <w:ind w:left="340"/>
              <w:spacing w:after="0" w:line="129" w:lineRule="exact"/>
              <w:rPr>
                <w:sz w:val="20"/>
                <w:szCs w:val="20"/>
                <w:color w:val="auto"/>
              </w:rPr>
            </w:pPr>
            <w:r>
              <w:rPr>
                <w:rFonts w:ascii="Arial" w:cs="Arial" w:eastAsia="Arial" w:hAnsi="Arial"/>
                <w:sz w:val="14"/>
                <w:szCs w:val="14"/>
                <w:b w:val="1"/>
                <w:bCs w:val="1"/>
                <w:color w:val="auto"/>
              </w:rPr>
              <w:t>Yield</w:t>
            </w:r>
          </w:p>
        </w:tc>
        <w:tc>
          <w:tcPr>
            <w:tcW w:w="2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980" w:type="dxa"/>
            <w:vAlign w:val="bottom"/>
            <w:tcBorders>
              <w:bottom w:val="single" w:sz="8" w:color="auto"/>
            </w:tcBorders>
          </w:tcPr>
          <w:p>
            <w:pPr>
              <w:jc w:val="right"/>
              <w:ind w:right="214"/>
              <w:spacing w:after="0" w:line="129" w:lineRule="exact"/>
              <w:rPr>
                <w:sz w:val="20"/>
                <w:szCs w:val="20"/>
                <w:color w:val="auto"/>
              </w:rPr>
            </w:pPr>
            <w:r>
              <w:rPr>
                <w:rFonts w:ascii="Arial" w:cs="Arial" w:eastAsia="Arial" w:hAnsi="Arial"/>
                <w:sz w:val="14"/>
                <w:szCs w:val="14"/>
                <w:b w:val="1"/>
                <w:bCs w:val="1"/>
                <w:color w:val="auto"/>
              </w:rPr>
              <w:t>Amount</w:t>
            </w:r>
          </w:p>
        </w:tc>
        <w:tc>
          <w:tcPr>
            <w:tcW w:w="28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1100" w:type="dxa"/>
            <w:vAlign w:val="bottom"/>
            <w:tcBorders>
              <w:bottom w:val="single" w:sz="8" w:color="auto"/>
            </w:tcBorders>
          </w:tcPr>
          <w:p>
            <w:pPr>
              <w:ind w:left="40"/>
              <w:spacing w:after="0" w:line="129" w:lineRule="exact"/>
              <w:rPr>
                <w:sz w:val="20"/>
                <w:szCs w:val="20"/>
                <w:color w:val="auto"/>
              </w:rPr>
            </w:pPr>
            <w:r>
              <w:rPr>
                <w:rFonts w:ascii="Arial" w:cs="Arial" w:eastAsia="Arial" w:hAnsi="Arial"/>
                <w:sz w:val="14"/>
                <w:szCs w:val="14"/>
                <w:b w:val="1"/>
                <w:bCs w:val="1"/>
                <w:color w:val="auto"/>
              </w:rPr>
              <w:t>Yield</w:t>
            </w:r>
          </w:p>
        </w:tc>
        <w:tc>
          <w:tcPr>
            <w:tcW w:w="180" w:type="dxa"/>
            <w:vAlign w:val="bottom"/>
            <w:tcBorders>
              <w:bottom w:val="single" w:sz="8" w:color="auto"/>
            </w:tcBorders>
          </w:tcPr>
          <w:p>
            <w:pPr>
              <w:spacing w:after="0"/>
              <w:rPr>
                <w:sz w:val="11"/>
                <w:szCs w:val="11"/>
                <w:color w:val="auto"/>
              </w:rPr>
            </w:pPr>
          </w:p>
        </w:tc>
        <w:tc>
          <w:tcPr>
            <w:tcW w:w="900" w:type="dxa"/>
            <w:vAlign w:val="bottom"/>
            <w:tcBorders>
              <w:bottom w:val="single" w:sz="8" w:color="auto"/>
            </w:tcBorders>
          </w:tcPr>
          <w:p>
            <w:pPr>
              <w:jc w:val="right"/>
              <w:ind w:right="211"/>
              <w:spacing w:after="0" w:line="129" w:lineRule="exact"/>
              <w:rPr>
                <w:sz w:val="20"/>
                <w:szCs w:val="20"/>
                <w:color w:val="auto"/>
              </w:rPr>
            </w:pPr>
            <w:r>
              <w:rPr>
                <w:rFonts w:ascii="Arial" w:cs="Arial" w:eastAsia="Arial" w:hAnsi="Arial"/>
                <w:sz w:val="14"/>
                <w:szCs w:val="14"/>
                <w:b w:val="1"/>
                <w:bCs w:val="1"/>
                <w:color w:val="auto"/>
              </w:rPr>
              <w:t>Amount</w:t>
            </w:r>
          </w:p>
        </w:tc>
        <w:tc>
          <w:tcPr>
            <w:tcW w:w="20" w:type="dxa"/>
            <w:vAlign w:val="bottom"/>
          </w:tcPr>
          <w:p>
            <w:pPr>
              <w:spacing w:after="0"/>
              <w:rPr>
                <w:sz w:val="11"/>
                <w:szCs w:val="11"/>
                <w:color w:val="auto"/>
              </w:rPr>
            </w:pPr>
          </w:p>
        </w:tc>
      </w:tr>
      <w:tr>
        <w:trPr>
          <w:trHeight w:val="129"/>
        </w:trPr>
        <w:tc>
          <w:tcPr>
            <w:tcW w:w="6140" w:type="dxa"/>
            <w:vAlign w:val="bottom"/>
          </w:tcPr>
          <w:p>
            <w:pPr>
              <w:spacing w:after="0"/>
              <w:rPr>
                <w:sz w:val="11"/>
                <w:szCs w:val="11"/>
                <w:color w:val="auto"/>
              </w:rPr>
            </w:pPr>
          </w:p>
        </w:tc>
        <w:tc>
          <w:tcPr>
            <w:tcW w:w="1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540" w:type="dxa"/>
            <w:vAlign w:val="bottom"/>
            <w:gridSpan w:val="3"/>
          </w:tcPr>
          <w:p>
            <w:pPr>
              <w:jc w:val="center"/>
              <w:ind w:left="534"/>
              <w:spacing w:after="0" w:line="129" w:lineRule="exact"/>
              <w:rPr>
                <w:sz w:val="20"/>
                <w:szCs w:val="20"/>
                <w:color w:val="auto"/>
              </w:rPr>
            </w:pPr>
            <w:r>
              <w:rPr>
                <w:rFonts w:ascii="Arial" w:cs="Arial" w:eastAsia="Arial" w:hAnsi="Arial"/>
                <w:sz w:val="14"/>
                <w:szCs w:val="14"/>
                <w:b w:val="1"/>
                <w:bCs w:val="1"/>
                <w:color w:val="auto"/>
                <w:w w:val="93"/>
              </w:rPr>
              <w:t>($ in millions)</w:t>
            </w:r>
          </w:p>
        </w:tc>
        <w:tc>
          <w:tcPr>
            <w:tcW w:w="1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216"/>
        </w:trPr>
        <w:tc>
          <w:tcPr>
            <w:tcW w:w="6140" w:type="dxa"/>
            <w:vAlign w:val="bottom"/>
            <w:shd w:val="clear" w:color="auto" w:fill="CCEEFF"/>
          </w:tcPr>
          <w:p>
            <w:pPr>
              <w:spacing w:after="0"/>
              <w:rPr>
                <w:sz w:val="20"/>
                <w:szCs w:val="20"/>
                <w:color w:val="auto"/>
              </w:rPr>
            </w:pPr>
            <w:r>
              <w:rPr>
                <w:rFonts w:ascii="Arial" w:cs="Arial" w:eastAsia="Arial" w:hAnsi="Arial"/>
                <w:sz w:val="18"/>
                <w:szCs w:val="18"/>
                <w:color w:val="auto"/>
              </w:rPr>
              <w:t>Fixed maturity securities</w:t>
            </w:r>
          </w:p>
        </w:tc>
        <w:tc>
          <w:tcPr>
            <w:tcW w:w="1400" w:type="dxa"/>
            <w:vAlign w:val="bottom"/>
            <w:shd w:val="clear" w:color="auto" w:fill="CCEEFF"/>
          </w:tcPr>
          <w:p>
            <w:pPr>
              <w:ind w:left="760"/>
              <w:spacing w:after="0"/>
              <w:rPr>
                <w:sz w:val="20"/>
                <w:szCs w:val="20"/>
                <w:color w:val="auto"/>
              </w:rPr>
            </w:pPr>
            <w:r>
              <w:rPr>
                <w:rFonts w:ascii="Arial" w:cs="Arial" w:eastAsia="Arial" w:hAnsi="Arial"/>
                <w:sz w:val="18"/>
                <w:szCs w:val="18"/>
                <w:b w:val="1"/>
                <w:bCs w:val="1"/>
                <w:color w:val="auto"/>
              </w:rPr>
              <w:t>6.0%</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1,211.7</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ind w:left="460"/>
              <w:spacing w:after="0"/>
              <w:rPr>
                <w:sz w:val="20"/>
                <w:szCs w:val="20"/>
                <w:color w:val="auto"/>
              </w:rPr>
            </w:pPr>
            <w:r>
              <w:rPr>
                <w:rFonts w:ascii="Arial" w:cs="Arial" w:eastAsia="Arial" w:hAnsi="Arial"/>
                <w:sz w:val="18"/>
                <w:szCs w:val="18"/>
                <w:color w:val="auto"/>
              </w:rPr>
              <w:t>5.8%</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1,145.4</w:t>
            </w:r>
          </w:p>
        </w:tc>
        <w:tc>
          <w:tcPr>
            <w:tcW w:w="20" w:type="dxa"/>
            <w:vAlign w:val="bottom"/>
            <w:shd w:val="clear" w:color="auto" w:fill="CCEEFF"/>
          </w:tcPr>
          <w:p>
            <w:pPr>
              <w:spacing w:after="0"/>
              <w:rPr>
                <w:sz w:val="18"/>
                <w:szCs w:val="18"/>
                <w:color w:val="auto"/>
              </w:rPr>
            </w:pPr>
          </w:p>
        </w:tc>
      </w:tr>
      <w:tr>
        <w:trPr>
          <w:trHeight w:val="216"/>
        </w:trPr>
        <w:tc>
          <w:tcPr>
            <w:tcW w:w="6140" w:type="dxa"/>
            <w:vAlign w:val="bottom"/>
          </w:tcPr>
          <w:p>
            <w:pPr>
              <w:spacing w:after="0"/>
              <w:rPr>
                <w:sz w:val="20"/>
                <w:szCs w:val="20"/>
                <w:color w:val="auto"/>
              </w:rPr>
            </w:pPr>
            <w:r>
              <w:rPr>
                <w:rFonts w:ascii="Arial" w:cs="Arial" w:eastAsia="Arial" w:hAnsi="Arial"/>
                <w:sz w:val="18"/>
                <w:szCs w:val="18"/>
                <w:color w:val="auto"/>
              </w:rPr>
              <w:t>Equity securities</w:t>
            </w:r>
          </w:p>
        </w:tc>
        <w:tc>
          <w:tcPr>
            <w:tcW w:w="1400" w:type="dxa"/>
            <w:vAlign w:val="bottom"/>
          </w:tcPr>
          <w:p>
            <w:pPr>
              <w:ind w:left="760"/>
              <w:spacing w:after="0"/>
              <w:rPr>
                <w:sz w:val="20"/>
                <w:szCs w:val="20"/>
                <w:color w:val="auto"/>
              </w:rPr>
            </w:pPr>
            <w:r>
              <w:rPr>
                <w:rFonts w:ascii="Arial" w:cs="Arial" w:eastAsia="Arial" w:hAnsi="Arial"/>
                <w:sz w:val="18"/>
                <w:szCs w:val="18"/>
                <w:b w:val="1"/>
                <w:bCs w:val="1"/>
                <w:color w:val="auto"/>
              </w:rPr>
              <w:t>6.3</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24.2</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tcPr>
          <w:p>
            <w:pPr>
              <w:ind w:left="460"/>
              <w:spacing w:after="0"/>
              <w:rPr>
                <w:sz w:val="20"/>
                <w:szCs w:val="20"/>
                <w:color w:val="auto"/>
              </w:rPr>
            </w:pPr>
            <w:r>
              <w:rPr>
                <w:rFonts w:ascii="Arial" w:cs="Arial" w:eastAsia="Arial" w:hAnsi="Arial"/>
                <w:sz w:val="18"/>
                <w:szCs w:val="18"/>
                <w:color w:val="auto"/>
              </w:rPr>
              <w:t>6.6</w:t>
            </w: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24.1</w:t>
            </w:r>
          </w:p>
        </w:tc>
        <w:tc>
          <w:tcPr>
            <w:tcW w:w="20" w:type="dxa"/>
            <w:vAlign w:val="bottom"/>
          </w:tcPr>
          <w:p>
            <w:pPr>
              <w:spacing w:after="0"/>
              <w:rPr>
                <w:sz w:val="18"/>
                <w:szCs w:val="18"/>
                <w:color w:val="auto"/>
              </w:rPr>
            </w:pPr>
          </w:p>
        </w:tc>
      </w:tr>
      <w:tr>
        <w:trPr>
          <w:trHeight w:val="216"/>
        </w:trPr>
        <w:tc>
          <w:tcPr>
            <w:tcW w:w="6140" w:type="dxa"/>
            <w:vAlign w:val="bottom"/>
            <w:shd w:val="clear" w:color="auto" w:fill="CCEEFF"/>
          </w:tcPr>
          <w:p>
            <w:pPr>
              <w:spacing w:after="0"/>
              <w:rPr>
                <w:sz w:val="20"/>
                <w:szCs w:val="20"/>
                <w:color w:val="auto"/>
              </w:rPr>
            </w:pPr>
            <w:r>
              <w:rPr>
                <w:rFonts w:ascii="Arial" w:cs="Arial" w:eastAsia="Arial" w:hAnsi="Arial"/>
                <w:sz w:val="18"/>
                <w:szCs w:val="18"/>
                <w:color w:val="auto"/>
              </w:rPr>
              <w:t>Mortgage loans — commercial</w:t>
            </w:r>
          </w:p>
        </w:tc>
        <w:tc>
          <w:tcPr>
            <w:tcW w:w="1400" w:type="dxa"/>
            <w:vAlign w:val="bottom"/>
            <w:shd w:val="clear" w:color="auto" w:fill="CCEEFF"/>
          </w:tcPr>
          <w:p>
            <w:pPr>
              <w:ind w:left="760"/>
              <w:spacing w:after="0"/>
              <w:rPr>
                <w:sz w:val="20"/>
                <w:szCs w:val="20"/>
                <w:color w:val="auto"/>
              </w:rPr>
            </w:pPr>
            <w:r>
              <w:rPr>
                <w:rFonts w:ascii="Arial" w:cs="Arial" w:eastAsia="Arial" w:hAnsi="Arial"/>
                <w:sz w:val="18"/>
                <w:szCs w:val="18"/>
                <w:b w:val="1"/>
                <w:bCs w:val="1"/>
                <w:color w:val="auto"/>
              </w:rPr>
              <w:t>6.5</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323.9</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ind w:left="460"/>
              <w:spacing w:after="0"/>
              <w:rPr>
                <w:sz w:val="20"/>
                <w:szCs w:val="20"/>
                <w:color w:val="auto"/>
              </w:rPr>
            </w:pPr>
            <w:r>
              <w:rPr>
                <w:rFonts w:ascii="Arial" w:cs="Arial" w:eastAsia="Arial" w:hAnsi="Arial"/>
                <w:sz w:val="18"/>
                <w:szCs w:val="18"/>
                <w:color w:val="auto"/>
              </w:rPr>
              <w:t>6.6</w:t>
            </w: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337.3</w:t>
            </w:r>
          </w:p>
        </w:tc>
        <w:tc>
          <w:tcPr>
            <w:tcW w:w="20" w:type="dxa"/>
            <w:vAlign w:val="bottom"/>
            <w:shd w:val="clear" w:color="auto" w:fill="CCEEFF"/>
          </w:tcPr>
          <w:p>
            <w:pPr>
              <w:spacing w:after="0"/>
              <w:rPr>
                <w:sz w:val="18"/>
                <w:szCs w:val="18"/>
                <w:color w:val="auto"/>
              </w:rPr>
            </w:pPr>
          </w:p>
        </w:tc>
      </w:tr>
      <w:tr>
        <w:trPr>
          <w:trHeight w:val="216"/>
        </w:trPr>
        <w:tc>
          <w:tcPr>
            <w:tcW w:w="6140" w:type="dxa"/>
            <w:vAlign w:val="bottom"/>
          </w:tcPr>
          <w:p>
            <w:pPr>
              <w:spacing w:after="0"/>
              <w:rPr>
                <w:sz w:val="20"/>
                <w:szCs w:val="20"/>
                <w:color w:val="auto"/>
              </w:rPr>
            </w:pPr>
            <w:r>
              <w:rPr>
                <w:rFonts w:ascii="Arial" w:cs="Arial" w:eastAsia="Arial" w:hAnsi="Arial"/>
                <w:sz w:val="18"/>
                <w:szCs w:val="18"/>
                <w:color w:val="auto"/>
              </w:rPr>
              <w:t>Mortgage loans — residential</w:t>
            </w:r>
          </w:p>
        </w:tc>
        <w:tc>
          <w:tcPr>
            <w:tcW w:w="1400" w:type="dxa"/>
            <w:vAlign w:val="bottom"/>
          </w:tcPr>
          <w:p>
            <w:pPr>
              <w:ind w:left="760"/>
              <w:spacing w:after="0"/>
              <w:rPr>
                <w:sz w:val="20"/>
                <w:szCs w:val="20"/>
                <w:color w:val="auto"/>
              </w:rPr>
            </w:pPr>
            <w:r>
              <w:rPr>
                <w:rFonts w:ascii="Arial" w:cs="Arial" w:eastAsia="Arial" w:hAnsi="Arial"/>
                <w:sz w:val="18"/>
                <w:szCs w:val="18"/>
                <w:b w:val="1"/>
                <w:bCs w:val="1"/>
                <w:color w:val="auto"/>
              </w:rPr>
              <w:t>4.9</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26.6</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tcPr>
          <w:p>
            <w:pPr>
              <w:ind w:left="460"/>
              <w:spacing w:after="0"/>
              <w:rPr>
                <w:sz w:val="20"/>
                <w:szCs w:val="20"/>
                <w:color w:val="auto"/>
              </w:rPr>
            </w:pPr>
            <w:r>
              <w:rPr>
                <w:rFonts w:ascii="Arial" w:cs="Arial" w:eastAsia="Arial" w:hAnsi="Arial"/>
                <w:sz w:val="18"/>
                <w:szCs w:val="18"/>
                <w:color w:val="auto"/>
              </w:rPr>
              <w:t>4.5</w:t>
            </w: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25.4</w:t>
            </w:r>
          </w:p>
        </w:tc>
        <w:tc>
          <w:tcPr>
            <w:tcW w:w="20" w:type="dxa"/>
            <w:vAlign w:val="bottom"/>
          </w:tcPr>
          <w:p>
            <w:pPr>
              <w:spacing w:after="0"/>
              <w:rPr>
                <w:sz w:val="18"/>
                <w:szCs w:val="18"/>
                <w:color w:val="auto"/>
              </w:rPr>
            </w:pPr>
          </w:p>
        </w:tc>
      </w:tr>
      <w:tr>
        <w:trPr>
          <w:trHeight w:val="216"/>
        </w:trPr>
        <w:tc>
          <w:tcPr>
            <w:tcW w:w="6140" w:type="dxa"/>
            <w:vAlign w:val="bottom"/>
            <w:shd w:val="clear" w:color="auto" w:fill="CCEEFF"/>
          </w:tcPr>
          <w:p>
            <w:pPr>
              <w:spacing w:after="0"/>
              <w:rPr>
                <w:sz w:val="20"/>
                <w:szCs w:val="20"/>
                <w:color w:val="auto"/>
              </w:rPr>
            </w:pPr>
            <w:r>
              <w:rPr>
                <w:rFonts w:ascii="Arial" w:cs="Arial" w:eastAsia="Arial" w:hAnsi="Arial"/>
                <w:sz w:val="18"/>
                <w:szCs w:val="18"/>
                <w:color w:val="auto"/>
              </w:rPr>
              <w:t>Real estate</w:t>
            </w:r>
          </w:p>
        </w:tc>
        <w:tc>
          <w:tcPr>
            <w:tcW w:w="1400" w:type="dxa"/>
            <w:vAlign w:val="bottom"/>
            <w:shd w:val="clear" w:color="auto" w:fill="CCEEFF"/>
          </w:tcPr>
          <w:p>
            <w:pPr>
              <w:ind w:left="760"/>
              <w:spacing w:after="0"/>
              <w:rPr>
                <w:sz w:val="20"/>
                <w:szCs w:val="20"/>
                <w:color w:val="auto"/>
              </w:rPr>
            </w:pPr>
            <w:r>
              <w:rPr>
                <w:rFonts w:ascii="Arial" w:cs="Arial" w:eastAsia="Arial" w:hAnsi="Arial"/>
                <w:sz w:val="18"/>
                <w:szCs w:val="18"/>
                <w:b w:val="1"/>
                <w:bCs w:val="1"/>
                <w:color w:val="auto"/>
              </w:rPr>
              <w:t>7.7</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37.9</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ind w:left="460"/>
              <w:spacing w:after="0"/>
              <w:rPr>
                <w:sz w:val="20"/>
                <w:szCs w:val="20"/>
                <w:color w:val="auto"/>
              </w:rPr>
            </w:pPr>
            <w:r>
              <w:rPr>
                <w:rFonts w:ascii="Arial" w:cs="Arial" w:eastAsia="Arial" w:hAnsi="Arial"/>
                <w:sz w:val="18"/>
                <w:szCs w:val="18"/>
                <w:color w:val="auto"/>
              </w:rPr>
              <w:t>5.3</w:t>
            </w: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25.9</w:t>
            </w:r>
          </w:p>
        </w:tc>
        <w:tc>
          <w:tcPr>
            <w:tcW w:w="20" w:type="dxa"/>
            <w:vAlign w:val="bottom"/>
            <w:shd w:val="clear" w:color="auto" w:fill="CCEEFF"/>
          </w:tcPr>
          <w:p>
            <w:pPr>
              <w:spacing w:after="0"/>
              <w:rPr>
                <w:sz w:val="18"/>
                <w:szCs w:val="18"/>
                <w:color w:val="auto"/>
              </w:rPr>
            </w:pPr>
          </w:p>
        </w:tc>
      </w:tr>
      <w:tr>
        <w:trPr>
          <w:trHeight w:val="216"/>
        </w:trPr>
        <w:tc>
          <w:tcPr>
            <w:tcW w:w="6140" w:type="dxa"/>
            <w:vAlign w:val="bottom"/>
          </w:tcPr>
          <w:p>
            <w:pPr>
              <w:spacing w:after="0"/>
              <w:rPr>
                <w:sz w:val="20"/>
                <w:szCs w:val="20"/>
                <w:color w:val="auto"/>
              </w:rPr>
            </w:pPr>
            <w:r>
              <w:rPr>
                <w:rFonts w:ascii="Arial" w:cs="Arial" w:eastAsia="Arial" w:hAnsi="Arial"/>
                <w:sz w:val="18"/>
                <w:szCs w:val="18"/>
                <w:color w:val="auto"/>
              </w:rPr>
              <w:t>Policy loans</w:t>
            </w:r>
          </w:p>
        </w:tc>
        <w:tc>
          <w:tcPr>
            <w:tcW w:w="1400" w:type="dxa"/>
            <w:vAlign w:val="bottom"/>
          </w:tcPr>
          <w:p>
            <w:pPr>
              <w:ind w:left="760"/>
              <w:spacing w:after="0"/>
              <w:rPr>
                <w:sz w:val="20"/>
                <w:szCs w:val="20"/>
                <w:color w:val="auto"/>
              </w:rPr>
            </w:pPr>
            <w:r>
              <w:rPr>
                <w:rFonts w:ascii="Arial" w:cs="Arial" w:eastAsia="Arial" w:hAnsi="Arial"/>
                <w:sz w:val="18"/>
                <w:szCs w:val="18"/>
                <w:b w:val="1"/>
                <w:bCs w:val="1"/>
                <w:color w:val="auto"/>
              </w:rPr>
              <w:t>5.9</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24.6</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tcPr>
          <w:p>
            <w:pPr>
              <w:ind w:left="460"/>
              <w:spacing w:after="0"/>
              <w:rPr>
                <w:sz w:val="20"/>
                <w:szCs w:val="20"/>
                <w:color w:val="auto"/>
              </w:rPr>
            </w:pPr>
            <w:r>
              <w:rPr>
                <w:rFonts w:ascii="Arial" w:cs="Arial" w:eastAsia="Arial" w:hAnsi="Arial"/>
                <w:sz w:val="18"/>
                <w:szCs w:val="18"/>
                <w:color w:val="auto"/>
              </w:rPr>
              <w:t>6.2</w:t>
            </w: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25.1</w:t>
            </w:r>
          </w:p>
        </w:tc>
        <w:tc>
          <w:tcPr>
            <w:tcW w:w="20" w:type="dxa"/>
            <w:vAlign w:val="bottom"/>
          </w:tcPr>
          <w:p>
            <w:pPr>
              <w:spacing w:after="0"/>
              <w:rPr>
                <w:sz w:val="18"/>
                <w:szCs w:val="18"/>
                <w:color w:val="auto"/>
              </w:rPr>
            </w:pPr>
          </w:p>
        </w:tc>
      </w:tr>
      <w:tr>
        <w:trPr>
          <w:trHeight w:val="216"/>
        </w:trPr>
        <w:tc>
          <w:tcPr>
            <w:tcW w:w="614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1400" w:type="dxa"/>
            <w:vAlign w:val="bottom"/>
            <w:shd w:val="clear" w:color="auto" w:fill="CCEEFF"/>
          </w:tcPr>
          <w:p>
            <w:pPr>
              <w:ind w:left="760"/>
              <w:spacing w:after="0"/>
              <w:rPr>
                <w:sz w:val="20"/>
                <w:szCs w:val="20"/>
                <w:color w:val="auto"/>
              </w:rPr>
            </w:pPr>
            <w:r>
              <w:rPr>
                <w:rFonts w:ascii="Arial" w:cs="Arial" w:eastAsia="Arial" w:hAnsi="Arial"/>
                <w:sz w:val="18"/>
                <w:szCs w:val="18"/>
                <w:b w:val="1"/>
                <w:bCs w:val="1"/>
                <w:color w:val="auto"/>
              </w:rPr>
              <w:t>3.3</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22.4</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ind w:left="460"/>
              <w:spacing w:after="0"/>
              <w:rPr>
                <w:sz w:val="20"/>
                <w:szCs w:val="20"/>
                <w:color w:val="auto"/>
              </w:rPr>
            </w:pPr>
            <w:r>
              <w:rPr>
                <w:rFonts w:ascii="Arial" w:cs="Arial" w:eastAsia="Arial" w:hAnsi="Arial"/>
                <w:sz w:val="18"/>
                <w:szCs w:val="18"/>
                <w:color w:val="auto"/>
              </w:rPr>
              <w:t>2.7</w:t>
            </w: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w:t>
            </w:r>
          </w:p>
        </w:tc>
        <w:tc>
          <w:tcPr>
            <w:tcW w:w="20" w:type="dxa"/>
            <w:vAlign w:val="bottom"/>
            <w:shd w:val="clear" w:color="auto" w:fill="CCEEFF"/>
          </w:tcPr>
          <w:p>
            <w:pPr>
              <w:spacing w:after="0"/>
              <w:rPr>
                <w:sz w:val="18"/>
                <w:szCs w:val="18"/>
                <w:color w:val="auto"/>
              </w:rPr>
            </w:pPr>
          </w:p>
        </w:tc>
      </w:tr>
      <w:tr>
        <w:trPr>
          <w:trHeight w:val="216"/>
        </w:trPr>
        <w:tc>
          <w:tcPr>
            <w:tcW w:w="61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Other investments</w:t>
            </w:r>
          </w:p>
        </w:tc>
        <w:tc>
          <w:tcPr>
            <w:tcW w:w="1400" w:type="dxa"/>
            <w:vAlign w:val="bottom"/>
            <w:tcBorders>
              <w:bottom w:val="single" w:sz="8" w:color="CCEEFF"/>
            </w:tcBorders>
          </w:tcPr>
          <w:p>
            <w:pPr>
              <w:ind w:left="760"/>
              <w:spacing w:after="0"/>
              <w:rPr>
                <w:sz w:val="20"/>
                <w:szCs w:val="20"/>
                <w:color w:val="auto"/>
              </w:rPr>
            </w:pPr>
            <w:r>
              <w:rPr>
                <w:rFonts w:ascii="Arial" w:cs="Arial" w:eastAsia="Arial" w:hAnsi="Arial"/>
                <w:sz w:val="18"/>
                <w:szCs w:val="18"/>
                <w:b w:val="1"/>
                <w:bCs w:val="1"/>
                <w:color w:val="auto"/>
              </w:rPr>
              <w:t>7.9</w:t>
            </w:r>
          </w:p>
        </w:tc>
        <w:tc>
          <w:tcPr>
            <w:tcW w:w="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35.1</w:t>
            </w:r>
          </w:p>
        </w:tc>
        <w:tc>
          <w:tcPr>
            <w:tcW w:w="280" w:type="dxa"/>
            <w:vAlign w:val="bottom"/>
            <w:tcBorders>
              <w:bottom w:val="single" w:sz="8" w:color="CCEEFF"/>
            </w:tcBorders>
          </w:tcPr>
          <w:p>
            <w:pPr>
              <w:spacing w:after="0"/>
              <w:rPr>
                <w:sz w:val="18"/>
                <w:szCs w:val="18"/>
                <w:color w:val="auto"/>
              </w:rPr>
            </w:pPr>
          </w:p>
        </w:tc>
        <w:tc>
          <w:tcPr>
            <w:tcW w:w="280" w:type="dxa"/>
            <w:vAlign w:val="bottom"/>
            <w:tcBorders>
              <w:bottom w:val="single" w:sz="8" w:color="CCEEFF"/>
            </w:tcBorders>
          </w:tcPr>
          <w:p>
            <w:pPr>
              <w:spacing w:after="0"/>
              <w:rPr>
                <w:sz w:val="18"/>
                <w:szCs w:val="18"/>
                <w:color w:val="auto"/>
              </w:rPr>
            </w:pPr>
          </w:p>
        </w:tc>
        <w:tc>
          <w:tcPr>
            <w:tcW w:w="1100" w:type="dxa"/>
            <w:vAlign w:val="bottom"/>
            <w:tcBorders>
              <w:bottom w:val="single" w:sz="8" w:color="CCEEFF"/>
            </w:tcBorders>
          </w:tcPr>
          <w:p>
            <w:pPr>
              <w:ind w:left="460"/>
              <w:spacing w:after="0"/>
              <w:rPr>
                <w:sz w:val="20"/>
                <w:szCs w:val="20"/>
                <w:color w:val="auto"/>
              </w:rPr>
            </w:pPr>
            <w:r>
              <w:rPr>
                <w:rFonts w:ascii="Arial" w:cs="Arial" w:eastAsia="Arial" w:hAnsi="Arial"/>
                <w:sz w:val="18"/>
                <w:szCs w:val="18"/>
                <w:color w:val="auto"/>
              </w:rPr>
              <w:t>1.1</w:t>
            </w:r>
          </w:p>
        </w:tc>
        <w:tc>
          <w:tcPr>
            <w:tcW w:w="1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w:t>
            </w:r>
          </w:p>
        </w:tc>
        <w:tc>
          <w:tcPr>
            <w:tcW w:w="20" w:type="dxa"/>
            <w:vAlign w:val="bottom"/>
            <w:tcBorders>
              <w:bottom w:val="single" w:sz="8" w:color="CCEEFF"/>
            </w:tcBorders>
          </w:tcPr>
          <w:p>
            <w:pPr>
              <w:spacing w:after="0"/>
              <w:rPr>
                <w:sz w:val="18"/>
                <w:szCs w:val="18"/>
                <w:color w:val="auto"/>
              </w:rPr>
            </w:pPr>
          </w:p>
        </w:tc>
      </w:tr>
      <w:tr>
        <w:trPr>
          <w:trHeight w:val="210"/>
        </w:trPr>
        <w:tc>
          <w:tcPr>
            <w:tcW w:w="61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before investment expenses</w:t>
            </w:r>
          </w:p>
        </w:tc>
        <w:tc>
          <w:tcPr>
            <w:tcW w:w="1400" w:type="dxa"/>
            <w:vAlign w:val="bottom"/>
            <w:shd w:val="clear" w:color="auto" w:fill="CCEEFF"/>
          </w:tcPr>
          <w:p>
            <w:pPr>
              <w:ind w:left="760"/>
              <w:spacing w:after="0"/>
              <w:rPr>
                <w:sz w:val="20"/>
                <w:szCs w:val="20"/>
                <w:color w:val="auto"/>
              </w:rPr>
            </w:pPr>
            <w:r>
              <w:rPr>
                <w:rFonts w:ascii="Arial" w:cs="Arial" w:eastAsia="Arial" w:hAnsi="Arial"/>
                <w:sz w:val="18"/>
                <w:szCs w:val="18"/>
                <w:b w:val="1"/>
                <w:bCs w:val="1"/>
                <w:color w:val="auto"/>
              </w:rPr>
              <w:t>6.1</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1,706.4</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ind w:left="460"/>
              <w:spacing w:after="0"/>
              <w:rPr>
                <w:sz w:val="20"/>
                <w:szCs w:val="20"/>
                <w:color w:val="auto"/>
              </w:rPr>
            </w:pPr>
            <w:r>
              <w:rPr>
                <w:rFonts w:ascii="Arial" w:cs="Arial" w:eastAsia="Arial" w:hAnsi="Arial"/>
                <w:sz w:val="18"/>
                <w:szCs w:val="18"/>
                <w:color w:val="auto"/>
              </w:rPr>
              <w:t>5.8</w:t>
            </w: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1,599.7</w:t>
            </w:r>
          </w:p>
        </w:tc>
        <w:tc>
          <w:tcPr>
            <w:tcW w:w="20" w:type="dxa"/>
            <w:vAlign w:val="bottom"/>
            <w:shd w:val="clear" w:color="auto" w:fill="CCEEFF"/>
          </w:tcPr>
          <w:p>
            <w:pPr>
              <w:spacing w:after="0"/>
              <w:rPr>
                <w:sz w:val="18"/>
                <w:szCs w:val="18"/>
                <w:color w:val="auto"/>
              </w:rPr>
            </w:pPr>
          </w:p>
        </w:tc>
      </w:tr>
      <w:tr>
        <w:trPr>
          <w:trHeight w:val="216"/>
        </w:trPr>
        <w:tc>
          <w:tcPr>
            <w:tcW w:w="61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Investment expenses</w:t>
            </w:r>
          </w:p>
        </w:tc>
        <w:tc>
          <w:tcPr>
            <w:tcW w:w="1400" w:type="dxa"/>
            <w:vAlign w:val="bottom"/>
            <w:tcBorders>
              <w:bottom w:val="single" w:sz="8" w:color="CCEEFF"/>
            </w:tcBorders>
          </w:tcPr>
          <w:p>
            <w:pPr>
              <w:ind w:left="760"/>
              <w:spacing w:after="0"/>
              <w:rPr>
                <w:sz w:val="20"/>
                <w:szCs w:val="20"/>
                <w:color w:val="auto"/>
              </w:rPr>
            </w:pPr>
            <w:r>
              <w:rPr>
                <w:rFonts w:ascii="Arial" w:cs="Arial" w:eastAsia="Arial" w:hAnsi="Arial"/>
                <w:sz w:val="18"/>
                <w:szCs w:val="18"/>
                <w:b w:val="1"/>
                <w:bCs w:val="1"/>
                <w:color w:val="auto"/>
              </w:rPr>
              <w:t>0.2</w:t>
            </w:r>
          </w:p>
        </w:tc>
        <w:tc>
          <w:tcPr>
            <w:tcW w:w="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63.2</w:t>
            </w:r>
          </w:p>
        </w:tc>
        <w:tc>
          <w:tcPr>
            <w:tcW w:w="280" w:type="dxa"/>
            <w:vAlign w:val="bottom"/>
            <w:tcBorders>
              <w:bottom w:val="single" w:sz="8" w:color="CCEEFF"/>
            </w:tcBorders>
          </w:tcPr>
          <w:p>
            <w:pPr>
              <w:spacing w:after="0"/>
              <w:rPr>
                <w:sz w:val="18"/>
                <w:szCs w:val="18"/>
                <w:color w:val="auto"/>
              </w:rPr>
            </w:pPr>
          </w:p>
        </w:tc>
        <w:tc>
          <w:tcPr>
            <w:tcW w:w="280" w:type="dxa"/>
            <w:vAlign w:val="bottom"/>
            <w:tcBorders>
              <w:bottom w:val="single" w:sz="8" w:color="CCEEFF"/>
            </w:tcBorders>
          </w:tcPr>
          <w:p>
            <w:pPr>
              <w:spacing w:after="0"/>
              <w:rPr>
                <w:sz w:val="18"/>
                <w:szCs w:val="18"/>
                <w:color w:val="auto"/>
              </w:rPr>
            </w:pPr>
          </w:p>
        </w:tc>
        <w:tc>
          <w:tcPr>
            <w:tcW w:w="1100" w:type="dxa"/>
            <w:vAlign w:val="bottom"/>
            <w:tcBorders>
              <w:bottom w:val="single" w:sz="8" w:color="CCEEFF"/>
            </w:tcBorders>
          </w:tcPr>
          <w:p>
            <w:pPr>
              <w:ind w:left="460"/>
              <w:spacing w:after="0"/>
              <w:rPr>
                <w:sz w:val="20"/>
                <w:szCs w:val="20"/>
                <w:color w:val="auto"/>
              </w:rPr>
            </w:pPr>
            <w:r>
              <w:rPr>
                <w:rFonts w:ascii="Arial" w:cs="Arial" w:eastAsia="Arial" w:hAnsi="Arial"/>
                <w:sz w:val="18"/>
                <w:szCs w:val="18"/>
                <w:color w:val="auto"/>
              </w:rPr>
              <w:t>0.3</w:t>
            </w:r>
          </w:p>
        </w:tc>
        <w:tc>
          <w:tcPr>
            <w:tcW w:w="1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67.7</w:t>
            </w:r>
          </w:p>
        </w:tc>
        <w:tc>
          <w:tcPr>
            <w:tcW w:w="20" w:type="dxa"/>
            <w:vAlign w:val="bottom"/>
            <w:tcBorders>
              <w:bottom w:val="single" w:sz="8" w:color="CCEEFF"/>
            </w:tcBorders>
          </w:tcPr>
          <w:p>
            <w:pPr>
              <w:spacing w:after="0"/>
              <w:rPr>
                <w:sz w:val="18"/>
                <w:szCs w:val="18"/>
                <w:color w:val="auto"/>
              </w:rPr>
            </w:pPr>
          </w:p>
        </w:tc>
      </w:tr>
      <w:tr>
        <w:trPr>
          <w:trHeight w:val="210"/>
        </w:trPr>
        <w:tc>
          <w:tcPr>
            <w:tcW w:w="6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Net investment income</w:t>
            </w:r>
          </w:p>
        </w:tc>
        <w:tc>
          <w:tcPr>
            <w:tcW w:w="1400" w:type="dxa"/>
            <w:vAlign w:val="bottom"/>
            <w:tcBorders>
              <w:bottom w:val="single" w:sz="8" w:color="CCEEFF"/>
            </w:tcBorders>
            <w:shd w:val="clear" w:color="auto" w:fill="CCEEFF"/>
          </w:tcPr>
          <w:p>
            <w:pPr>
              <w:ind w:left="760"/>
              <w:spacing w:after="0"/>
              <w:rPr>
                <w:sz w:val="20"/>
                <w:szCs w:val="20"/>
                <w:color w:val="auto"/>
              </w:rPr>
            </w:pPr>
            <w:r>
              <w:rPr>
                <w:rFonts w:ascii="Arial" w:cs="Arial" w:eastAsia="Arial" w:hAnsi="Arial"/>
                <w:sz w:val="18"/>
                <w:szCs w:val="18"/>
                <w:b w:val="1"/>
                <w:bCs w:val="1"/>
                <w:color w:val="auto"/>
              </w:rPr>
              <w:t>5.9%</w:t>
            </w:r>
          </w:p>
        </w:tc>
        <w:tc>
          <w:tcPr>
            <w:tcW w:w="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1,643.2</w:t>
            </w:r>
          </w:p>
        </w:tc>
        <w:tc>
          <w:tcPr>
            <w:tcW w:w="28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CCEEFF"/>
            </w:tcBorders>
            <w:shd w:val="clear" w:color="auto" w:fill="CCEEFF"/>
          </w:tcPr>
          <w:p>
            <w:pPr>
              <w:spacing w:after="0"/>
              <w:rPr>
                <w:sz w:val="18"/>
                <w:szCs w:val="18"/>
                <w:color w:val="auto"/>
              </w:rPr>
            </w:pPr>
          </w:p>
        </w:tc>
        <w:tc>
          <w:tcPr>
            <w:tcW w:w="110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5.5%</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1,532.0</w:t>
            </w:r>
          </w:p>
        </w:tc>
        <w:tc>
          <w:tcPr>
            <w:tcW w:w="20" w:type="dxa"/>
            <w:vAlign w:val="bottom"/>
            <w:tcBorders>
              <w:bottom w:val="single" w:sz="8" w:color="CCEEFF"/>
            </w:tcBorders>
            <w:shd w:val="clear" w:color="auto" w:fill="CCEEFF"/>
          </w:tcPr>
          <w:p>
            <w:pPr>
              <w:spacing w:after="0"/>
              <w:rPr>
                <w:sz w:val="18"/>
                <w:szCs w:val="18"/>
                <w:color w:val="auto"/>
              </w:rPr>
            </w:pPr>
          </w:p>
        </w:tc>
      </w:tr>
      <w:tr>
        <w:trPr>
          <w:trHeight w:val="20"/>
        </w:trPr>
        <w:tc>
          <w:tcPr>
            <w:tcW w:w="61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Fixed Maturity Securities</w:t>
      </w:r>
    </w:p>
    <w:p>
      <w:pPr>
        <w:spacing w:after="0" w:line="225" w:lineRule="exact"/>
        <w:rPr>
          <w:sz w:val="20"/>
          <w:szCs w:val="20"/>
          <w:color w:val="auto"/>
        </w:rPr>
      </w:pPr>
    </w:p>
    <w:p>
      <w:pPr>
        <w:ind w:right="20" w:firstLine="648"/>
        <w:spacing w:after="0" w:line="272" w:lineRule="auto"/>
        <w:rPr>
          <w:sz w:val="20"/>
          <w:szCs w:val="20"/>
          <w:color w:val="auto"/>
        </w:rPr>
      </w:pPr>
      <w:r>
        <w:rPr>
          <w:rFonts w:ascii="Arial" w:cs="Arial" w:eastAsia="Arial" w:hAnsi="Arial"/>
          <w:sz w:val="17"/>
          <w:szCs w:val="17"/>
          <w:color w:val="auto"/>
        </w:rPr>
        <w:t>Fixed maturity securities consist of short-term investments, publicly traded debt securities, privately placed debt securities and redeemable preferred stock, and represented 73% and 74% of total U.S. invested assets as of June 30, 2006 and December 31, 2005, respectively. The fixed maturity securities portfolio was comprised, based on carrying amount, of 68% in publicly traded fixed maturity securities and 32% in privately placed fixed maturity securities as of June 30, 2006 and 69% in publicly traded fixed maturity securities and 31% in privately placed fixed maturity securities as of December 31, 2005. Included in the privately placed category as of June 30, 2006 and December 31, 2005, were $7.0 billion and $6.5 billion, respectively, of securities eligible for resale to qualified institutional buyers under Rule 144A under the Securities Act of 1933. Fixed maturity securities were diversified by category of issuer as of June 30, 2006, and December 31, 2005, as shown in the following table:</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U.S. Invested Assets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Fixed Maturity Securities by Type of Issuer</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20" w:type="dxa"/>
            <w:vAlign w:val="bottom"/>
            <w:gridSpan w:val="3"/>
          </w:tcPr>
          <w:p>
            <w:pPr>
              <w:ind w:left="940"/>
              <w:spacing w:after="0"/>
              <w:rPr>
                <w:sz w:val="20"/>
                <w:szCs w:val="20"/>
                <w:color w:val="auto"/>
              </w:rPr>
            </w:pPr>
            <w:r>
              <w:rPr>
                <w:rFonts w:ascii="Arial" w:cs="Arial" w:eastAsia="Arial" w:hAnsi="Arial"/>
                <w:sz w:val="14"/>
                <w:szCs w:val="14"/>
                <w:b w:val="1"/>
                <w:bCs w:val="1"/>
                <w:color w:val="auto"/>
                <w:w w:val="94"/>
              </w:rPr>
              <w:t>June 30, 2006</w:t>
            </w:r>
          </w:p>
        </w:tc>
        <w:tc>
          <w:tcPr>
            <w:tcW w:w="7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180" w:type="dxa"/>
            <w:vAlign w:val="bottom"/>
            <w:gridSpan w:val="4"/>
          </w:tcPr>
          <w:p>
            <w:pPr>
              <w:jc w:val="right"/>
              <w:ind w:right="1090"/>
              <w:spacing w:after="0"/>
              <w:rPr>
                <w:sz w:val="20"/>
                <w:szCs w:val="20"/>
                <w:color w:val="auto"/>
              </w:rPr>
            </w:pPr>
            <w:r>
              <w:rPr>
                <w:rFonts w:ascii="Arial" w:cs="Arial" w:eastAsia="Arial" w:hAnsi="Arial"/>
                <w:sz w:val="14"/>
                <w:szCs w:val="14"/>
                <w:b w:val="1"/>
                <w:bCs w:val="1"/>
                <w:color w:val="auto"/>
              </w:rPr>
              <w:t>December 31, 2005</w:t>
            </w:r>
          </w:p>
        </w:tc>
      </w:tr>
      <w:tr>
        <w:trPr>
          <w:trHeight w:val="129"/>
        </w:trPr>
        <w:tc>
          <w:tcPr>
            <w:tcW w:w="4740" w:type="dxa"/>
            <w:vAlign w:val="bottom"/>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1820" w:type="dxa"/>
            <w:vAlign w:val="bottom"/>
            <w:tcBorders>
              <w:top w:val="single" w:sz="8" w:color="auto"/>
              <w:bottom w:val="single" w:sz="8" w:color="auto"/>
            </w:tcBorders>
            <w:gridSpan w:val="3"/>
          </w:tcPr>
          <w:p>
            <w:pPr>
              <w:ind w:left="20"/>
              <w:spacing w:after="0" w:line="129" w:lineRule="exact"/>
              <w:rPr>
                <w:sz w:val="20"/>
                <w:szCs w:val="20"/>
                <w:color w:val="auto"/>
              </w:rPr>
            </w:pPr>
            <w:r>
              <w:rPr>
                <w:rFonts w:ascii="Arial" w:cs="Arial" w:eastAsia="Arial" w:hAnsi="Arial"/>
                <w:sz w:val="14"/>
                <w:szCs w:val="14"/>
                <w:b w:val="1"/>
                <w:bCs w:val="1"/>
                <w:color w:val="auto"/>
              </w:rPr>
              <w:t>Carrying Amount</w:t>
            </w:r>
          </w:p>
        </w:tc>
        <w:tc>
          <w:tcPr>
            <w:tcW w:w="720" w:type="dxa"/>
            <w:vAlign w:val="bottom"/>
            <w:tcBorders>
              <w:top w:val="single" w:sz="8" w:color="auto"/>
              <w:bottom w:val="single" w:sz="8" w:color="auto"/>
            </w:tcBorders>
          </w:tcPr>
          <w:p>
            <w:pPr>
              <w:ind w:left="40"/>
              <w:spacing w:after="0" w:line="129" w:lineRule="exact"/>
              <w:rPr>
                <w:sz w:val="20"/>
                <w:szCs w:val="20"/>
                <w:color w:val="auto"/>
              </w:rPr>
            </w:pPr>
            <w:r>
              <w:rPr>
                <w:rFonts w:ascii="Arial" w:cs="Arial" w:eastAsia="Arial" w:hAnsi="Arial"/>
                <w:sz w:val="14"/>
                <w:szCs w:val="14"/>
                <w:b w:val="1"/>
                <w:bCs w:val="1"/>
                <w:color w:val="auto"/>
                <w:w w:val="98"/>
              </w:rPr>
              <w:t>% of Total</w:t>
            </w:r>
          </w:p>
        </w:tc>
        <w:tc>
          <w:tcPr>
            <w:tcW w:w="300" w:type="dxa"/>
            <w:vAlign w:val="bottom"/>
            <w:tcBorders>
              <w:top w:val="single" w:sz="8" w:color="auto"/>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1560" w:type="dxa"/>
            <w:vAlign w:val="bottom"/>
            <w:tcBorders>
              <w:top w:val="single" w:sz="8" w:color="auto"/>
              <w:bottom w:val="single" w:sz="8" w:color="auto"/>
            </w:tcBorders>
            <w:gridSpan w:val="2"/>
          </w:tcPr>
          <w:p>
            <w:pPr>
              <w:ind w:left="40"/>
              <w:spacing w:after="0" w:line="129" w:lineRule="exact"/>
              <w:rPr>
                <w:sz w:val="20"/>
                <w:szCs w:val="20"/>
                <w:color w:val="auto"/>
              </w:rPr>
            </w:pPr>
            <w:r>
              <w:rPr>
                <w:rFonts w:ascii="Arial" w:cs="Arial" w:eastAsia="Arial" w:hAnsi="Arial"/>
                <w:sz w:val="14"/>
                <w:szCs w:val="14"/>
                <w:b w:val="1"/>
                <w:bCs w:val="1"/>
                <w:color w:val="auto"/>
              </w:rPr>
              <w:t>Carrying Amount</w:t>
            </w:r>
          </w:p>
        </w:tc>
        <w:tc>
          <w:tcPr>
            <w:tcW w:w="1420" w:type="dxa"/>
            <w:vAlign w:val="bottom"/>
            <w:tcBorders>
              <w:top w:val="single" w:sz="8" w:color="auto"/>
              <w:bottom w:val="single" w:sz="8" w:color="auto"/>
            </w:tcBorders>
          </w:tcPr>
          <w:p>
            <w:pPr>
              <w:jc w:val="right"/>
              <w:ind w:right="312"/>
              <w:spacing w:after="0" w:line="129" w:lineRule="exact"/>
              <w:rPr>
                <w:sz w:val="20"/>
                <w:szCs w:val="20"/>
                <w:color w:val="auto"/>
              </w:rPr>
            </w:pPr>
            <w:r>
              <w:rPr>
                <w:rFonts w:ascii="Arial" w:cs="Arial" w:eastAsia="Arial" w:hAnsi="Arial"/>
                <w:sz w:val="14"/>
                <w:szCs w:val="14"/>
                <w:b w:val="1"/>
                <w:bCs w:val="1"/>
                <w:color w:val="auto"/>
              </w:rPr>
              <w:t>% of Total</w:t>
            </w:r>
          </w:p>
        </w:tc>
        <w:tc>
          <w:tcPr>
            <w:tcW w:w="200" w:type="dxa"/>
            <w:vAlign w:val="bottom"/>
          </w:tcPr>
          <w:p>
            <w:pPr>
              <w:spacing w:after="0"/>
              <w:rPr>
                <w:sz w:val="11"/>
                <w:szCs w:val="11"/>
                <w:color w:val="auto"/>
              </w:rPr>
            </w:pPr>
          </w:p>
        </w:tc>
      </w:tr>
      <w:tr>
        <w:trPr>
          <w:trHeight w:val="129"/>
        </w:trPr>
        <w:tc>
          <w:tcPr>
            <w:tcW w:w="4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400" w:type="dxa"/>
            <w:vAlign w:val="bottom"/>
            <w:gridSpan w:val="6"/>
          </w:tcPr>
          <w:p>
            <w:pPr>
              <w:ind w:left="160"/>
              <w:spacing w:after="0" w:line="129" w:lineRule="exact"/>
              <w:rPr>
                <w:sz w:val="20"/>
                <w:szCs w:val="20"/>
                <w:color w:val="auto"/>
              </w:rPr>
            </w:pPr>
            <w:r>
              <w:rPr>
                <w:rFonts w:ascii="Arial" w:cs="Arial" w:eastAsia="Arial" w:hAnsi="Arial"/>
                <w:sz w:val="14"/>
                <w:szCs w:val="14"/>
                <w:b w:val="1"/>
                <w:bCs w:val="1"/>
                <w:color w:val="auto"/>
              </w:rPr>
              <w:t>($ in millions)</w:t>
            </w:r>
          </w:p>
        </w:tc>
        <w:tc>
          <w:tcPr>
            <w:tcW w:w="1420" w:type="dxa"/>
            <w:vAlign w:val="bottom"/>
          </w:tcPr>
          <w:p>
            <w:pPr>
              <w:spacing w:after="0"/>
              <w:rPr>
                <w:sz w:val="11"/>
                <w:szCs w:val="11"/>
                <w:color w:val="auto"/>
              </w:rPr>
            </w:pPr>
          </w:p>
        </w:tc>
        <w:tc>
          <w:tcPr>
            <w:tcW w:w="200" w:type="dxa"/>
            <w:vAlign w:val="bottom"/>
          </w:tcPr>
          <w:p>
            <w:pPr>
              <w:spacing w:after="0"/>
              <w:rPr>
                <w:sz w:val="11"/>
                <w:szCs w:val="11"/>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U.S. Government and agencies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565.5</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1%</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555.5</w:t>
            </w:r>
          </w:p>
        </w:tc>
        <w:tc>
          <w:tcPr>
            <w:tcW w:w="28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States and political subdivisions</w:t>
            </w: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1,350.6</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b w:val="1"/>
                <w:bCs w:val="1"/>
                <w:color w:val="auto"/>
              </w:rPr>
              <w:t>3</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1,283.4</w:t>
            </w:r>
          </w:p>
        </w:tc>
        <w:tc>
          <w:tcPr>
            <w:tcW w:w="2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3</w:t>
            </w:r>
          </w:p>
        </w:tc>
        <w:tc>
          <w:tcPr>
            <w:tcW w:w="200" w:type="dxa"/>
            <w:vAlign w:val="bottom"/>
          </w:tcPr>
          <w:p>
            <w:pPr>
              <w:spacing w:after="0"/>
              <w:rPr>
                <w:sz w:val="18"/>
                <w:szCs w:val="18"/>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Non-U.S. governments</w:t>
            </w: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424.8</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463.0</w:t>
            </w:r>
          </w:p>
        </w:tc>
        <w:tc>
          <w:tcPr>
            <w:tcW w:w="28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00" w:type="dxa"/>
            <w:vAlign w:val="bottom"/>
            <w:shd w:val="clear" w:color="auto" w:fill="CCEEFF"/>
          </w:tcPr>
          <w:p>
            <w:pPr>
              <w:spacing w:after="0"/>
              <w:rPr>
                <w:sz w:val="18"/>
                <w:szCs w:val="18"/>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Corporate — public</w:t>
            </w: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19,254.9</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b w:val="1"/>
                <w:bCs w:val="1"/>
                <w:color w:val="auto"/>
              </w:rPr>
              <w:t>48</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19,590.8</w:t>
            </w:r>
          </w:p>
        </w:tc>
        <w:tc>
          <w:tcPr>
            <w:tcW w:w="2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49</w:t>
            </w:r>
          </w:p>
        </w:tc>
        <w:tc>
          <w:tcPr>
            <w:tcW w:w="200" w:type="dxa"/>
            <w:vAlign w:val="bottom"/>
          </w:tcPr>
          <w:p>
            <w:pPr>
              <w:spacing w:after="0"/>
              <w:rPr>
                <w:sz w:val="18"/>
                <w:szCs w:val="18"/>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Corporate — private</w:t>
            </w: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9,952.1</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25</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9,901.5</w:t>
            </w:r>
          </w:p>
        </w:tc>
        <w:tc>
          <w:tcPr>
            <w:tcW w:w="28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200" w:type="dxa"/>
            <w:vAlign w:val="bottom"/>
            <w:shd w:val="clear" w:color="auto" w:fill="CCEEFF"/>
          </w:tcPr>
          <w:p>
            <w:pPr>
              <w:spacing w:after="0"/>
              <w:rPr>
                <w:sz w:val="18"/>
                <w:szCs w:val="18"/>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Residential pass-through securities</w:t>
            </w: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1,452.7</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b w:val="1"/>
                <w:bCs w:val="1"/>
                <w:color w:val="auto"/>
              </w:rPr>
              <w:t>3</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1,526.0</w:t>
            </w:r>
          </w:p>
        </w:tc>
        <w:tc>
          <w:tcPr>
            <w:tcW w:w="2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4</w:t>
            </w:r>
          </w:p>
        </w:tc>
        <w:tc>
          <w:tcPr>
            <w:tcW w:w="200" w:type="dxa"/>
            <w:vAlign w:val="bottom"/>
          </w:tcPr>
          <w:p>
            <w:pPr>
              <w:spacing w:after="0"/>
              <w:rPr>
                <w:sz w:val="18"/>
                <w:szCs w:val="18"/>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Commercial mortgage-backed securities</w:t>
            </w: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4,281.8</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4,118.6</w:t>
            </w:r>
          </w:p>
        </w:tc>
        <w:tc>
          <w:tcPr>
            <w:tcW w:w="28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200" w:type="dxa"/>
            <w:vAlign w:val="bottom"/>
            <w:shd w:val="clear" w:color="auto" w:fill="CCEEFF"/>
          </w:tcPr>
          <w:p>
            <w:pPr>
              <w:spacing w:after="0"/>
              <w:rPr>
                <w:sz w:val="18"/>
                <w:szCs w:val="18"/>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Residential collateralized mortgage obligations</w:t>
            </w: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926.8</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b w:val="1"/>
                <w:bCs w:val="1"/>
                <w:color w:val="auto"/>
              </w:rPr>
              <w:t>2</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752.5</w:t>
            </w:r>
          </w:p>
        </w:tc>
        <w:tc>
          <w:tcPr>
            <w:tcW w:w="2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w:t>
            </w:r>
          </w:p>
        </w:tc>
        <w:tc>
          <w:tcPr>
            <w:tcW w:w="200" w:type="dxa"/>
            <w:vAlign w:val="bottom"/>
          </w:tcPr>
          <w:p>
            <w:pPr>
              <w:spacing w:after="0"/>
              <w:rPr>
                <w:sz w:val="18"/>
                <w:szCs w:val="18"/>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Asset-backed securities</w:t>
            </w:r>
          </w:p>
        </w:tc>
        <w:tc>
          <w:tcPr>
            <w:tcW w:w="12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2,290.8</w:t>
            </w:r>
          </w:p>
        </w:tc>
        <w:tc>
          <w:tcPr>
            <w:tcW w:w="26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1,924.4</w:t>
            </w:r>
          </w:p>
        </w:tc>
        <w:tc>
          <w:tcPr>
            <w:tcW w:w="280" w:type="dxa"/>
            <w:vAlign w:val="bottom"/>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00" w:type="dxa"/>
            <w:vAlign w:val="bottom"/>
            <w:shd w:val="clear" w:color="auto" w:fill="CCEEFF"/>
          </w:tcPr>
          <w:p>
            <w:pPr>
              <w:spacing w:after="0"/>
              <w:rPr>
                <w:sz w:val="18"/>
                <w:szCs w:val="18"/>
                <w:color w:val="auto"/>
              </w:rPr>
            </w:pPr>
          </w:p>
        </w:tc>
      </w:tr>
      <w:tr>
        <w:trPr>
          <w:trHeight w:val="223"/>
        </w:trPr>
        <w:tc>
          <w:tcPr>
            <w:tcW w:w="4740" w:type="dxa"/>
            <w:vAlign w:val="bottom"/>
          </w:tcPr>
          <w:p>
            <w:pPr>
              <w:ind w:left="180"/>
              <w:spacing w:after="0"/>
              <w:rPr>
                <w:sz w:val="20"/>
                <w:szCs w:val="20"/>
                <w:color w:val="auto"/>
              </w:rPr>
            </w:pPr>
            <w:r>
              <w:rPr>
                <w:rFonts w:ascii="Arial" w:cs="Arial" w:eastAsia="Arial" w:hAnsi="Arial"/>
                <w:sz w:val="18"/>
                <w:szCs w:val="18"/>
                <w:color w:val="auto"/>
              </w:rPr>
              <w:t>Total fixed maturities</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40,500.0</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3"/>
              </w:rPr>
              <w:t>100</w:t>
            </w:r>
          </w:p>
        </w:tc>
        <w:tc>
          <w:tcPr>
            <w:tcW w:w="300" w:type="dxa"/>
            <w:vAlign w:val="bottom"/>
          </w:tcPr>
          <w:p>
            <w:pPr>
              <w:jc w:val="right"/>
              <w:ind w:right="30"/>
              <w:spacing w:after="0"/>
              <w:rPr>
                <w:sz w:val="20"/>
                <w:szCs w:val="20"/>
                <w:color w:val="auto"/>
              </w:rPr>
            </w:pPr>
            <w:r>
              <w:rPr>
                <w:rFonts w:ascii="Arial" w:cs="Arial" w:eastAsia="Arial" w:hAnsi="Arial"/>
                <w:sz w:val="18"/>
                <w:szCs w:val="18"/>
                <w:b w:val="1"/>
                <w:bCs w:val="1"/>
                <w:color w:val="auto"/>
                <w:w w:val="99"/>
              </w:rPr>
              <w:t>%</w:t>
            </w:r>
          </w:p>
        </w:tc>
        <w:tc>
          <w:tcPr>
            <w:tcW w:w="1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40,115.7</w:t>
            </w:r>
          </w:p>
        </w:tc>
        <w:tc>
          <w:tcPr>
            <w:tcW w:w="280" w:type="dxa"/>
            <w:vAlign w:val="bottom"/>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200" w:type="dxa"/>
            <w:vAlign w:val="bottom"/>
          </w:tcPr>
          <w:p>
            <w:pPr>
              <w:jc w:val="right"/>
              <w:spacing w:after="0"/>
              <w:rPr>
                <w:sz w:val="20"/>
                <w:szCs w:val="20"/>
                <w:color w:val="auto"/>
              </w:rPr>
            </w:pPr>
            <w:r>
              <w:rPr>
                <w:rFonts w:ascii="Arial" w:cs="Arial" w:eastAsia="Arial" w:hAnsi="Arial"/>
                <w:sz w:val="18"/>
                <w:szCs w:val="18"/>
                <w:color w:val="auto"/>
                <w:w w:val="74"/>
              </w:rPr>
              <w:t>%</w:t>
            </w:r>
          </w:p>
        </w:tc>
      </w:tr>
      <w:tr>
        <w:trPr>
          <w:trHeight w:val="20"/>
        </w:trPr>
        <w:tc>
          <w:tcPr>
            <w:tcW w:w="47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We held $8,952.1 million of mortgage-backed and asset-backed securities as of June 30, 2006, and $8,321.5 million as of December 31, 2005.</w:t>
      </w:r>
    </w:p>
    <w:p>
      <w:pPr>
        <w:spacing w:after="0" w:line="237" w:lineRule="exact"/>
        <w:rPr>
          <w:sz w:val="20"/>
          <w:szCs w:val="20"/>
          <w:color w:val="auto"/>
        </w:rPr>
      </w:pPr>
    </w:p>
    <w:p>
      <w:pPr>
        <w:ind w:right="340" w:firstLine="648"/>
        <w:spacing w:after="0" w:line="264" w:lineRule="auto"/>
        <w:rPr>
          <w:sz w:val="20"/>
          <w:szCs w:val="20"/>
          <w:color w:val="auto"/>
        </w:rPr>
      </w:pPr>
      <w:r>
        <w:rPr>
          <w:rFonts w:ascii="Arial" w:cs="Arial" w:eastAsia="Arial" w:hAnsi="Arial"/>
          <w:sz w:val="18"/>
          <w:szCs w:val="18"/>
          <w:color w:val="auto"/>
        </w:rPr>
        <w:t>We believe that it is desirable to hold residential mortgage-backed pass-through securities due to their credit quality and liquidity as well as portfolio diversification characteristics. Our portfolio is comprised of GNMA, FNMA and FHLMC pass-through securities. In addition, our residential collateralized mortgage obligation portfolio offers structural features that allow cash flows to be matched to our liabilities.</w:t>
      </w:r>
    </w:p>
    <w:p>
      <w:pPr>
        <w:spacing w:after="0" w:line="181"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color w:val="auto"/>
        </w:rPr>
        <w:t>Commercial mortgage-backed securities provide high levels of credit protection, diversification, reduced event risk and enhanced liquidity. Commercial mortgage-backed securities are predominantly comprised of rated large pool securitizations that are individually and collectively diverse by property type, borrower and geographic dispersion.</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260" w:firstLine="648"/>
        <w:spacing w:after="0" w:line="279" w:lineRule="auto"/>
        <w:rPr>
          <w:sz w:val="20"/>
          <w:szCs w:val="20"/>
          <w:color w:val="auto"/>
        </w:rPr>
      </w:pPr>
      <w:r>
        <w:rPr>
          <w:rFonts w:ascii="Arial" w:cs="Arial" w:eastAsia="Arial" w:hAnsi="Arial"/>
          <w:sz w:val="17"/>
          <w:szCs w:val="17"/>
          <w:color w:val="auto"/>
        </w:rPr>
        <w:t>We purchase asset-backed securities (“ABS”) to diversify the overall credit risks of the fixed maturity securities portfolio and to provide attractive returns. The principal risks in holding asset-backed securities are structural and credit risks. Structural risks include the security’s priority in the issuer’s capital structure, the adequacy of and ability to realize proceeds from the collateral and the potential for prepayments. Credit risks involve issuer/servicer risk where collateral values can become impaired in the event of servicer credit deterioration.</w:t>
      </w:r>
    </w:p>
    <w:p>
      <w:pPr>
        <w:spacing w:after="0" w:line="171" w:lineRule="exact"/>
        <w:rPr>
          <w:sz w:val="20"/>
          <w:szCs w:val="20"/>
          <w:color w:val="auto"/>
        </w:rPr>
      </w:pPr>
    </w:p>
    <w:p>
      <w:pPr>
        <w:ind w:right="180" w:firstLine="648"/>
        <w:spacing w:after="0" w:line="257" w:lineRule="auto"/>
        <w:rPr>
          <w:sz w:val="20"/>
          <w:szCs w:val="20"/>
          <w:color w:val="auto"/>
        </w:rPr>
      </w:pPr>
      <w:r>
        <w:rPr>
          <w:rFonts w:ascii="Arial" w:cs="Arial" w:eastAsia="Arial" w:hAnsi="Arial"/>
          <w:sz w:val="18"/>
          <w:szCs w:val="18"/>
          <w:color w:val="auto"/>
        </w:rPr>
        <w:t>Our ABS portfolio is diversified both by type of asset and by issuer. We actively monitor holdings of asset-backed securities to ensure that the risk profile of each security improves or remains consistent. Prepayments in the ABS portfolio are, in general, insensitive to changes in interest rates or are insulated to such changes by call protection features. In the event that we are subject to prepayment risk, we monitor the factors that impact the level of prepayment and prepayment speed for those asset-backed securities. In addition, we diversify the risks of asset-backed securities by holding a diverse class of securities, which limits our exposure to any one security.</w:t>
      </w:r>
    </w:p>
    <w:p>
      <w:pPr>
        <w:spacing w:after="0" w:line="188" w:lineRule="exact"/>
        <w:rPr>
          <w:sz w:val="20"/>
          <w:szCs w:val="20"/>
          <w:color w:val="auto"/>
        </w:rPr>
      </w:pPr>
    </w:p>
    <w:p>
      <w:pPr>
        <w:ind w:right="60" w:firstLine="648"/>
        <w:spacing w:after="0" w:line="312" w:lineRule="auto"/>
        <w:rPr>
          <w:sz w:val="20"/>
          <w:szCs w:val="20"/>
          <w:color w:val="auto"/>
        </w:rPr>
      </w:pPr>
      <w:r>
        <w:rPr>
          <w:rFonts w:ascii="Arial" w:cs="Arial" w:eastAsia="Arial" w:hAnsi="Arial"/>
          <w:sz w:val="16"/>
          <w:szCs w:val="16"/>
          <w:color w:val="auto"/>
        </w:rPr>
        <w:t>The international exposure in our U.S. fixed maturity securities totaled $7,866.8 million, or 19% of total fixed maturity securities, as of June 30, 2006, comprised of corporate and foreign government fixed maturity securities. Of the $7,866.8 million as of June 30, 2006, investments totaled $2,164.2 million in the United Kingdom, $2,030.5 million in the continental European Union, $927.5 million in Asia, $726.6 million in Australia, $453.4 million in South America,</w:t>
      </w:r>
    </w:p>
    <w:p>
      <w:pPr>
        <w:sectPr>
          <w:pgSz w:w="11900" w:h="16838" w:orient="portrait"/>
          <w:cols w:equalWidth="0" w:num="1">
            <w:col w:w="11420"/>
          </w:cols>
          <w:pgMar w:left="240" w:top="121" w:right="239" w:bottom="0" w:gutter="0" w:footer="0" w:header="0"/>
        </w:sectPr>
      </w:pPr>
    </w:p>
    <w:bookmarkStart w:id="48" w:name="page49"/>
    <w:bookmarkEnd w:id="48"/>
    <w:p>
      <w:pPr>
        <w:spacing w:after="0" w:line="12" w:lineRule="exact"/>
        <w:rPr>
          <w:sz w:val="20"/>
          <w:szCs w:val="20"/>
          <w:color w:val="auto"/>
        </w:rPr>
      </w:pPr>
    </w:p>
    <w:p>
      <w:pPr>
        <w:ind w:right="100"/>
        <w:spacing w:after="0" w:line="273" w:lineRule="auto"/>
        <w:rPr>
          <w:sz w:val="20"/>
          <w:szCs w:val="20"/>
          <w:color w:val="auto"/>
        </w:rPr>
      </w:pPr>
      <w:r>
        <w:rPr>
          <w:rFonts w:ascii="Arial" w:cs="Arial" w:eastAsia="Arial" w:hAnsi="Arial"/>
          <w:sz w:val="17"/>
          <w:szCs w:val="17"/>
          <w:color w:val="auto"/>
        </w:rPr>
        <w:t>$272.6 million in Mexico and $93.4 million in Japan. The remaining $1,198.6 million is invested in 21 other countries. All international fixed maturity securities held by our U.S. operations are either denominated in U.S. dollars or have been swapped into U.S. dollar equivalents. Our international investments are analyzed internally by country and industry credit investment professionals. We control concentrations using issuer and country level exposure benchmarks, which are based on the credit quality of the issuer and the country. Our investment policy limits total international fixed maturity securities investments to 18% of total statutory general account assets with a 4% limit in emerging markets. Exposure to Canada is not included in our international exposure. As of June 30, 2006, our investments in Canada totaled $1,377.2 million.</w:t>
      </w:r>
    </w:p>
    <w:p>
      <w:pPr>
        <w:spacing w:after="0" w:line="178" w:lineRule="exact"/>
        <w:rPr>
          <w:sz w:val="20"/>
          <w:szCs w:val="20"/>
          <w:color w:val="auto"/>
        </w:rPr>
      </w:pPr>
    </w:p>
    <w:p>
      <w:pPr>
        <w:ind w:right="400" w:firstLine="648"/>
        <w:spacing w:after="0" w:line="277" w:lineRule="auto"/>
        <w:rPr>
          <w:sz w:val="20"/>
          <w:szCs w:val="20"/>
          <w:color w:val="auto"/>
        </w:rPr>
      </w:pPr>
      <w:r>
        <w:rPr>
          <w:rFonts w:ascii="Arial" w:cs="Arial" w:eastAsia="Arial" w:hAnsi="Arial"/>
          <w:sz w:val="18"/>
          <w:szCs w:val="18"/>
          <w:color w:val="auto"/>
        </w:rPr>
        <w:t>The following tables present the amortized cost of our top ten exposures, including approved counterparty exposure limits, as of June 30, 2006, and December 31, 2005.</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380" w:type="dxa"/>
            <w:vAlign w:val="bottom"/>
          </w:tcPr>
          <w:p>
            <w:pPr>
              <w:spacing w:after="0"/>
              <w:rPr>
                <w:sz w:val="14"/>
                <w:szCs w:val="14"/>
                <w:color w:val="auto"/>
              </w:rPr>
            </w:pPr>
          </w:p>
        </w:tc>
        <w:tc>
          <w:tcPr>
            <w:tcW w:w="3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2"/>
              </w:rPr>
              <w:t>June 30, 2006</w:t>
            </w:r>
          </w:p>
        </w:tc>
      </w:tr>
      <w:tr>
        <w:trPr>
          <w:trHeight w:val="162"/>
        </w:trPr>
        <w:tc>
          <w:tcPr>
            <w:tcW w:w="6380" w:type="dxa"/>
            <w:vAlign w:val="bottom"/>
          </w:tcPr>
          <w:p>
            <w:pPr>
              <w:spacing w:after="0"/>
              <w:rPr>
                <w:sz w:val="14"/>
                <w:szCs w:val="14"/>
                <w:color w:val="auto"/>
              </w:rPr>
            </w:pPr>
          </w:p>
        </w:tc>
        <w:tc>
          <w:tcPr>
            <w:tcW w:w="3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2"/>
              </w:rPr>
              <w:t>Amortized Cost</w:t>
            </w:r>
          </w:p>
        </w:tc>
      </w:tr>
      <w:tr>
        <w:trPr>
          <w:trHeight w:val="129"/>
        </w:trPr>
        <w:tc>
          <w:tcPr>
            <w:tcW w:w="6380" w:type="dxa"/>
            <w:vAlign w:val="bottom"/>
          </w:tcPr>
          <w:p>
            <w:pPr>
              <w:spacing w:after="0"/>
              <w:rPr>
                <w:sz w:val="11"/>
                <w:szCs w:val="11"/>
                <w:color w:val="auto"/>
              </w:rPr>
            </w:pPr>
          </w:p>
        </w:tc>
        <w:tc>
          <w:tcPr>
            <w:tcW w:w="356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300" w:type="dxa"/>
            <w:vAlign w:val="bottom"/>
            <w:tcBorders>
              <w:top w:val="single" w:sz="8" w:color="auto"/>
            </w:tcBorders>
          </w:tcPr>
          <w:p>
            <w:pPr>
              <w:jc w:val="center"/>
              <w:ind w:right="74"/>
              <w:spacing w:after="0" w:line="129" w:lineRule="exact"/>
              <w:rPr>
                <w:sz w:val="20"/>
                <w:szCs w:val="20"/>
                <w:color w:val="auto"/>
              </w:rPr>
            </w:pPr>
            <w:r>
              <w:rPr>
                <w:rFonts w:ascii="Arial" w:cs="Arial" w:eastAsia="Arial" w:hAnsi="Arial"/>
                <w:sz w:val="14"/>
                <w:szCs w:val="14"/>
                <w:b w:val="1"/>
                <w:bCs w:val="1"/>
                <w:color w:val="auto"/>
                <w:w w:val="94"/>
              </w:rPr>
              <w:t>(in millions)</w:t>
            </w:r>
          </w:p>
        </w:tc>
        <w:tc>
          <w:tcPr>
            <w:tcW w:w="20" w:type="dxa"/>
            <w:vAlign w:val="bottom"/>
          </w:tcPr>
          <w:p>
            <w:pPr>
              <w:spacing w:after="0"/>
              <w:rPr>
                <w:sz w:val="11"/>
                <w:szCs w:val="11"/>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HSBC Holdings PLC(1)</w:t>
            </w:r>
          </w:p>
        </w:tc>
        <w:tc>
          <w:tcPr>
            <w:tcW w:w="37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380.5</w:t>
            </w:r>
          </w:p>
        </w:tc>
        <w:tc>
          <w:tcPr>
            <w:tcW w:w="20" w:type="dxa"/>
            <w:vAlign w:val="bottom"/>
            <w:shd w:val="clear" w:color="auto" w:fill="CCEEFF"/>
          </w:tcPr>
          <w:p>
            <w:pPr>
              <w:spacing w:after="0"/>
              <w:rPr>
                <w:sz w:val="18"/>
                <w:szCs w:val="18"/>
                <w:color w:val="auto"/>
              </w:rPr>
            </w:pPr>
          </w:p>
        </w:tc>
      </w:tr>
      <w:tr>
        <w:trPr>
          <w:trHeight w:val="216"/>
        </w:trPr>
        <w:tc>
          <w:tcPr>
            <w:tcW w:w="6380" w:type="dxa"/>
            <w:vAlign w:val="bottom"/>
          </w:tcPr>
          <w:p>
            <w:pPr>
              <w:spacing w:after="0"/>
              <w:rPr>
                <w:sz w:val="20"/>
                <w:szCs w:val="20"/>
                <w:color w:val="auto"/>
              </w:rPr>
            </w:pPr>
            <w:r>
              <w:rPr>
                <w:rFonts w:ascii="Arial" w:cs="Arial" w:eastAsia="Arial" w:hAnsi="Arial"/>
                <w:sz w:val="18"/>
                <w:szCs w:val="18"/>
                <w:color w:val="auto"/>
              </w:rPr>
              <w:t>Bank of America Corp.(3)</w:t>
            </w:r>
          </w:p>
        </w:tc>
        <w:tc>
          <w:tcPr>
            <w:tcW w:w="3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b w:val="1"/>
                <w:bCs w:val="1"/>
                <w:color w:val="auto"/>
              </w:rPr>
              <w:t>346.7</w:t>
            </w:r>
          </w:p>
        </w:tc>
        <w:tc>
          <w:tcPr>
            <w:tcW w:w="20" w:type="dxa"/>
            <w:vAlign w:val="bottom"/>
          </w:tcPr>
          <w:p>
            <w:pPr>
              <w:spacing w:after="0"/>
              <w:rPr>
                <w:sz w:val="18"/>
                <w:szCs w:val="18"/>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American International Group Inc.(3)</w:t>
            </w:r>
          </w:p>
        </w:tc>
        <w:tc>
          <w:tcPr>
            <w:tcW w:w="3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323.0</w:t>
            </w:r>
          </w:p>
        </w:tc>
        <w:tc>
          <w:tcPr>
            <w:tcW w:w="20" w:type="dxa"/>
            <w:vAlign w:val="bottom"/>
            <w:shd w:val="clear" w:color="auto" w:fill="CCEEFF"/>
          </w:tcPr>
          <w:p>
            <w:pPr>
              <w:spacing w:after="0"/>
              <w:rPr>
                <w:sz w:val="18"/>
                <w:szCs w:val="18"/>
                <w:color w:val="auto"/>
              </w:rPr>
            </w:pPr>
          </w:p>
        </w:tc>
      </w:tr>
      <w:tr>
        <w:trPr>
          <w:trHeight w:val="216"/>
        </w:trPr>
        <w:tc>
          <w:tcPr>
            <w:tcW w:w="6380" w:type="dxa"/>
            <w:vAlign w:val="bottom"/>
          </w:tcPr>
          <w:p>
            <w:pPr>
              <w:spacing w:after="0"/>
              <w:rPr>
                <w:sz w:val="20"/>
                <w:szCs w:val="20"/>
                <w:color w:val="auto"/>
              </w:rPr>
            </w:pPr>
            <w:r>
              <w:rPr>
                <w:rFonts w:ascii="Arial" w:cs="Arial" w:eastAsia="Arial" w:hAnsi="Arial"/>
                <w:sz w:val="18"/>
                <w:szCs w:val="18"/>
                <w:color w:val="auto"/>
              </w:rPr>
              <w:t>MBIA Inc.(2)</w:t>
            </w:r>
          </w:p>
        </w:tc>
        <w:tc>
          <w:tcPr>
            <w:tcW w:w="3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b w:val="1"/>
                <w:bCs w:val="1"/>
                <w:color w:val="auto"/>
              </w:rPr>
              <w:t>305.7</w:t>
            </w:r>
          </w:p>
        </w:tc>
        <w:tc>
          <w:tcPr>
            <w:tcW w:w="20" w:type="dxa"/>
            <w:vAlign w:val="bottom"/>
          </w:tcPr>
          <w:p>
            <w:pPr>
              <w:spacing w:after="0"/>
              <w:rPr>
                <w:sz w:val="18"/>
                <w:szCs w:val="18"/>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JP Morgan Chase &amp; Co.(3)</w:t>
            </w:r>
          </w:p>
        </w:tc>
        <w:tc>
          <w:tcPr>
            <w:tcW w:w="3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304.1</w:t>
            </w:r>
          </w:p>
        </w:tc>
        <w:tc>
          <w:tcPr>
            <w:tcW w:w="20" w:type="dxa"/>
            <w:vAlign w:val="bottom"/>
            <w:shd w:val="clear" w:color="auto" w:fill="CCEEFF"/>
          </w:tcPr>
          <w:p>
            <w:pPr>
              <w:spacing w:after="0"/>
              <w:rPr>
                <w:sz w:val="18"/>
                <w:szCs w:val="18"/>
                <w:color w:val="auto"/>
              </w:rPr>
            </w:pPr>
          </w:p>
        </w:tc>
      </w:tr>
      <w:tr>
        <w:trPr>
          <w:trHeight w:val="216"/>
        </w:trPr>
        <w:tc>
          <w:tcPr>
            <w:tcW w:w="6380" w:type="dxa"/>
            <w:vAlign w:val="bottom"/>
          </w:tcPr>
          <w:p>
            <w:pPr>
              <w:spacing w:after="0"/>
              <w:rPr>
                <w:sz w:val="20"/>
                <w:szCs w:val="20"/>
                <w:color w:val="auto"/>
              </w:rPr>
            </w:pPr>
            <w:r>
              <w:rPr>
                <w:rFonts w:ascii="Arial" w:cs="Arial" w:eastAsia="Arial" w:hAnsi="Arial"/>
                <w:sz w:val="18"/>
                <w:szCs w:val="18"/>
                <w:color w:val="auto"/>
              </w:rPr>
              <w:t>Royal Bank of Scotland Group PLC(3)</w:t>
            </w:r>
          </w:p>
        </w:tc>
        <w:tc>
          <w:tcPr>
            <w:tcW w:w="3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b w:val="1"/>
                <w:bCs w:val="1"/>
                <w:color w:val="auto"/>
              </w:rPr>
              <w:t>285.6</w:t>
            </w:r>
          </w:p>
        </w:tc>
        <w:tc>
          <w:tcPr>
            <w:tcW w:w="20" w:type="dxa"/>
            <w:vAlign w:val="bottom"/>
          </w:tcPr>
          <w:p>
            <w:pPr>
              <w:spacing w:after="0"/>
              <w:rPr>
                <w:sz w:val="18"/>
                <w:szCs w:val="18"/>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General Electric Co</w:t>
            </w:r>
          </w:p>
        </w:tc>
        <w:tc>
          <w:tcPr>
            <w:tcW w:w="3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232.8</w:t>
            </w:r>
          </w:p>
        </w:tc>
        <w:tc>
          <w:tcPr>
            <w:tcW w:w="20" w:type="dxa"/>
            <w:vAlign w:val="bottom"/>
            <w:shd w:val="clear" w:color="auto" w:fill="CCEEFF"/>
          </w:tcPr>
          <w:p>
            <w:pPr>
              <w:spacing w:after="0"/>
              <w:rPr>
                <w:sz w:val="18"/>
                <w:szCs w:val="18"/>
                <w:color w:val="auto"/>
              </w:rPr>
            </w:pPr>
          </w:p>
        </w:tc>
      </w:tr>
      <w:tr>
        <w:trPr>
          <w:trHeight w:val="216"/>
        </w:trPr>
        <w:tc>
          <w:tcPr>
            <w:tcW w:w="6380" w:type="dxa"/>
            <w:vAlign w:val="bottom"/>
          </w:tcPr>
          <w:p>
            <w:pPr>
              <w:spacing w:after="0"/>
              <w:rPr>
                <w:sz w:val="20"/>
                <w:szCs w:val="20"/>
                <w:color w:val="auto"/>
              </w:rPr>
            </w:pPr>
            <w:r>
              <w:rPr>
                <w:rFonts w:ascii="Arial" w:cs="Arial" w:eastAsia="Arial" w:hAnsi="Arial"/>
                <w:sz w:val="18"/>
                <w:szCs w:val="18"/>
                <w:color w:val="auto"/>
              </w:rPr>
              <w:t>Citigroup Inc.(3)</w:t>
            </w:r>
          </w:p>
        </w:tc>
        <w:tc>
          <w:tcPr>
            <w:tcW w:w="3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b w:val="1"/>
                <w:bCs w:val="1"/>
                <w:color w:val="auto"/>
              </w:rPr>
              <w:t>216.6</w:t>
            </w:r>
          </w:p>
        </w:tc>
        <w:tc>
          <w:tcPr>
            <w:tcW w:w="20" w:type="dxa"/>
            <w:vAlign w:val="bottom"/>
          </w:tcPr>
          <w:p>
            <w:pPr>
              <w:spacing w:after="0"/>
              <w:rPr>
                <w:sz w:val="18"/>
                <w:szCs w:val="18"/>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Verizon Communications Inc.</w:t>
            </w:r>
          </w:p>
        </w:tc>
        <w:tc>
          <w:tcPr>
            <w:tcW w:w="3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203.4</w:t>
            </w:r>
          </w:p>
        </w:tc>
        <w:tc>
          <w:tcPr>
            <w:tcW w:w="20" w:type="dxa"/>
            <w:vAlign w:val="bottom"/>
            <w:shd w:val="clear" w:color="auto" w:fill="CCEEFF"/>
          </w:tcPr>
          <w:p>
            <w:pPr>
              <w:spacing w:after="0"/>
              <w:rPr>
                <w:sz w:val="18"/>
                <w:szCs w:val="18"/>
                <w:color w:val="auto"/>
              </w:rPr>
            </w:pPr>
          </w:p>
        </w:tc>
      </w:tr>
      <w:tr>
        <w:trPr>
          <w:trHeight w:val="216"/>
        </w:trPr>
        <w:tc>
          <w:tcPr>
            <w:tcW w:w="63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Morgan Stanley(3)</w:t>
            </w:r>
          </w:p>
        </w:tc>
        <w:tc>
          <w:tcPr>
            <w:tcW w:w="356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197.1</w:t>
            </w:r>
          </w:p>
        </w:tc>
        <w:tc>
          <w:tcPr>
            <w:tcW w:w="20" w:type="dxa"/>
            <w:vAlign w:val="bottom"/>
            <w:tcBorders>
              <w:bottom w:val="single" w:sz="8" w:color="CCEEFF"/>
            </w:tcBorders>
          </w:tcPr>
          <w:p>
            <w:pPr>
              <w:spacing w:after="0"/>
              <w:rPr>
                <w:sz w:val="18"/>
                <w:szCs w:val="18"/>
                <w:color w:val="auto"/>
              </w:rPr>
            </w:pPr>
          </w:p>
        </w:tc>
      </w:tr>
      <w:tr>
        <w:trPr>
          <w:trHeight w:val="210"/>
        </w:trPr>
        <w:tc>
          <w:tcPr>
            <w:tcW w:w="63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top ten exposures</w:t>
            </w:r>
          </w:p>
        </w:tc>
        <w:tc>
          <w:tcPr>
            <w:tcW w:w="356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2,795.5</w:t>
            </w:r>
          </w:p>
        </w:tc>
        <w:tc>
          <w:tcPr>
            <w:tcW w:w="20" w:type="dxa"/>
            <w:vAlign w:val="bottom"/>
            <w:tcBorders>
              <w:bottom w:val="single" w:sz="8" w:color="CCEEFF"/>
            </w:tcBorders>
            <w:shd w:val="clear" w:color="auto" w:fill="CCEEFF"/>
          </w:tcPr>
          <w:p>
            <w:pPr>
              <w:spacing w:after="0"/>
              <w:rPr>
                <w:sz w:val="18"/>
                <w:szCs w:val="18"/>
                <w:color w:val="auto"/>
              </w:rPr>
            </w:pPr>
          </w:p>
        </w:tc>
      </w:tr>
      <w:tr>
        <w:trPr>
          <w:trHeight w:val="20"/>
        </w:trPr>
        <w:tc>
          <w:tcPr>
            <w:tcW w:w="6380" w:type="dxa"/>
            <w:vAlign w:val="bottom"/>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389380"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660" w:right="20" w:hanging="652"/>
        <w:spacing w:after="0" w:line="302" w:lineRule="auto"/>
        <w:tabs>
          <w:tab w:leader="none" w:pos="614" w:val="left"/>
        </w:tabs>
        <w:numPr>
          <w:ilvl w:val="0"/>
          <w:numId w:val="26"/>
        </w:numPr>
        <w:rPr>
          <w:rFonts w:ascii="Arial" w:cs="Arial" w:eastAsia="Arial" w:hAnsi="Arial"/>
          <w:sz w:val="16"/>
          <w:szCs w:val="16"/>
          <w:color w:val="auto"/>
        </w:rPr>
      </w:pPr>
      <w:r>
        <w:rPr>
          <w:rFonts w:ascii="Arial" w:cs="Arial" w:eastAsia="Arial" w:hAnsi="Arial"/>
          <w:sz w:val="16"/>
          <w:szCs w:val="16"/>
          <w:color w:val="auto"/>
        </w:rPr>
        <w:t>Includes a $238.2 million investment classified as an equity security for U.S. GAAP. The investment issuer engages in managing investment grade third party bond investments and HSBC paper. All non-HSBC paper has the ultimate benefit of price support protection provided by HSBC Bank, PLC. Since Principal Life Insurance Company has the senior priority in the issuer, we believe many third party bonds could be liquidated to satisfy our claim. While we calculate our exposure on a gross basis, the value we attribute to the underlying collateral is $125.0 million.</w:t>
      </w:r>
    </w:p>
    <w:p>
      <w:pPr>
        <w:spacing w:after="0" w:line="154" w:lineRule="exact"/>
        <w:rPr>
          <w:rFonts w:ascii="Arial" w:cs="Arial" w:eastAsia="Arial" w:hAnsi="Arial"/>
          <w:sz w:val="16"/>
          <w:szCs w:val="16"/>
          <w:color w:val="auto"/>
        </w:rPr>
      </w:pPr>
    </w:p>
    <w:p>
      <w:pPr>
        <w:ind w:left="660" w:right="160" w:hanging="652"/>
        <w:spacing w:after="0" w:line="264" w:lineRule="auto"/>
        <w:tabs>
          <w:tab w:leader="none" w:pos="614" w:val="left"/>
        </w:tabs>
        <w:numPr>
          <w:ilvl w:val="0"/>
          <w:numId w:val="26"/>
        </w:numPr>
        <w:rPr>
          <w:rFonts w:ascii="Arial" w:cs="Arial" w:eastAsia="Arial" w:hAnsi="Arial"/>
          <w:sz w:val="18"/>
          <w:szCs w:val="18"/>
          <w:color w:val="auto"/>
        </w:rPr>
      </w:pPr>
      <w:r>
        <w:rPr>
          <w:rFonts w:ascii="Arial" w:cs="Arial" w:eastAsia="Arial" w:hAnsi="Arial"/>
          <w:sz w:val="18"/>
          <w:szCs w:val="18"/>
          <w:color w:val="auto"/>
        </w:rPr>
        <w:t>MBIA Inc. exposure is predominately comprised of the guarantee of underlying securities that are rated “A-” equivalent or better by the rating agencies on a stand alone basis. The MBIA wrap guarantees performance in the event of default of the underlying securities bringing the combined rating to AAA.</w:t>
      </w:r>
    </w:p>
    <w:p>
      <w:pPr>
        <w:spacing w:after="0" w:line="181" w:lineRule="exact"/>
        <w:rPr>
          <w:rFonts w:ascii="Arial" w:cs="Arial" w:eastAsia="Arial" w:hAnsi="Arial"/>
          <w:sz w:val="18"/>
          <w:szCs w:val="18"/>
          <w:color w:val="auto"/>
        </w:rPr>
      </w:pPr>
    </w:p>
    <w:p>
      <w:pPr>
        <w:ind w:left="620" w:hanging="612"/>
        <w:spacing w:after="0"/>
        <w:tabs>
          <w:tab w:leader="none" w:pos="6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Includes approved counterparty limit. The actual and the stressed potential exposures are less than the approved limit.</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1"/>
              </w:rPr>
              <w:t>December 31, 2005</w:t>
            </w:r>
          </w:p>
        </w:tc>
      </w:tr>
      <w:tr>
        <w:trPr>
          <w:trHeight w:val="162"/>
        </w:trPr>
        <w:tc>
          <w:tcPr>
            <w:tcW w:w="9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2"/>
              </w:rPr>
              <w:t>Amortized Cost</w:t>
            </w:r>
          </w:p>
        </w:tc>
      </w:tr>
      <w:tr>
        <w:trPr>
          <w:trHeight w:val="129"/>
        </w:trPr>
        <w:tc>
          <w:tcPr>
            <w:tcW w:w="99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360" w:type="dxa"/>
            <w:vAlign w:val="bottom"/>
            <w:tcBorders>
              <w:top w:val="single" w:sz="8" w:color="auto"/>
            </w:tcBorders>
          </w:tcPr>
          <w:p>
            <w:pPr>
              <w:jc w:val="center"/>
              <w:ind w:right="54"/>
              <w:spacing w:after="0" w:line="129" w:lineRule="exact"/>
              <w:rPr>
                <w:sz w:val="20"/>
                <w:szCs w:val="20"/>
                <w:color w:val="auto"/>
              </w:rPr>
            </w:pPr>
            <w:r>
              <w:rPr>
                <w:rFonts w:ascii="Arial" w:cs="Arial" w:eastAsia="Arial" w:hAnsi="Arial"/>
                <w:sz w:val="14"/>
                <w:szCs w:val="14"/>
                <w:b w:val="1"/>
                <w:bCs w:val="1"/>
                <w:color w:val="auto"/>
                <w:w w:val="94"/>
              </w:rPr>
              <w:t>(in millions)</w:t>
            </w:r>
          </w:p>
        </w:tc>
        <w:tc>
          <w:tcPr>
            <w:tcW w:w="40" w:type="dxa"/>
            <w:vAlign w:val="bottom"/>
          </w:tcPr>
          <w:p>
            <w:pPr>
              <w:spacing w:after="0"/>
              <w:rPr>
                <w:sz w:val="11"/>
                <w:szCs w:val="11"/>
                <w:color w:val="auto"/>
              </w:rPr>
            </w:pPr>
          </w:p>
        </w:tc>
      </w:tr>
      <w:tr>
        <w:trPr>
          <w:trHeight w:val="216"/>
        </w:trPr>
        <w:tc>
          <w:tcPr>
            <w:tcW w:w="9900" w:type="dxa"/>
            <w:vAlign w:val="bottom"/>
            <w:shd w:val="clear" w:color="auto" w:fill="CCEEFF"/>
          </w:tcPr>
          <w:p>
            <w:pPr>
              <w:spacing w:after="0"/>
              <w:rPr>
                <w:sz w:val="20"/>
                <w:szCs w:val="20"/>
                <w:color w:val="auto"/>
              </w:rPr>
            </w:pPr>
            <w:r>
              <w:rPr>
                <w:rFonts w:ascii="Arial" w:cs="Arial" w:eastAsia="Arial" w:hAnsi="Arial"/>
                <w:sz w:val="18"/>
                <w:szCs w:val="18"/>
                <w:color w:val="auto"/>
              </w:rPr>
              <w:t>HSBC Holdings PLC(1)</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381.6</w:t>
            </w:r>
          </w:p>
        </w:tc>
        <w:tc>
          <w:tcPr>
            <w:tcW w:w="40" w:type="dxa"/>
            <w:vAlign w:val="bottom"/>
            <w:shd w:val="clear" w:color="auto" w:fill="CCEEFF"/>
          </w:tcPr>
          <w:p>
            <w:pPr>
              <w:spacing w:after="0"/>
              <w:rPr>
                <w:sz w:val="18"/>
                <w:szCs w:val="18"/>
                <w:color w:val="auto"/>
              </w:rPr>
            </w:pPr>
          </w:p>
        </w:tc>
      </w:tr>
      <w:tr>
        <w:trPr>
          <w:trHeight w:val="216"/>
        </w:trPr>
        <w:tc>
          <w:tcPr>
            <w:tcW w:w="9900" w:type="dxa"/>
            <w:vAlign w:val="bottom"/>
          </w:tcPr>
          <w:p>
            <w:pPr>
              <w:spacing w:after="0"/>
              <w:rPr>
                <w:sz w:val="20"/>
                <w:szCs w:val="20"/>
                <w:color w:val="auto"/>
              </w:rPr>
            </w:pPr>
            <w:r>
              <w:rPr>
                <w:rFonts w:ascii="Arial" w:cs="Arial" w:eastAsia="Arial" w:hAnsi="Arial"/>
                <w:sz w:val="18"/>
                <w:szCs w:val="18"/>
                <w:color w:val="auto"/>
              </w:rPr>
              <w:t>American International Group Inc.(3)</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330.7</w:t>
            </w:r>
          </w:p>
        </w:tc>
        <w:tc>
          <w:tcPr>
            <w:tcW w:w="40" w:type="dxa"/>
            <w:vAlign w:val="bottom"/>
          </w:tcPr>
          <w:p>
            <w:pPr>
              <w:spacing w:after="0"/>
              <w:rPr>
                <w:sz w:val="18"/>
                <w:szCs w:val="18"/>
                <w:color w:val="auto"/>
              </w:rPr>
            </w:pPr>
          </w:p>
        </w:tc>
      </w:tr>
      <w:tr>
        <w:trPr>
          <w:trHeight w:val="216"/>
        </w:trPr>
        <w:tc>
          <w:tcPr>
            <w:tcW w:w="9900" w:type="dxa"/>
            <w:vAlign w:val="bottom"/>
            <w:shd w:val="clear" w:color="auto" w:fill="CCEEFF"/>
          </w:tcPr>
          <w:p>
            <w:pPr>
              <w:spacing w:after="0"/>
              <w:rPr>
                <w:sz w:val="20"/>
                <w:szCs w:val="20"/>
                <w:color w:val="auto"/>
              </w:rPr>
            </w:pPr>
            <w:r>
              <w:rPr>
                <w:rFonts w:ascii="Arial" w:cs="Arial" w:eastAsia="Arial" w:hAnsi="Arial"/>
                <w:sz w:val="18"/>
                <w:szCs w:val="18"/>
                <w:color w:val="auto"/>
              </w:rPr>
              <w:t>Bank of America Corp.(3)</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317.5</w:t>
            </w:r>
          </w:p>
        </w:tc>
        <w:tc>
          <w:tcPr>
            <w:tcW w:w="40" w:type="dxa"/>
            <w:vAlign w:val="bottom"/>
            <w:shd w:val="clear" w:color="auto" w:fill="CCEEFF"/>
          </w:tcPr>
          <w:p>
            <w:pPr>
              <w:spacing w:after="0"/>
              <w:rPr>
                <w:sz w:val="18"/>
                <w:szCs w:val="18"/>
                <w:color w:val="auto"/>
              </w:rPr>
            </w:pPr>
          </w:p>
        </w:tc>
      </w:tr>
      <w:tr>
        <w:trPr>
          <w:trHeight w:val="216"/>
        </w:trPr>
        <w:tc>
          <w:tcPr>
            <w:tcW w:w="9900" w:type="dxa"/>
            <w:vAlign w:val="bottom"/>
          </w:tcPr>
          <w:p>
            <w:pPr>
              <w:spacing w:after="0"/>
              <w:rPr>
                <w:sz w:val="20"/>
                <w:szCs w:val="20"/>
                <w:color w:val="auto"/>
              </w:rPr>
            </w:pPr>
            <w:r>
              <w:rPr>
                <w:rFonts w:ascii="Arial" w:cs="Arial" w:eastAsia="Arial" w:hAnsi="Arial"/>
                <w:sz w:val="18"/>
                <w:szCs w:val="18"/>
                <w:color w:val="auto"/>
              </w:rPr>
              <w:t>JP Morgan Chase &amp; Co.(3)</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316.3</w:t>
            </w:r>
          </w:p>
        </w:tc>
        <w:tc>
          <w:tcPr>
            <w:tcW w:w="40" w:type="dxa"/>
            <w:vAlign w:val="bottom"/>
          </w:tcPr>
          <w:p>
            <w:pPr>
              <w:spacing w:after="0"/>
              <w:rPr>
                <w:sz w:val="18"/>
                <w:szCs w:val="18"/>
                <w:color w:val="auto"/>
              </w:rPr>
            </w:pPr>
          </w:p>
        </w:tc>
      </w:tr>
      <w:tr>
        <w:trPr>
          <w:trHeight w:val="216"/>
        </w:trPr>
        <w:tc>
          <w:tcPr>
            <w:tcW w:w="9900" w:type="dxa"/>
            <w:vAlign w:val="bottom"/>
            <w:shd w:val="clear" w:color="auto" w:fill="CCEEFF"/>
          </w:tcPr>
          <w:p>
            <w:pPr>
              <w:spacing w:after="0"/>
              <w:rPr>
                <w:sz w:val="20"/>
                <w:szCs w:val="20"/>
                <w:color w:val="auto"/>
              </w:rPr>
            </w:pPr>
            <w:r>
              <w:rPr>
                <w:rFonts w:ascii="Arial" w:cs="Arial" w:eastAsia="Arial" w:hAnsi="Arial"/>
                <w:sz w:val="18"/>
                <w:szCs w:val="18"/>
                <w:color w:val="auto"/>
              </w:rPr>
              <w:t>Royal Bank of Scotland Group PLC(3)</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315.6</w:t>
            </w:r>
          </w:p>
        </w:tc>
        <w:tc>
          <w:tcPr>
            <w:tcW w:w="40" w:type="dxa"/>
            <w:vAlign w:val="bottom"/>
            <w:shd w:val="clear" w:color="auto" w:fill="CCEEFF"/>
          </w:tcPr>
          <w:p>
            <w:pPr>
              <w:spacing w:after="0"/>
              <w:rPr>
                <w:sz w:val="18"/>
                <w:szCs w:val="18"/>
                <w:color w:val="auto"/>
              </w:rPr>
            </w:pPr>
          </w:p>
        </w:tc>
      </w:tr>
      <w:tr>
        <w:trPr>
          <w:trHeight w:val="216"/>
        </w:trPr>
        <w:tc>
          <w:tcPr>
            <w:tcW w:w="9900" w:type="dxa"/>
            <w:vAlign w:val="bottom"/>
          </w:tcPr>
          <w:p>
            <w:pPr>
              <w:spacing w:after="0"/>
              <w:rPr>
                <w:sz w:val="20"/>
                <w:szCs w:val="20"/>
                <w:color w:val="auto"/>
              </w:rPr>
            </w:pPr>
            <w:r>
              <w:rPr>
                <w:rFonts w:ascii="Arial" w:cs="Arial" w:eastAsia="Arial" w:hAnsi="Arial"/>
                <w:sz w:val="18"/>
                <w:szCs w:val="18"/>
                <w:color w:val="auto"/>
              </w:rPr>
              <w:t>MBIA Inc.(2)</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311.6</w:t>
            </w:r>
          </w:p>
        </w:tc>
        <w:tc>
          <w:tcPr>
            <w:tcW w:w="40" w:type="dxa"/>
            <w:vAlign w:val="bottom"/>
          </w:tcPr>
          <w:p>
            <w:pPr>
              <w:spacing w:after="0"/>
              <w:rPr>
                <w:sz w:val="18"/>
                <w:szCs w:val="18"/>
                <w:color w:val="auto"/>
              </w:rPr>
            </w:pPr>
          </w:p>
        </w:tc>
      </w:tr>
      <w:tr>
        <w:trPr>
          <w:trHeight w:val="216"/>
        </w:trPr>
        <w:tc>
          <w:tcPr>
            <w:tcW w:w="9900" w:type="dxa"/>
            <w:vAlign w:val="bottom"/>
            <w:shd w:val="clear" w:color="auto" w:fill="CCEEFF"/>
          </w:tcPr>
          <w:p>
            <w:pPr>
              <w:spacing w:after="0"/>
              <w:rPr>
                <w:sz w:val="20"/>
                <w:szCs w:val="20"/>
                <w:color w:val="auto"/>
              </w:rPr>
            </w:pPr>
            <w:r>
              <w:rPr>
                <w:rFonts w:ascii="Arial" w:cs="Arial" w:eastAsia="Arial" w:hAnsi="Arial"/>
                <w:sz w:val="18"/>
                <w:szCs w:val="18"/>
                <w:color w:val="auto"/>
              </w:rPr>
              <w:t>General Electric Co</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247.5</w:t>
            </w:r>
          </w:p>
        </w:tc>
        <w:tc>
          <w:tcPr>
            <w:tcW w:w="40" w:type="dxa"/>
            <w:vAlign w:val="bottom"/>
            <w:shd w:val="clear" w:color="auto" w:fill="CCEEFF"/>
          </w:tcPr>
          <w:p>
            <w:pPr>
              <w:spacing w:after="0"/>
              <w:rPr>
                <w:sz w:val="18"/>
                <w:szCs w:val="18"/>
                <w:color w:val="auto"/>
              </w:rPr>
            </w:pPr>
          </w:p>
        </w:tc>
      </w:tr>
      <w:tr>
        <w:trPr>
          <w:trHeight w:val="216"/>
        </w:trPr>
        <w:tc>
          <w:tcPr>
            <w:tcW w:w="9900" w:type="dxa"/>
            <w:vAlign w:val="bottom"/>
          </w:tcPr>
          <w:p>
            <w:pPr>
              <w:spacing w:after="0"/>
              <w:rPr>
                <w:sz w:val="20"/>
                <w:szCs w:val="20"/>
                <w:color w:val="auto"/>
              </w:rPr>
            </w:pPr>
            <w:r>
              <w:rPr>
                <w:rFonts w:ascii="Arial" w:cs="Arial" w:eastAsia="Arial" w:hAnsi="Arial"/>
                <w:sz w:val="18"/>
                <w:szCs w:val="18"/>
                <w:color w:val="auto"/>
              </w:rPr>
              <w:t>Citigroup Inc.(3)</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235.0</w:t>
            </w:r>
          </w:p>
        </w:tc>
        <w:tc>
          <w:tcPr>
            <w:tcW w:w="40" w:type="dxa"/>
            <w:vAlign w:val="bottom"/>
          </w:tcPr>
          <w:p>
            <w:pPr>
              <w:spacing w:after="0"/>
              <w:rPr>
                <w:sz w:val="18"/>
                <w:szCs w:val="18"/>
                <w:color w:val="auto"/>
              </w:rPr>
            </w:pPr>
          </w:p>
        </w:tc>
      </w:tr>
      <w:tr>
        <w:trPr>
          <w:trHeight w:val="216"/>
        </w:trPr>
        <w:tc>
          <w:tcPr>
            <w:tcW w:w="9900" w:type="dxa"/>
            <w:vAlign w:val="bottom"/>
            <w:shd w:val="clear" w:color="auto" w:fill="CCEEFF"/>
          </w:tcPr>
          <w:p>
            <w:pPr>
              <w:spacing w:after="0"/>
              <w:rPr>
                <w:sz w:val="20"/>
                <w:szCs w:val="20"/>
                <w:color w:val="auto"/>
              </w:rPr>
            </w:pPr>
            <w:r>
              <w:rPr>
                <w:rFonts w:ascii="Arial" w:cs="Arial" w:eastAsia="Arial" w:hAnsi="Arial"/>
                <w:sz w:val="18"/>
                <w:szCs w:val="18"/>
                <w:color w:val="auto"/>
              </w:rPr>
              <w:t>Banco Santander Central Hispano SA</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227.4</w:t>
            </w:r>
          </w:p>
        </w:tc>
        <w:tc>
          <w:tcPr>
            <w:tcW w:w="40" w:type="dxa"/>
            <w:vAlign w:val="bottom"/>
            <w:shd w:val="clear" w:color="auto" w:fill="CCEEFF"/>
          </w:tcPr>
          <w:p>
            <w:pPr>
              <w:spacing w:after="0"/>
              <w:rPr>
                <w:sz w:val="18"/>
                <w:szCs w:val="18"/>
                <w:color w:val="auto"/>
              </w:rPr>
            </w:pPr>
          </w:p>
        </w:tc>
      </w:tr>
      <w:tr>
        <w:trPr>
          <w:trHeight w:val="216"/>
        </w:trPr>
        <w:tc>
          <w:tcPr>
            <w:tcW w:w="99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AT&amp;T Inc.</w:t>
            </w:r>
          </w:p>
        </w:tc>
        <w:tc>
          <w:tcPr>
            <w:tcW w:w="1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219.9</w:t>
            </w:r>
          </w:p>
        </w:tc>
        <w:tc>
          <w:tcPr>
            <w:tcW w:w="40" w:type="dxa"/>
            <w:vAlign w:val="bottom"/>
            <w:tcBorders>
              <w:bottom w:val="single" w:sz="8" w:color="CCEEFF"/>
            </w:tcBorders>
          </w:tcPr>
          <w:p>
            <w:pPr>
              <w:spacing w:after="0"/>
              <w:rPr>
                <w:sz w:val="18"/>
                <w:szCs w:val="18"/>
                <w:color w:val="auto"/>
              </w:rPr>
            </w:pPr>
          </w:p>
        </w:tc>
      </w:tr>
      <w:tr>
        <w:trPr>
          <w:trHeight w:val="210"/>
        </w:trPr>
        <w:tc>
          <w:tcPr>
            <w:tcW w:w="99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top ten exposures</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2,903.1</w:t>
            </w:r>
          </w:p>
        </w:tc>
        <w:tc>
          <w:tcPr>
            <w:tcW w:w="40" w:type="dxa"/>
            <w:vAlign w:val="bottom"/>
            <w:tcBorders>
              <w:bottom w:val="single" w:sz="8" w:color="CCEEFF"/>
            </w:tcBorders>
            <w:shd w:val="clear" w:color="auto" w:fill="CCEEFF"/>
          </w:tcPr>
          <w:p>
            <w:pPr>
              <w:spacing w:after="0"/>
              <w:rPr>
                <w:sz w:val="18"/>
                <w:szCs w:val="18"/>
                <w:color w:val="auto"/>
              </w:rPr>
            </w:pPr>
          </w:p>
        </w:tc>
      </w:tr>
      <w:tr>
        <w:trPr>
          <w:trHeight w:val="20"/>
        </w:trPr>
        <w:tc>
          <w:tcPr>
            <w:tcW w:w="99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389380"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640" w:right="40" w:hanging="632"/>
        <w:spacing w:after="0" w:line="302" w:lineRule="auto"/>
        <w:tabs>
          <w:tab w:leader="none" w:pos="600" w:val="left"/>
        </w:tabs>
        <w:numPr>
          <w:ilvl w:val="0"/>
          <w:numId w:val="27"/>
        </w:numPr>
        <w:rPr>
          <w:rFonts w:ascii="Arial" w:cs="Arial" w:eastAsia="Arial" w:hAnsi="Arial"/>
          <w:sz w:val="16"/>
          <w:szCs w:val="16"/>
          <w:color w:val="auto"/>
        </w:rPr>
      </w:pPr>
      <w:r>
        <w:rPr>
          <w:rFonts w:ascii="Arial" w:cs="Arial" w:eastAsia="Arial" w:hAnsi="Arial"/>
          <w:sz w:val="16"/>
          <w:szCs w:val="16"/>
          <w:color w:val="auto"/>
        </w:rPr>
        <w:t>Includes a $238.2 million investment classified as an equity security for U.S. GAAP. The investment issuer engages in managing investment grade third party bond investments and HSBC paper. All non-HSBC paper has the ultimate benefit of price support protection provided by HSBC Bank, PLC. Since Principal Life Insurance Company has senior priority in the issuer, we believe many third party bonds could be liquidated to satisfy our claim. While we calculate our exposure on a gross basis, the value we attribute to the underlying collateral is $125.0 million.</w:t>
      </w:r>
    </w:p>
    <w:p>
      <w:pPr>
        <w:spacing w:after="0" w:line="154" w:lineRule="exact"/>
        <w:rPr>
          <w:rFonts w:ascii="Arial" w:cs="Arial" w:eastAsia="Arial" w:hAnsi="Arial"/>
          <w:sz w:val="16"/>
          <w:szCs w:val="16"/>
          <w:color w:val="auto"/>
        </w:rPr>
      </w:pPr>
    </w:p>
    <w:p>
      <w:pPr>
        <w:ind w:left="640" w:right="20" w:hanging="632"/>
        <w:spacing w:after="0" w:line="264" w:lineRule="auto"/>
        <w:tabs>
          <w:tab w:leader="none" w:pos="6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MBIA Inc. exposure is predominately comprised of the guarantee of underlying securities which are rated “A-” equivalent or better by the rating agencies on a stand alone basis. The MBIA wrap guarantees performance in the event of a default of the underlying securities bringing the combined rating to AAA.</w:t>
      </w:r>
    </w:p>
    <w:p>
      <w:pPr>
        <w:spacing w:after="0" w:line="181" w:lineRule="exact"/>
        <w:rPr>
          <w:rFonts w:ascii="Arial" w:cs="Arial" w:eastAsia="Arial" w:hAnsi="Arial"/>
          <w:sz w:val="18"/>
          <w:szCs w:val="18"/>
          <w:color w:val="auto"/>
        </w:rPr>
      </w:pPr>
    </w:p>
    <w:p>
      <w:pPr>
        <w:ind w:left="600" w:hanging="592"/>
        <w:spacing w:after="0"/>
        <w:tabs>
          <w:tab w:leader="none" w:pos="6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Includes approved counterparty limit. The actual and the stressed potential exposures are less than the approved limit.</w:t>
      </w:r>
    </w:p>
    <w:p>
      <w:pPr>
        <w:spacing w:after="0" w:line="225" w:lineRule="exact"/>
        <w:rPr>
          <w:sz w:val="20"/>
          <w:szCs w:val="20"/>
          <w:color w:val="auto"/>
        </w:rPr>
      </w:pPr>
    </w:p>
    <w:p>
      <w:pPr>
        <w:ind w:right="280" w:firstLine="648"/>
        <w:spacing w:after="0" w:line="277" w:lineRule="auto"/>
        <w:rPr>
          <w:sz w:val="20"/>
          <w:szCs w:val="20"/>
          <w:color w:val="auto"/>
        </w:rPr>
      </w:pPr>
      <w:r>
        <w:rPr>
          <w:rFonts w:ascii="Arial" w:cs="Arial" w:eastAsia="Arial" w:hAnsi="Arial"/>
          <w:sz w:val="18"/>
          <w:szCs w:val="18"/>
          <w:color w:val="auto"/>
        </w:rPr>
        <w:t>Our top ten exposures were rated an “A” equivalent or better by the rating agencies as of June 30, 2006 and December 31, 2005. As of June 30, 2006 and December 31, 2005, no individual non-government issuer represented more than 1% of U.S. invested assets.</w:t>
      </w:r>
    </w:p>
    <w:p>
      <w:pPr>
        <w:spacing w:after="0" w:line="170" w:lineRule="exact"/>
        <w:rPr>
          <w:sz w:val="20"/>
          <w:szCs w:val="20"/>
          <w:color w:val="auto"/>
        </w:rPr>
      </w:pPr>
    </w:p>
    <w:p>
      <w:pPr>
        <w:ind w:right="300" w:firstLine="648"/>
        <w:spacing w:after="0" w:line="381" w:lineRule="auto"/>
        <w:rPr>
          <w:sz w:val="20"/>
          <w:szCs w:val="20"/>
          <w:color w:val="auto"/>
        </w:rPr>
      </w:pPr>
      <w:r>
        <w:rPr>
          <w:rFonts w:ascii="Arial" w:cs="Arial" w:eastAsia="Arial" w:hAnsi="Arial"/>
          <w:sz w:val="15"/>
          <w:szCs w:val="15"/>
          <w:color w:val="auto"/>
        </w:rPr>
        <w:t>Valuation techniques for the fixed maturity securities portfolio vary by security type and the availability of market data. Pricing models and their underlying assumptions impact the amount and timing of unrealized gains and losses recognized, and the use of different pricing models or assumptions could</w:t>
      </w:r>
    </w:p>
    <w:p>
      <w:pPr>
        <w:sectPr>
          <w:pgSz w:w="11900" w:h="16850" w:orient="portrait"/>
          <w:cols w:equalWidth="0" w:num="1">
            <w:col w:w="11420"/>
          </w:cols>
          <w:pgMar w:left="240" w:top="125" w:right="239" w:bottom="0" w:gutter="0" w:footer="0" w:header="0"/>
        </w:sectPr>
      </w:pPr>
    </w:p>
    <w:bookmarkStart w:id="49" w:name="page50"/>
    <w:bookmarkEnd w:id="49"/>
    <w:p>
      <w:pPr>
        <w:spacing w:after="0" w:line="285" w:lineRule="auto"/>
        <w:rPr>
          <w:sz w:val="20"/>
          <w:szCs w:val="20"/>
          <w:color w:val="auto"/>
        </w:rPr>
      </w:pPr>
      <w:r>
        <w:rPr>
          <w:rFonts w:ascii="Arial" w:cs="Arial" w:eastAsia="Arial" w:hAnsi="Arial"/>
          <w:sz w:val="16"/>
          <w:szCs w:val="16"/>
          <w:color w:val="auto"/>
        </w:rPr>
        <w:t>produce different financial results. Interactive Data Corporation (“IDC”) or direct broker quotes are our sources for external prices for our public bonds and those private placement securities that are actively traded in the secondary market. In cases where quoted market prices are not available, a matrix pricing valuation approach is used. Securities are grouped into pricing categories that vary by asset class, sector, rating, and average life. Each pricing category is assigned a risk spread based on studies of observable public market data or market clearing data from the investment professionals assigned to specific security classes. The expected cash flows of the security are then discounted back at the current Treasury curve plus the appropriate risk spread. Although the matrix valuation approach provides a fair valuation of each pricing category, the valuation of an individual security within each pricing category may actually be impacted by company specific factors. Certain market events that could impact the valuation of securities include issuer credit ratings, business climate, management changes, litigation, and government actions among others. The resulting prices are then reviewed by pricing analysts. All loans placed on the “watch list” are valued individually by the investment analysts or the analysts that focus on troubled securities (“Workout Group”). Although we believe our estimates reasonably reflect the fair value of those securities, the key assumptions about risk premiums, performance of underlying collateral (if any) and other factors involve significant assumptions and may not reflect those of an active market. To the extent that bonds have longer maturity dates, management’s estimate of fair value may involve greater subjectivity since they involve judgment about events well into the future. Every month, there is a comprehensive review of all impaired securities and problem loans by a group consisting of the Chief Investment Officer, the Portfolio Managers, and the Workout Group. The valuation of impaired bonds for which there is no quoted price is typically based on the present value of the future cash flows expected to be received. If the company is likely to continue operations, the estimate of future cash flows is typically based on the expected operating cash flows of the company that are available to make payments of the bonds. If the company is likely to liquidate, the estimate of future cash flows is based on an estimate of the liquidation value of its net assets.</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120" w:firstLine="648"/>
        <w:spacing w:after="0" w:line="254" w:lineRule="auto"/>
        <w:rPr>
          <w:sz w:val="20"/>
          <w:szCs w:val="20"/>
          <w:color w:val="auto"/>
        </w:rPr>
      </w:pPr>
      <w:r>
        <w:rPr>
          <w:rFonts w:ascii="Arial" w:cs="Arial" w:eastAsia="Arial" w:hAnsi="Arial"/>
          <w:sz w:val="18"/>
          <w:szCs w:val="18"/>
          <w:color w:val="auto"/>
        </w:rPr>
        <w:t>The Securities Valuation Office (“SVO”) of the National Association of Insurance Commissioners (“NAIC”) evaluates most of the fixed maturity securities that we and other U.S. insurance companies hold. The SVO evaluates the bond investments of insurers for regulatory reporting purposes and assigns securities to one of six investment categories. The NAIC designations closely mirror the nationally recognized securities rating organizations’ credit ratings for marketable bonds. NAIC designations 1 and 2 include bonds considered investment grade by such rating organizations. Bonds are considered investment grade when rated “Baa3” or higher by Moody’s, or “BBB-” or higher by Standard &amp; Poor’s. NAIC designations 3 through 6 are referred to as below investment grade. Bonds are considered below investment grade when rated “Ba1” or lower by Moody’s, or “BB+” or lower by Standard &amp; Poor’s. As of June 30, 2006, the percentage, based on estimated fair value, of total publicly traded and privately placed fixed maturity securities that were investment grade with an NAIC designation 1 or 2 was 95%.</w:t>
      </w:r>
    </w:p>
    <w:p>
      <w:pPr>
        <w:spacing w:after="0" w:line="192" w:lineRule="exact"/>
        <w:rPr>
          <w:sz w:val="20"/>
          <w:szCs w:val="20"/>
          <w:color w:val="auto"/>
        </w:rPr>
      </w:pPr>
    </w:p>
    <w:p>
      <w:pPr>
        <w:ind w:right="60" w:firstLine="648"/>
        <w:spacing w:after="0" w:line="320" w:lineRule="auto"/>
        <w:rPr>
          <w:sz w:val="20"/>
          <w:szCs w:val="20"/>
          <w:color w:val="auto"/>
        </w:rPr>
      </w:pPr>
      <w:r>
        <w:rPr>
          <w:rFonts w:ascii="Arial" w:cs="Arial" w:eastAsia="Arial" w:hAnsi="Arial"/>
          <w:sz w:val="15"/>
          <w:szCs w:val="15"/>
          <w:color w:val="auto"/>
        </w:rPr>
        <w:t>We also monitor the credit drift of our corporate fixed maturity securities portfolio. Credit drift is defined as the ratio of the percentage of rating downgrades, including defaults, divided by the percentage of rating upgrades. We measure credit drift once each fiscal year, assessing the changes in our internally developed credit ratings that have occurred during the year. Standard &amp; Poor’s annual credit ratings drift ratio measures the credit rating change, within a specific year, of companies that have been assigned ratings by Standard &amp; Poor’s. The annual internal credit drift ratio on corporate fixed maturity securities we held in our general account was a more favorable ratio at 0.56 times compared to the Standard &amp; Poor’s drift ratio of 0.78 times, as of December 31, 2005.</w:t>
      </w:r>
    </w:p>
    <w:p>
      <w:pPr>
        <w:spacing w:after="0" w:line="147" w:lineRule="exact"/>
        <w:rPr>
          <w:sz w:val="20"/>
          <w:szCs w:val="20"/>
          <w:color w:val="auto"/>
        </w:rPr>
      </w:pPr>
    </w:p>
    <w:p>
      <w:pPr>
        <w:ind w:right="260" w:firstLine="648"/>
        <w:spacing w:after="0" w:line="381" w:lineRule="auto"/>
        <w:rPr>
          <w:sz w:val="20"/>
          <w:szCs w:val="20"/>
          <w:color w:val="auto"/>
        </w:rPr>
      </w:pPr>
      <w:r>
        <w:rPr>
          <w:rFonts w:ascii="Arial" w:cs="Arial" w:eastAsia="Arial" w:hAnsi="Arial"/>
          <w:sz w:val="15"/>
          <w:szCs w:val="15"/>
          <w:color w:val="auto"/>
        </w:rPr>
        <w:t>The following table presents our total fixed maturity securities by NAIC designation and the equivalent ratings of the nationally recognized securities rating organizations as of June 30, 2006, and December 31, 2005, as well as the percentage, based on estimated fair value, that each designation comprises:</w:t>
      </w:r>
    </w:p>
    <w:p>
      <w:pPr>
        <w:spacing w:after="0" w:line="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U.S. Invested Assets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Fixed Maturity Securities by Credit Quality(1)</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0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1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Rating</w:t>
            </w:r>
          </w:p>
        </w:tc>
        <w:tc>
          <w:tcPr>
            <w:tcW w:w="2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3"/>
          </w:tcPr>
          <w:p>
            <w:pPr>
              <w:spacing w:after="0"/>
              <w:rPr>
                <w:sz w:val="20"/>
                <w:szCs w:val="20"/>
                <w:color w:val="auto"/>
              </w:rPr>
            </w:pPr>
            <w:r>
              <w:rPr>
                <w:rFonts w:ascii="Arial" w:cs="Arial" w:eastAsia="Arial" w:hAnsi="Arial"/>
                <w:sz w:val="14"/>
                <w:szCs w:val="14"/>
                <w:b w:val="1"/>
                <w:bCs w:val="1"/>
                <w:color w:val="auto"/>
              </w:rPr>
              <w:t>June 30, 2006</w:t>
            </w:r>
          </w:p>
        </w:tc>
        <w:tc>
          <w:tcPr>
            <w:tcW w:w="860" w:type="dxa"/>
            <w:vAlign w:val="bottom"/>
            <w:tcBorders>
              <w:bottom w:val="single" w:sz="8" w:color="auto"/>
            </w:tcBorders>
          </w:tcPr>
          <w:p>
            <w:pPr>
              <w:spacing w:after="0"/>
              <w:rPr>
                <w:sz w:val="14"/>
                <w:szCs w:val="14"/>
                <w:color w:val="auto"/>
              </w:rPr>
            </w:pPr>
          </w:p>
        </w:tc>
        <w:tc>
          <w:tcPr>
            <w:tcW w:w="4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December 31, 2005</w:t>
            </w:r>
          </w:p>
        </w:tc>
        <w:tc>
          <w:tcPr>
            <w:tcW w:w="10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1060" w:type="dxa"/>
            <w:vAlign w:val="bottom"/>
          </w:tcPr>
          <w:p>
            <w:pPr>
              <w:spacing w:after="0"/>
              <w:rPr>
                <w:sz w:val="8"/>
                <w:szCs w:val="8"/>
                <w:color w:val="auto"/>
              </w:rPr>
            </w:pPr>
          </w:p>
        </w:tc>
        <w:tc>
          <w:tcPr>
            <w:tcW w:w="280" w:type="dxa"/>
            <w:vAlign w:val="bottom"/>
          </w:tcPr>
          <w:p>
            <w:pPr>
              <w:spacing w:after="0"/>
              <w:rPr>
                <w:sz w:val="8"/>
                <w:szCs w:val="8"/>
                <w:color w:val="auto"/>
              </w:rPr>
            </w:pPr>
          </w:p>
        </w:tc>
        <w:tc>
          <w:tcPr>
            <w:tcW w:w="2160" w:type="dxa"/>
            <w:vAlign w:val="bottom"/>
            <w:vMerge w:val="continue"/>
          </w:tcPr>
          <w:p>
            <w:pPr>
              <w:spacing w:after="0"/>
              <w:rPr>
                <w:sz w:val="8"/>
                <w:szCs w:val="8"/>
                <w:color w:val="auto"/>
              </w:rPr>
            </w:pPr>
          </w:p>
        </w:tc>
        <w:tc>
          <w:tcPr>
            <w:tcW w:w="2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18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96"/>
              </w:rPr>
              <w:t>Amortized</w:t>
            </w:r>
          </w:p>
        </w:tc>
        <w:tc>
          <w:tcPr>
            <w:tcW w:w="160" w:type="dxa"/>
            <w:vAlign w:val="bottom"/>
          </w:tcPr>
          <w:p>
            <w:pPr>
              <w:spacing w:after="0"/>
              <w:rPr>
                <w:sz w:val="8"/>
                <w:szCs w:val="8"/>
                <w:color w:val="auto"/>
              </w:rPr>
            </w:pPr>
          </w:p>
        </w:tc>
        <w:tc>
          <w:tcPr>
            <w:tcW w:w="1140" w:type="dxa"/>
            <w:vAlign w:val="bottom"/>
            <w:gridSpan w:val="2"/>
            <w:vMerge w:val="restart"/>
          </w:tcPr>
          <w:p>
            <w:pPr>
              <w:jc w:val="center"/>
              <w:ind w:right="440"/>
              <w:spacing w:after="0"/>
              <w:rPr>
                <w:sz w:val="20"/>
                <w:szCs w:val="20"/>
                <w:color w:val="auto"/>
              </w:rPr>
            </w:pPr>
            <w:r>
              <w:rPr>
                <w:rFonts w:ascii="Arial" w:cs="Arial" w:eastAsia="Arial" w:hAnsi="Arial"/>
                <w:sz w:val="14"/>
                <w:szCs w:val="14"/>
                <w:b w:val="1"/>
                <w:bCs w:val="1"/>
                <w:color w:val="auto"/>
              </w:rPr>
              <w:t>Carrying</w:t>
            </w:r>
          </w:p>
        </w:tc>
        <w:tc>
          <w:tcPr>
            <w:tcW w:w="860" w:type="dxa"/>
            <w:vAlign w:val="bottom"/>
          </w:tcPr>
          <w:p>
            <w:pPr>
              <w:jc w:val="center"/>
              <w:spacing w:after="0" w:line="102" w:lineRule="exact"/>
              <w:rPr>
                <w:sz w:val="20"/>
                <w:szCs w:val="20"/>
                <w:color w:val="auto"/>
              </w:rPr>
            </w:pPr>
            <w:r>
              <w:rPr>
                <w:rFonts w:ascii="Arial" w:cs="Arial" w:eastAsia="Arial" w:hAnsi="Arial"/>
                <w:sz w:val="11"/>
                <w:szCs w:val="11"/>
                <w:b w:val="1"/>
                <w:bCs w:val="1"/>
                <w:color w:val="auto"/>
              </w:rPr>
              <w:t>% of Total</w:t>
            </w:r>
          </w:p>
        </w:tc>
        <w:tc>
          <w:tcPr>
            <w:tcW w:w="420" w:type="dxa"/>
            <w:vAlign w:val="bottom"/>
          </w:tcPr>
          <w:p>
            <w:pPr>
              <w:spacing w:after="0"/>
              <w:rPr>
                <w:sz w:val="8"/>
                <w:szCs w:val="8"/>
                <w:color w:val="auto"/>
              </w:rPr>
            </w:pPr>
          </w:p>
        </w:tc>
        <w:tc>
          <w:tcPr>
            <w:tcW w:w="120" w:type="dxa"/>
            <w:vAlign w:val="bottom"/>
          </w:tcPr>
          <w:p>
            <w:pPr>
              <w:spacing w:after="0"/>
              <w:rPr>
                <w:sz w:val="8"/>
                <w:szCs w:val="8"/>
                <w:color w:val="auto"/>
              </w:rPr>
            </w:pPr>
          </w:p>
        </w:tc>
        <w:tc>
          <w:tcPr>
            <w:tcW w:w="900" w:type="dxa"/>
            <w:vAlign w:val="bottom"/>
            <w:vMerge w:val="restart"/>
          </w:tcPr>
          <w:p>
            <w:pPr>
              <w:jc w:val="right"/>
              <w:ind w:right="114"/>
              <w:spacing w:after="0"/>
              <w:rPr>
                <w:sz w:val="20"/>
                <w:szCs w:val="20"/>
                <w:color w:val="auto"/>
              </w:rPr>
            </w:pPr>
            <w:r>
              <w:rPr>
                <w:rFonts w:ascii="Arial" w:cs="Arial" w:eastAsia="Arial" w:hAnsi="Arial"/>
                <w:sz w:val="14"/>
                <w:szCs w:val="14"/>
                <w:b w:val="1"/>
                <w:bCs w:val="1"/>
                <w:color w:val="auto"/>
                <w:w w:val="99"/>
              </w:rPr>
              <w:t>Amortized</w:t>
            </w: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120" w:type="dxa"/>
            <w:vAlign w:val="bottom"/>
            <w:gridSpan w:val="2"/>
            <w:vMerge w:val="restart"/>
          </w:tcPr>
          <w:p>
            <w:pPr>
              <w:jc w:val="center"/>
              <w:ind w:right="420"/>
              <w:spacing w:after="0"/>
              <w:rPr>
                <w:sz w:val="20"/>
                <w:szCs w:val="20"/>
                <w:color w:val="auto"/>
              </w:rPr>
            </w:pPr>
            <w:r>
              <w:rPr>
                <w:rFonts w:ascii="Arial" w:cs="Arial" w:eastAsia="Arial" w:hAnsi="Arial"/>
                <w:sz w:val="14"/>
                <w:szCs w:val="14"/>
                <w:b w:val="1"/>
                <w:bCs w:val="1"/>
                <w:color w:val="auto"/>
              </w:rPr>
              <w:t>Carrying</w:t>
            </w:r>
          </w:p>
        </w:tc>
        <w:tc>
          <w:tcPr>
            <w:tcW w:w="1040" w:type="dxa"/>
            <w:vAlign w:val="bottom"/>
          </w:tcPr>
          <w:p>
            <w:pPr>
              <w:jc w:val="center"/>
              <w:spacing w:after="0" w:line="102" w:lineRule="exact"/>
              <w:rPr>
                <w:sz w:val="20"/>
                <w:szCs w:val="20"/>
                <w:color w:val="auto"/>
              </w:rPr>
            </w:pPr>
            <w:r>
              <w:rPr>
                <w:rFonts w:ascii="Arial" w:cs="Arial" w:eastAsia="Arial" w:hAnsi="Arial"/>
                <w:sz w:val="11"/>
                <w:szCs w:val="11"/>
                <w:b w:val="1"/>
                <w:bCs w:val="1"/>
                <w:color w:val="auto"/>
              </w:rPr>
              <w:t>% of Total</w:t>
            </w:r>
          </w:p>
        </w:tc>
        <w:tc>
          <w:tcPr>
            <w:tcW w:w="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1060" w:type="dxa"/>
            <w:vAlign w:val="bottom"/>
            <w:vMerge w:val="restart"/>
          </w:tcPr>
          <w:p>
            <w:pPr>
              <w:spacing w:after="0"/>
              <w:rPr>
                <w:sz w:val="20"/>
                <w:szCs w:val="20"/>
                <w:color w:val="auto"/>
              </w:rPr>
            </w:pPr>
            <w:r>
              <w:rPr>
                <w:rFonts w:ascii="Arial" w:cs="Arial" w:eastAsia="Arial" w:hAnsi="Arial"/>
                <w:sz w:val="14"/>
                <w:szCs w:val="14"/>
                <w:b w:val="1"/>
                <w:bCs w:val="1"/>
                <w:color w:val="auto"/>
              </w:rPr>
              <w:t>NAIC Rating</w:t>
            </w:r>
          </w:p>
        </w:tc>
        <w:tc>
          <w:tcPr>
            <w:tcW w:w="280" w:type="dxa"/>
            <w:vAlign w:val="bottom"/>
          </w:tcPr>
          <w:p>
            <w:pPr>
              <w:spacing w:after="0"/>
              <w:rPr>
                <w:sz w:val="11"/>
                <w:szCs w:val="11"/>
                <w:color w:val="auto"/>
              </w:rPr>
            </w:pPr>
          </w:p>
        </w:tc>
        <w:tc>
          <w:tcPr>
            <w:tcW w:w="216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6"/>
              </w:rPr>
              <w:t>Agency</w:t>
            </w:r>
          </w:p>
        </w:tc>
        <w:tc>
          <w:tcPr>
            <w:tcW w:w="2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8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1280" w:type="dxa"/>
            <w:vAlign w:val="bottom"/>
            <w:gridSpan w:val="2"/>
          </w:tcPr>
          <w:p>
            <w:pPr>
              <w:jc w:val="center"/>
              <w:ind w:right="330"/>
              <w:spacing w:after="0" w:line="135" w:lineRule="exact"/>
              <w:rPr>
                <w:sz w:val="20"/>
                <w:szCs w:val="20"/>
                <w:color w:val="auto"/>
              </w:rPr>
            </w:pPr>
            <w:r>
              <w:rPr>
                <w:rFonts w:ascii="Arial" w:cs="Arial" w:eastAsia="Arial" w:hAnsi="Arial"/>
                <w:sz w:val="14"/>
                <w:szCs w:val="14"/>
                <w:b w:val="1"/>
                <w:bCs w:val="1"/>
                <w:color w:val="auto"/>
              </w:rPr>
              <w:t>Carrying</w:t>
            </w:r>
          </w:p>
        </w:tc>
        <w:tc>
          <w:tcPr>
            <w:tcW w:w="120" w:type="dxa"/>
            <w:vAlign w:val="bottom"/>
          </w:tcPr>
          <w:p>
            <w:pPr>
              <w:spacing w:after="0"/>
              <w:rPr>
                <w:sz w:val="11"/>
                <w:szCs w:val="11"/>
                <w:color w:val="auto"/>
              </w:rPr>
            </w:pPr>
          </w:p>
        </w:tc>
        <w:tc>
          <w:tcPr>
            <w:tcW w:w="900" w:type="dxa"/>
            <w:vAlign w:val="bottom"/>
            <w:vMerge w:val="continue"/>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20" w:type="dxa"/>
            <w:vAlign w:val="bottom"/>
            <w:gridSpan w:val="2"/>
            <w:vMerge w:val="continue"/>
          </w:tcPr>
          <w:p>
            <w:pPr>
              <w:spacing w:after="0"/>
              <w:rPr>
                <w:sz w:val="11"/>
                <w:szCs w:val="11"/>
                <w:color w:val="auto"/>
              </w:rPr>
            </w:pPr>
          </w:p>
        </w:tc>
        <w:tc>
          <w:tcPr>
            <w:tcW w:w="1220" w:type="dxa"/>
            <w:vAlign w:val="bottom"/>
            <w:gridSpan w:val="2"/>
          </w:tcPr>
          <w:p>
            <w:pPr>
              <w:jc w:val="center"/>
              <w:ind w:right="130"/>
              <w:spacing w:after="0" w:line="135" w:lineRule="exact"/>
              <w:rPr>
                <w:sz w:val="20"/>
                <w:szCs w:val="20"/>
                <w:color w:val="auto"/>
              </w:rPr>
            </w:pPr>
            <w:r>
              <w:rPr>
                <w:rFonts w:ascii="Arial" w:cs="Arial" w:eastAsia="Arial" w:hAnsi="Arial"/>
                <w:sz w:val="14"/>
                <w:szCs w:val="14"/>
                <w:b w:val="1"/>
                <w:bCs w:val="1"/>
                <w:color w:val="auto"/>
                <w:w w:val="97"/>
              </w:rPr>
              <w:t>Carrying</w:t>
            </w:r>
          </w:p>
        </w:tc>
        <w:tc>
          <w:tcPr>
            <w:tcW w:w="0" w:type="dxa"/>
            <w:vAlign w:val="bottom"/>
          </w:tcPr>
          <w:p>
            <w:pPr>
              <w:spacing w:after="0"/>
              <w:rPr>
                <w:sz w:val="1"/>
                <w:szCs w:val="1"/>
                <w:color w:val="auto"/>
              </w:rPr>
            </w:pPr>
          </w:p>
        </w:tc>
      </w:tr>
      <w:tr>
        <w:trPr>
          <w:trHeight w:val="162"/>
        </w:trPr>
        <w:tc>
          <w:tcPr>
            <w:tcW w:w="1060" w:type="dxa"/>
            <w:vAlign w:val="bottom"/>
            <w:vMerge w:val="continue"/>
          </w:tcPr>
          <w:p>
            <w:pPr>
              <w:spacing w:after="0"/>
              <w:rPr>
                <w:sz w:val="14"/>
                <w:szCs w:val="14"/>
                <w:color w:val="auto"/>
              </w:rPr>
            </w:pPr>
          </w:p>
        </w:tc>
        <w:tc>
          <w:tcPr>
            <w:tcW w:w="280" w:type="dxa"/>
            <w:vAlign w:val="bottom"/>
          </w:tcPr>
          <w:p>
            <w:pPr>
              <w:spacing w:after="0"/>
              <w:rPr>
                <w:sz w:val="14"/>
                <w:szCs w:val="14"/>
                <w:color w:val="auto"/>
              </w:rPr>
            </w:pPr>
          </w:p>
        </w:tc>
        <w:tc>
          <w:tcPr>
            <w:tcW w:w="2160" w:type="dxa"/>
            <w:vAlign w:val="bottom"/>
          </w:tcPr>
          <w:p>
            <w:pPr>
              <w:jc w:val="center"/>
              <w:spacing w:after="0"/>
              <w:rPr>
                <w:sz w:val="20"/>
                <w:szCs w:val="20"/>
                <w:color w:val="auto"/>
              </w:rPr>
            </w:pPr>
            <w:r>
              <w:rPr>
                <w:rFonts w:ascii="Arial" w:cs="Arial" w:eastAsia="Arial" w:hAnsi="Arial"/>
                <w:sz w:val="14"/>
                <w:szCs w:val="14"/>
                <w:b w:val="1"/>
                <w:bCs w:val="1"/>
                <w:color w:val="auto"/>
                <w:w w:val="95"/>
              </w:rPr>
              <w:t>Equivalent</w:t>
            </w: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89"/>
              </w:rPr>
              <w:t>Cost</w:t>
            </w:r>
          </w:p>
        </w:tc>
        <w:tc>
          <w:tcPr>
            <w:tcW w:w="160" w:type="dxa"/>
            <w:vAlign w:val="bottom"/>
          </w:tcPr>
          <w:p>
            <w:pPr>
              <w:spacing w:after="0"/>
              <w:rPr>
                <w:sz w:val="14"/>
                <w:szCs w:val="14"/>
                <w:color w:val="auto"/>
              </w:rPr>
            </w:pPr>
          </w:p>
        </w:tc>
        <w:tc>
          <w:tcPr>
            <w:tcW w:w="114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4"/>
              </w:rPr>
              <w:t>Amount</w:t>
            </w:r>
          </w:p>
        </w:tc>
        <w:tc>
          <w:tcPr>
            <w:tcW w:w="1280" w:type="dxa"/>
            <w:vAlign w:val="bottom"/>
            <w:gridSpan w:val="2"/>
          </w:tcPr>
          <w:p>
            <w:pPr>
              <w:jc w:val="center"/>
              <w:ind w:right="330"/>
              <w:spacing w:after="0"/>
              <w:rPr>
                <w:sz w:val="20"/>
                <w:szCs w:val="20"/>
                <w:color w:val="auto"/>
              </w:rPr>
            </w:pPr>
            <w:r>
              <w:rPr>
                <w:rFonts w:ascii="Arial" w:cs="Arial" w:eastAsia="Arial" w:hAnsi="Arial"/>
                <w:sz w:val="14"/>
                <w:szCs w:val="14"/>
                <w:b w:val="1"/>
                <w:bCs w:val="1"/>
                <w:color w:val="auto"/>
                <w:w w:val="94"/>
              </w:rPr>
              <w:t>Amount</w:t>
            </w:r>
          </w:p>
        </w:tc>
        <w:tc>
          <w:tcPr>
            <w:tcW w:w="120" w:type="dxa"/>
            <w:vAlign w:val="bottom"/>
          </w:tcPr>
          <w:p>
            <w:pPr>
              <w:spacing w:after="0"/>
              <w:rPr>
                <w:sz w:val="14"/>
                <w:szCs w:val="14"/>
                <w:color w:val="auto"/>
              </w:rPr>
            </w:pPr>
          </w:p>
        </w:tc>
        <w:tc>
          <w:tcPr>
            <w:tcW w:w="900" w:type="dxa"/>
            <w:vAlign w:val="bottom"/>
          </w:tcPr>
          <w:p>
            <w:pPr>
              <w:jc w:val="right"/>
              <w:ind w:right="294"/>
              <w:spacing w:after="0"/>
              <w:rPr>
                <w:sz w:val="20"/>
                <w:szCs w:val="20"/>
                <w:color w:val="auto"/>
              </w:rPr>
            </w:pPr>
            <w:r>
              <w:rPr>
                <w:rFonts w:ascii="Arial" w:cs="Arial" w:eastAsia="Arial" w:hAnsi="Arial"/>
                <w:sz w:val="14"/>
                <w:szCs w:val="14"/>
                <w:b w:val="1"/>
                <w:bCs w:val="1"/>
                <w:color w:val="auto"/>
              </w:rPr>
              <w:t>Cost</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2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4"/>
              </w:rPr>
              <w:t>Amount</w:t>
            </w:r>
          </w:p>
        </w:tc>
        <w:tc>
          <w:tcPr>
            <w:tcW w:w="1220" w:type="dxa"/>
            <w:vAlign w:val="bottom"/>
            <w:gridSpan w:val="2"/>
          </w:tcPr>
          <w:p>
            <w:pPr>
              <w:jc w:val="center"/>
              <w:ind w:right="110"/>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129"/>
        </w:trPr>
        <w:tc>
          <w:tcPr>
            <w:tcW w:w="1060" w:type="dxa"/>
            <w:vAlign w:val="bottom"/>
            <w:tcBorders>
              <w:top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2160" w:type="dxa"/>
            <w:vAlign w:val="bottom"/>
            <w:tcBorders>
              <w:top w:val="single" w:sz="8" w:color="auto"/>
            </w:tcBorders>
          </w:tcPr>
          <w:p>
            <w:pPr>
              <w:spacing w:after="0"/>
              <w:rPr>
                <w:sz w:val="11"/>
                <w:szCs w:val="11"/>
                <w:color w:val="auto"/>
              </w:rPr>
            </w:pPr>
          </w:p>
        </w:tc>
        <w:tc>
          <w:tcPr>
            <w:tcW w:w="2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2300" w:type="dxa"/>
            <w:vAlign w:val="bottom"/>
            <w:tcBorders>
              <w:top w:val="single" w:sz="8" w:color="auto"/>
            </w:tcBorders>
            <w:gridSpan w:val="4"/>
          </w:tcPr>
          <w:p>
            <w:pPr>
              <w:jc w:val="right"/>
              <w:ind w:right="674"/>
              <w:spacing w:after="0" w:line="129" w:lineRule="exact"/>
              <w:rPr>
                <w:sz w:val="20"/>
                <w:szCs w:val="20"/>
                <w:color w:val="auto"/>
              </w:rPr>
            </w:pPr>
            <w:r>
              <w:rPr>
                <w:rFonts w:ascii="Arial" w:cs="Arial" w:eastAsia="Arial" w:hAnsi="Arial"/>
                <w:sz w:val="14"/>
                <w:szCs w:val="14"/>
                <w:b w:val="1"/>
                <w:bCs w:val="1"/>
                <w:color w:val="auto"/>
              </w:rPr>
              <w:t>($ in millions)</w:t>
            </w:r>
          </w:p>
        </w:tc>
        <w:tc>
          <w:tcPr>
            <w:tcW w:w="2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04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1060" w:type="dxa"/>
            <w:vAlign w:val="bottom"/>
            <w:shd w:val="clear" w:color="auto" w:fill="CCEEFF"/>
          </w:tcPr>
          <w:p>
            <w:pPr>
              <w:spacing w:after="0"/>
              <w:rPr>
                <w:sz w:val="20"/>
                <w:szCs w:val="20"/>
                <w:color w:val="auto"/>
              </w:rPr>
            </w:pPr>
            <w:r>
              <w:rPr>
                <w:rFonts w:ascii="Arial" w:cs="Arial" w:eastAsia="Arial" w:hAnsi="Arial"/>
                <w:sz w:val="18"/>
                <w:szCs w:val="18"/>
                <w:color w:val="auto"/>
              </w:rPr>
              <w:t>1</w:t>
            </w:r>
          </w:p>
        </w:tc>
        <w:tc>
          <w:tcPr>
            <w:tcW w:w="244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Aaa/Aa/A</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23,021.7</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23,059.2</w:t>
            </w:r>
          </w:p>
        </w:tc>
        <w:tc>
          <w:tcPr>
            <w:tcW w:w="26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b w:val="1"/>
                <w:bCs w:val="1"/>
                <w:color w:val="auto"/>
              </w:rPr>
              <w:t>57%</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21,593.3</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22,361.9</w:t>
            </w:r>
          </w:p>
        </w:tc>
        <w:tc>
          <w:tcPr>
            <w:tcW w:w="2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2</w:t>
            </w:r>
          </w:p>
        </w:tc>
        <w:tc>
          <w:tcPr>
            <w:tcW w:w="2440" w:type="dxa"/>
            <w:vAlign w:val="bottom"/>
            <w:gridSpan w:val="2"/>
          </w:tcPr>
          <w:p>
            <w:pPr>
              <w:ind w:left="280"/>
              <w:spacing w:after="0"/>
              <w:rPr>
                <w:sz w:val="20"/>
                <w:szCs w:val="20"/>
                <w:color w:val="auto"/>
              </w:rPr>
            </w:pPr>
            <w:r>
              <w:rPr>
                <w:rFonts w:ascii="Arial" w:cs="Arial" w:eastAsia="Arial" w:hAnsi="Arial"/>
                <w:sz w:val="18"/>
                <w:szCs w:val="18"/>
                <w:color w:val="auto"/>
              </w:rPr>
              <w:t>Baa</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15,343.1</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15,436.7</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38</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14,978.4</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15,590.7</w:t>
            </w:r>
          </w:p>
        </w:tc>
        <w:tc>
          <w:tcPr>
            <w:tcW w:w="26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39</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60" w:type="dxa"/>
            <w:vAlign w:val="bottom"/>
            <w:shd w:val="clear" w:color="auto" w:fill="CCEEFF"/>
          </w:tcPr>
          <w:p>
            <w:pPr>
              <w:spacing w:after="0"/>
              <w:rPr>
                <w:sz w:val="20"/>
                <w:szCs w:val="20"/>
                <w:color w:val="auto"/>
              </w:rPr>
            </w:pPr>
            <w:r>
              <w:rPr>
                <w:rFonts w:ascii="Arial" w:cs="Arial" w:eastAsia="Arial" w:hAnsi="Arial"/>
                <w:sz w:val="18"/>
                <w:szCs w:val="18"/>
                <w:color w:val="auto"/>
              </w:rPr>
              <w:t>3</w:t>
            </w:r>
          </w:p>
        </w:tc>
        <w:tc>
          <w:tcPr>
            <w:tcW w:w="244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Ba</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1,690.4</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1,732.1</w:t>
            </w: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w:t>
            </w: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1,701.7</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1,801.6</w:t>
            </w:r>
          </w:p>
        </w:tc>
        <w:tc>
          <w:tcPr>
            <w:tcW w:w="2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4</w:t>
            </w:r>
          </w:p>
        </w:tc>
        <w:tc>
          <w:tcPr>
            <w:tcW w:w="2440" w:type="dxa"/>
            <w:vAlign w:val="bottom"/>
            <w:gridSpan w:val="2"/>
          </w:tcPr>
          <w:p>
            <w:pPr>
              <w:ind w:left="280"/>
              <w:spacing w:after="0"/>
              <w:rPr>
                <w:sz w:val="20"/>
                <w:szCs w:val="20"/>
                <w:color w:val="auto"/>
              </w:rPr>
            </w:pPr>
            <w:r>
              <w:rPr>
                <w:rFonts w:ascii="Arial" w:cs="Arial" w:eastAsia="Arial" w:hAnsi="Arial"/>
                <w:sz w:val="18"/>
                <w:szCs w:val="18"/>
                <w:color w:val="auto"/>
              </w:rPr>
              <w:t>B</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224.4</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228.5</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1</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258.5</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271.2</w:t>
            </w:r>
          </w:p>
        </w:tc>
        <w:tc>
          <w:tcPr>
            <w:tcW w:w="26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60" w:type="dxa"/>
            <w:vAlign w:val="bottom"/>
            <w:shd w:val="clear" w:color="auto" w:fill="CCEEFF"/>
          </w:tcPr>
          <w:p>
            <w:pPr>
              <w:spacing w:after="0"/>
              <w:rPr>
                <w:sz w:val="20"/>
                <w:szCs w:val="20"/>
                <w:color w:val="auto"/>
              </w:rPr>
            </w:pPr>
            <w:r>
              <w:rPr>
                <w:rFonts w:ascii="Arial" w:cs="Arial" w:eastAsia="Arial" w:hAnsi="Arial"/>
                <w:sz w:val="18"/>
                <w:szCs w:val="18"/>
                <w:color w:val="auto"/>
              </w:rPr>
              <w:t>5</w:t>
            </w:r>
          </w:p>
        </w:tc>
        <w:tc>
          <w:tcPr>
            <w:tcW w:w="244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Caa and lower</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11.4</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11.2</w:t>
            </w:r>
          </w:p>
        </w:tc>
        <w:tc>
          <w:tcPr>
            <w:tcW w:w="26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w:t>
            </w:r>
          </w:p>
        </w:tc>
        <w:tc>
          <w:tcPr>
            <w:tcW w:w="2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6</w:t>
            </w:r>
          </w:p>
        </w:tc>
        <w:tc>
          <w:tcPr>
            <w:tcW w:w="2440" w:type="dxa"/>
            <w:vAlign w:val="bottom"/>
            <w:gridSpan w:val="2"/>
          </w:tcPr>
          <w:p>
            <w:pPr>
              <w:ind w:left="280"/>
              <w:spacing w:after="0"/>
              <w:rPr>
                <w:sz w:val="20"/>
                <w:szCs w:val="20"/>
                <w:color w:val="auto"/>
              </w:rPr>
            </w:pPr>
            <w:r>
              <w:rPr>
                <w:rFonts w:ascii="Arial" w:cs="Arial" w:eastAsia="Arial" w:hAnsi="Arial"/>
                <w:sz w:val="18"/>
                <w:szCs w:val="18"/>
                <w:color w:val="auto"/>
              </w:rPr>
              <w:t>In or near default</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32.9</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32.3</w:t>
            </w:r>
          </w:p>
        </w:tc>
        <w:tc>
          <w:tcPr>
            <w:tcW w:w="260" w:type="dxa"/>
            <w:vAlign w:val="bottom"/>
          </w:tcPr>
          <w:p>
            <w:pPr>
              <w:spacing w:after="0"/>
              <w:rPr>
                <w:sz w:val="18"/>
                <w:szCs w:val="18"/>
                <w:color w:val="auto"/>
              </w:rPr>
            </w:pPr>
          </w:p>
        </w:tc>
        <w:tc>
          <w:tcPr>
            <w:tcW w:w="1280" w:type="dxa"/>
            <w:vAlign w:val="bottom"/>
            <w:gridSpan w:val="2"/>
          </w:tcPr>
          <w:p>
            <w:pPr>
              <w:jc w:val="right"/>
              <w:ind w:right="33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76.2</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75.9</w:t>
            </w:r>
          </w:p>
        </w:tc>
        <w:tc>
          <w:tcPr>
            <w:tcW w:w="260" w:type="dxa"/>
            <w:vAlign w:val="bottom"/>
          </w:tcPr>
          <w:p>
            <w:pPr>
              <w:spacing w:after="0"/>
              <w:rPr>
                <w:sz w:val="18"/>
                <w:szCs w:val="18"/>
                <w:color w:val="auto"/>
              </w:rPr>
            </w:pPr>
          </w:p>
        </w:tc>
        <w:tc>
          <w:tcPr>
            <w:tcW w:w="122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1060" w:type="dxa"/>
            <w:vAlign w:val="bottom"/>
            <w:tcBorders>
              <w:top w:val="single" w:sz="8" w:color="CCEEFF"/>
              <w:bottom w:val="single" w:sz="8" w:color="CCEEFF"/>
            </w:tcBorders>
            <w:shd w:val="clear" w:color="auto" w:fill="CCEEFF"/>
          </w:tcPr>
          <w:p>
            <w:pPr>
              <w:spacing w:after="0"/>
              <w:rPr>
                <w:sz w:val="19"/>
                <w:szCs w:val="19"/>
                <w:color w:val="auto"/>
              </w:rPr>
            </w:pPr>
          </w:p>
        </w:tc>
        <w:tc>
          <w:tcPr>
            <w:tcW w:w="280" w:type="dxa"/>
            <w:vAlign w:val="bottom"/>
            <w:tcBorders>
              <w:top w:val="single" w:sz="8" w:color="CCEEFF"/>
              <w:bottom w:val="single" w:sz="8" w:color="CCEEFF"/>
            </w:tcBorders>
            <w:shd w:val="clear" w:color="auto" w:fill="CCEEFF"/>
          </w:tcPr>
          <w:p>
            <w:pPr>
              <w:spacing w:after="0"/>
              <w:rPr>
                <w:sz w:val="19"/>
                <w:szCs w:val="19"/>
                <w:color w:val="auto"/>
              </w:rPr>
            </w:pPr>
          </w:p>
        </w:tc>
        <w:tc>
          <w:tcPr>
            <w:tcW w:w="216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fixed maturities</w:t>
            </w:r>
          </w:p>
        </w:tc>
        <w:tc>
          <w:tcPr>
            <w:tcW w:w="26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40,323.9</w:t>
            </w:r>
          </w:p>
        </w:tc>
        <w:tc>
          <w:tcPr>
            <w:tcW w:w="260" w:type="dxa"/>
            <w:vAlign w:val="bottom"/>
            <w:tcBorders>
              <w:top w:val="single" w:sz="8" w:color="CCEEFF"/>
              <w:bottom w:val="single" w:sz="8" w:color="CCEEFF"/>
            </w:tcBorders>
            <w:shd w:val="clear" w:color="auto" w:fill="CCEEFF"/>
          </w:tcPr>
          <w:p>
            <w:pPr>
              <w:spacing w:after="0"/>
              <w:rPr>
                <w:sz w:val="19"/>
                <w:szCs w:val="19"/>
                <w:color w:val="auto"/>
              </w:rPr>
            </w:pPr>
          </w:p>
        </w:tc>
        <w:tc>
          <w:tcPr>
            <w:tcW w:w="1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40,500.0</w:t>
            </w:r>
          </w:p>
        </w:tc>
        <w:tc>
          <w:tcPr>
            <w:tcW w:w="260" w:type="dxa"/>
            <w:vAlign w:val="bottom"/>
            <w:tcBorders>
              <w:top w:val="single" w:sz="8" w:color="CCEEFF"/>
              <w:bottom w:val="single" w:sz="8" w:color="CCEEFF"/>
            </w:tcBorders>
            <w:shd w:val="clear" w:color="auto" w:fill="CCEEFF"/>
          </w:tcPr>
          <w:p>
            <w:pPr>
              <w:spacing w:after="0"/>
              <w:rPr>
                <w:sz w:val="19"/>
                <w:szCs w:val="19"/>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w:t>
            </w:r>
          </w:p>
        </w:tc>
        <w:tc>
          <w:tcPr>
            <w:tcW w:w="420" w:type="dxa"/>
            <w:vAlign w:val="bottom"/>
            <w:tcBorders>
              <w:top w:val="single" w:sz="8" w:color="CCEEFF"/>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38,622.</w:t>
            </w:r>
            <w:r>
              <w:rPr>
                <w:rFonts w:ascii="Arial" w:cs="Arial" w:eastAsia="Arial" w:hAnsi="Arial"/>
                <w:sz w:val="18"/>
                <w:szCs w:val="18"/>
                <w:u w:val="single" w:color="auto"/>
                <w:color w:val="auto"/>
              </w:rPr>
              <w:t>4</w:t>
            </w:r>
          </w:p>
        </w:tc>
        <w:tc>
          <w:tcPr>
            <w:tcW w:w="240" w:type="dxa"/>
            <w:vAlign w:val="bottom"/>
            <w:tcBorders>
              <w:top w:val="single" w:sz="8" w:color="CCEEFF"/>
              <w:bottom w:val="single" w:sz="8" w:color="CCEEFF"/>
            </w:tcBorders>
            <w:shd w:val="clear" w:color="auto" w:fill="CCEEFF"/>
          </w:tcPr>
          <w:p>
            <w:pPr>
              <w:spacing w:after="0"/>
              <w:rPr>
                <w:sz w:val="19"/>
                <w:szCs w:val="19"/>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40,115.</w:t>
            </w:r>
            <w:r>
              <w:rPr>
                <w:rFonts w:ascii="Arial" w:cs="Arial" w:eastAsia="Arial" w:hAnsi="Arial"/>
                <w:sz w:val="18"/>
                <w:szCs w:val="18"/>
                <w:u w:val="single" w:color="auto"/>
                <w:color w:val="auto"/>
              </w:rPr>
              <w:t>7</w:t>
            </w:r>
          </w:p>
        </w:tc>
        <w:tc>
          <w:tcPr>
            <w:tcW w:w="260" w:type="dxa"/>
            <w:vAlign w:val="bottom"/>
            <w:tcBorders>
              <w:top w:val="single" w:sz="8" w:color="CCEEFF"/>
              <w:bottom w:val="single" w:sz="8" w:color="CCEEFF"/>
            </w:tcBorders>
            <w:shd w:val="clear" w:color="auto" w:fill="CCEEFF"/>
          </w:tcPr>
          <w:p>
            <w:pPr>
              <w:spacing w:after="0"/>
              <w:rPr>
                <w:sz w:val="19"/>
                <w:szCs w:val="19"/>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8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0" w:type="dxa"/>
            <w:vAlign w:val="bottom"/>
          </w:tcPr>
          <w:p>
            <w:pPr>
              <w:spacing w:after="0"/>
              <w:rPr>
                <w:sz w:val="1"/>
                <w:szCs w:val="1"/>
                <w:color w:val="auto"/>
              </w:rPr>
            </w:pPr>
          </w:p>
        </w:tc>
      </w:tr>
      <w:tr>
        <w:trPr>
          <w:trHeight w:val="20"/>
        </w:trPr>
        <w:tc>
          <w:tcPr>
            <w:tcW w:w="10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389380"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640" w:right="320" w:hanging="632"/>
        <w:spacing w:after="0" w:line="302" w:lineRule="auto"/>
        <w:tabs>
          <w:tab w:leader="none" w:pos="600" w:val="left"/>
        </w:tabs>
        <w:numPr>
          <w:ilvl w:val="0"/>
          <w:numId w:val="28"/>
        </w:numPr>
        <w:rPr>
          <w:rFonts w:ascii="Arial" w:cs="Arial" w:eastAsia="Arial" w:hAnsi="Arial"/>
          <w:sz w:val="16"/>
          <w:szCs w:val="16"/>
          <w:color w:val="auto"/>
        </w:rPr>
      </w:pPr>
      <w:r>
        <w:rPr>
          <w:rFonts w:ascii="Arial" w:cs="Arial" w:eastAsia="Arial" w:hAnsi="Arial"/>
          <w:sz w:val="16"/>
          <w:szCs w:val="16"/>
          <w:color w:val="auto"/>
        </w:rPr>
        <w:t>Includes 64 securities with an amortized cost of $691.2 million, gross gains of $1.4 million, gross losses of $15.5 million and a carrying amount of $677.1 million as of June 30, 2006, that are still pending a review and assignment of a rating by the SVO. Due to the timing of when fixed maturity securities are purchased, legal documents are filed, and the review by the SVO, there will always be securities in our portfolio that are unrated over a reporting period. In these instances, an equivalent rating is assigned based on our fixed income analyst’s assessment.</w:t>
      </w:r>
    </w:p>
    <w:p>
      <w:pPr>
        <w:spacing w:after="0" w:line="154" w:lineRule="exact"/>
        <w:rPr>
          <w:sz w:val="20"/>
          <w:szCs w:val="20"/>
          <w:color w:val="auto"/>
        </w:rPr>
      </w:pPr>
    </w:p>
    <w:p>
      <w:pPr>
        <w:ind w:right="160" w:firstLine="648"/>
        <w:spacing w:after="0" w:line="276" w:lineRule="auto"/>
        <w:rPr>
          <w:sz w:val="20"/>
          <w:szCs w:val="20"/>
          <w:color w:val="auto"/>
        </w:rPr>
      </w:pPr>
      <w:r>
        <w:rPr>
          <w:rFonts w:ascii="Arial" w:cs="Arial" w:eastAsia="Arial" w:hAnsi="Arial"/>
          <w:sz w:val="17"/>
          <w:szCs w:val="17"/>
          <w:color w:val="auto"/>
        </w:rPr>
        <w:t>We believe that our long-term fixed maturity securities portfolio is well diversified among industry types and between publicly traded and privately placed securities. Each year, we direct the majority of our net cash inflows into investment grade fixed maturity securities. Our current policy is to limit the percentage of cash flow invested in below investment grade assets to 7% of cash flow. As of June 30, 2006, we had invested 4.0% of new cash flow for the year in below investment grade assets. While the general account investment returns have improved due to the below investment grade asset class, we manage its growth strategically by limiting it to 10% of the total fixed maturity securities portfolios.</w:t>
      </w:r>
    </w:p>
    <w:p>
      <w:pPr>
        <w:spacing w:after="0" w:line="173" w:lineRule="exact"/>
        <w:rPr>
          <w:sz w:val="20"/>
          <w:szCs w:val="20"/>
          <w:color w:val="auto"/>
        </w:rPr>
      </w:pPr>
    </w:p>
    <w:p>
      <w:pPr>
        <w:ind w:right="60" w:firstLine="648"/>
        <w:spacing w:after="0" w:line="279" w:lineRule="auto"/>
        <w:rPr>
          <w:sz w:val="20"/>
          <w:szCs w:val="20"/>
          <w:color w:val="auto"/>
        </w:rPr>
      </w:pPr>
      <w:r>
        <w:rPr>
          <w:rFonts w:ascii="Arial" w:cs="Arial" w:eastAsia="Arial" w:hAnsi="Arial"/>
          <w:sz w:val="17"/>
          <w:szCs w:val="17"/>
          <w:color w:val="auto"/>
        </w:rPr>
        <w:t>We invest in privately placed fixed maturity securities to enhance the overall value of the portfolio, increase diversification and obtain higher yields than are possible with comparable quality public market securities. Generally, private placements provide broader access to management information, strengthened negotiated protective covenants, call protection features and, where applicable, a higher level of collateral. They are, however, generally not freely tradable because of restrictions imposed by federal and state securities laws and illiquid trading markets.</w:t>
      </w:r>
    </w:p>
    <w:p>
      <w:pPr>
        <w:sectPr>
          <w:pgSz w:w="11900" w:h="16838" w:orient="portrait"/>
          <w:cols w:equalWidth="0" w:num="1">
            <w:col w:w="11420"/>
          </w:cols>
          <w:pgMar w:left="240" w:top="125" w:right="239" w:bottom="316" w:gutter="0" w:footer="0" w:header="0"/>
        </w:sectPr>
      </w:pPr>
    </w:p>
    <w:bookmarkStart w:id="50" w:name="page51"/>
    <w:bookmarkEnd w:id="50"/>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The following table shows the carrying amount of our corporate fixed maturity securities by Salomon industry category, as well as the percentage of the total corporate portfolio that each Salomon industry category comprises as of June 30, 2006, and December 31, 2005.</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U.S. Invested Assets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Corporate Fixed Maturity Securities by Salomon Industry</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0" w:type="dxa"/>
            <w:vAlign w:val="bottom"/>
            <w:gridSpan w:val="3"/>
          </w:tcPr>
          <w:p>
            <w:pPr>
              <w:ind w:left="920"/>
              <w:spacing w:after="0"/>
              <w:rPr>
                <w:sz w:val="20"/>
                <w:szCs w:val="20"/>
                <w:color w:val="auto"/>
              </w:rPr>
            </w:pPr>
            <w:r>
              <w:rPr>
                <w:rFonts w:ascii="Arial" w:cs="Arial" w:eastAsia="Arial" w:hAnsi="Arial"/>
                <w:sz w:val="14"/>
                <w:szCs w:val="14"/>
                <w:b w:val="1"/>
                <w:bCs w:val="1"/>
                <w:color w:val="auto"/>
                <w:w w:val="94"/>
              </w:rPr>
              <w:t>June 30, 2006</w:t>
            </w:r>
          </w:p>
        </w:tc>
        <w:tc>
          <w:tcPr>
            <w:tcW w:w="7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160" w:type="dxa"/>
            <w:vAlign w:val="bottom"/>
            <w:gridSpan w:val="4"/>
          </w:tcPr>
          <w:p>
            <w:pPr>
              <w:jc w:val="right"/>
              <w:ind w:right="1070"/>
              <w:spacing w:after="0"/>
              <w:rPr>
                <w:sz w:val="20"/>
                <w:szCs w:val="20"/>
                <w:color w:val="auto"/>
              </w:rPr>
            </w:pPr>
            <w:r>
              <w:rPr>
                <w:rFonts w:ascii="Arial" w:cs="Arial" w:eastAsia="Arial" w:hAnsi="Arial"/>
                <w:sz w:val="14"/>
                <w:szCs w:val="14"/>
                <w:b w:val="1"/>
                <w:bCs w:val="1"/>
                <w:color w:val="auto"/>
              </w:rPr>
              <w:t>December 31, 2005</w:t>
            </w:r>
          </w:p>
        </w:tc>
      </w:tr>
      <w:tr>
        <w:trPr>
          <w:trHeight w:val="129"/>
        </w:trPr>
        <w:tc>
          <w:tcPr>
            <w:tcW w:w="4820" w:type="dxa"/>
            <w:vAlign w:val="bottom"/>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1800" w:type="dxa"/>
            <w:vAlign w:val="bottom"/>
            <w:tcBorders>
              <w:top w:val="single" w:sz="8" w:color="auto"/>
              <w:bottom w:val="single" w:sz="8" w:color="auto"/>
            </w:tcBorders>
            <w:gridSpan w:val="3"/>
          </w:tcPr>
          <w:p>
            <w:pPr>
              <w:ind w:left="20"/>
              <w:spacing w:after="0" w:line="129" w:lineRule="exact"/>
              <w:rPr>
                <w:sz w:val="20"/>
                <w:szCs w:val="20"/>
                <w:color w:val="auto"/>
              </w:rPr>
            </w:pPr>
            <w:r>
              <w:rPr>
                <w:rFonts w:ascii="Arial" w:cs="Arial" w:eastAsia="Arial" w:hAnsi="Arial"/>
                <w:sz w:val="14"/>
                <w:szCs w:val="14"/>
                <w:b w:val="1"/>
                <w:bCs w:val="1"/>
                <w:color w:val="auto"/>
              </w:rPr>
              <w:t>Carrying Amount</w:t>
            </w:r>
          </w:p>
        </w:tc>
        <w:tc>
          <w:tcPr>
            <w:tcW w:w="700" w:type="dxa"/>
            <w:vAlign w:val="bottom"/>
            <w:tcBorders>
              <w:top w:val="single" w:sz="8" w:color="auto"/>
              <w:bottom w:val="single" w:sz="8" w:color="auto"/>
            </w:tcBorders>
          </w:tcPr>
          <w:p>
            <w:pPr>
              <w:ind w:left="40"/>
              <w:spacing w:after="0" w:line="129" w:lineRule="exact"/>
              <w:rPr>
                <w:sz w:val="20"/>
                <w:szCs w:val="20"/>
                <w:color w:val="auto"/>
              </w:rPr>
            </w:pPr>
            <w:r>
              <w:rPr>
                <w:rFonts w:ascii="Arial" w:cs="Arial" w:eastAsia="Arial" w:hAnsi="Arial"/>
                <w:sz w:val="14"/>
                <w:szCs w:val="14"/>
                <w:b w:val="1"/>
                <w:bCs w:val="1"/>
                <w:color w:val="auto"/>
                <w:w w:val="95"/>
              </w:rPr>
              <w:t>% of Total</w:t>
            </w:r>
          </w:p>
        </w:tc>
        <w:tc>
          <w:tcPr>
            <w:tcW w:w="300" w:type="dxa"/>
            <w:vAlign w:val="bottom"/>
            <w:tcBorders>
              <w:top w:val="single" w:sz="8" w:color="auto"/>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1560" w:type="dxa"/>
            <w:vAlign w:val="bottom"/>
            <w:tcBorders>
              <w:top w:val="single" w:sz="8" w:color="auto"/>
              <w:bottom w:val="single" w:sz="8" w:color="auto"/>
            </w:tcBorders>
            <w:gridSpan w:val="2"/>
          </w:tcPr>
          <w:p>
            <w:pPr>
              <w:ind w:left="20"/>
              <w:spacing w:after="0" w:line="129" w:lineRule="exact"/>
              <w:rPr>
                <w:sz w:val="20"/>
                <w:szCs w:val="20"/>
                <w:color w:val="auto"/>
              </w:rPr>
            </w:pPr>
            <w:r>
              <w:rPr>
                <w:rFonts w:ascii="Arial" w:cs="Arial" w:eastAsia="Arial" w:hAnsi="Arial"/>
                <w:sz w:val="14"/>
                <w:szCs w:val="14"/>
                <w:b w:val="1"/>
                <w:bCs w:val="1"/>
                <w:color w:val="auto"/>
              </w:rPr>
              <w:t>Carrying Amount</w:t>
            </w:r>
          </w:p>
        </w:tc>
        <w:tc>
          <w:tcPr>
            <w:tcW w:w="1400" w:type="dxa"/>
            <w:vAlign w:val="bottom"/>
            <w:tcBorders>
              <w:top w:val="single" w:sz="8" w:color="auto"/>
              <w:bottom w:val="single" w:sz="8" w:color="auto"/>
            </w:tcBorders>
          </w:tcPr>
          <w:p>
            <w:pPr>
              <w:jc w:val="right"/>
              <w:ind w:right="291"/>
              <w:spacing w:after="0" w:line="129" w:lineRule="exact"/>
              <w:rPr>
                <w:sz w:val="20"/>
                <w:szCs w:val="20"/>
                <w:color w:val="auto"/>
              </w:rPr>
            </w:pPr>
            <w:r>
              <w:rPr>
                <w:rFonts w:ascii="Arial" w:cs="Arial" w:eastAsia="Arial" w:hAnsi="Arial"/>
                <w:sz w:val="14"/>
                <w:szCs w:val="14"/>
                <w:b w:val="1"/>
                <w:bCs w:val="1"/>
                <w:color w:val="auto"/>
              </w:rPr>
              <w:t>% of Total</w:t>
            </w:r>
          </w:p>
        </w:tc>
        <w:tc>
          <w:tcPr>
            <w:tcW w:w="200" w:type="dxa"/>
            <w:vAlign w:val="bottom"/>
          </w:tcPr>
          <w:p>
            <w:pPr>
              <w:spacing w:after="0"/>
              <w:rPr>
                <w:sz w:val="11"/>
                <w:szCs w:val="11"/>
                <w:color w:val="auto"/>
              </w:rPr>
            </w:pPr>
          </w:p>
        </w:tc>
      </w:tr>
      <w:tr>
        <w:trPr>
          <w:trHeight w:val="129"/>
        </w:trPr>
        <w:tc>
          <w:tcPr>
            <w:tcW w:w="4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380" w:type="dxa"/>
            <w:vAlign w:val="bottom"/>
            <w:gridSpan w:val="5"/>
          </w:tcPr>
          <w:p>
            <w:pPr>
              <w:ind w:left="140"/>
              <w:spacing w:after="0" w:line="129" w:lineRule="exact"/>
              <w:rPr>
                <w:sz w:val="20"/>
                <w:szCs w:val="20"/>
                <w:color w:val="auto"/>
              </w:rPr>
            </w:pPr>
            <w:r>
              <w:rPr>
                <w:rFonts w:ascii="Arial" w:cs="Arial" w:eastAsia="Arial" w:hAnsi="Arial"/>
                <w:sz w:val="14"/>
                <w:szCs w:val="14"/>
                <w:b w:val="1"/>
                <w:bCs w:val="1"/>
                <w:color w:val="auto"/>
              </w:rPr>
              <w:t>($ in millions)</w:t>
            </w:r>
          </w:p>
        </w:tc>
        <w:tc>
          <w:tcPr>
            <w:tcW w:w="1400" w:type="dxa"/>
            <w:vAlign w:val="bottom"/>
          </w:tcPr>
          <w:p>
            <w:pPr>
              <w:spacing w:after="0"/>
              <w:rPr>
                <w:sz w:val="11"/>
                <w:szCs w:val="11"/>
                <w:color w:val="auto"/>
              </w:rPr>
            </w:pPr>
          </w:p>
        </w:tc>
        <w:tc>
          <w:tcPr>
            <w:tcW w:w="200" w:type="dxa"/>
            <w:vAlign w:val="bottom"/>
          </w:tcPr>
          <w:p>
            <w:pPr>
              <w:spacing w:after="0"/>
              <w:rPr>
                <w:sz w:val="11"/>
                <w:szCs w:val="11"/>
                <w:color w:val="auto"/>
              </w:rPr>
            </w:pPr>
          </w:p>
        </w:tc>
      </w:tr>
      <w:tr>
        <w:trPr>
          <w:trHeight w:val="216"/>
        </w:trPr>
        <w:tc>
          <w:tcPr>
            <w:tcW w:w="48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Industry Class</w:t>
            </w: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r>
      <w:tr>
        <w:trPr>
          <w:trHeight w:val="216"/>
        </w:trPr>
        <w:tc>
          <w:tcPr>
            <w:tcW w:w="4820" w:type="dxa"/>
            <w:vAlign w:val="bottom"/>
          </w:tcPr>
          <w:p>
            <w:pPr>
              <w:spacing w:after="0"/>
              <w:rPr>
                <w:sz w:val="20"/>
                <w:szCs w:val="20"/>
                <w:color w:val="auto"/>
              </w:rPr>
            </w:pPr>
            <w:r>
              <w:rPr>
                <w:rFonts w:ascii="Arial" w:cs="Arial" w:eastAsia="Arial" w:hAnsi="Arial"/>
                <w:sz w:val="18"/>
                <w:szCs w:val="18"/>
                <w:color w:val="auto"/>
              </w:rPr>
              <w:t>Finance — Bank</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260" w:type="dxa"/>
            <w:vAlign w:val="bottom"/>
          </w:tcPr>
          <w:p>
            <w:pPr>
              <w:jc w:val="right"/>
              <w:spacing w:after="0"/>
              <w:rPr>
                <w:sz w:val="20"/>
                <w:szCs w:val="20"/>
                <w:color w:val="auto"/>
              </w:rPr>
            </w:pPr>
            <w:r>
              <w:rPr>
                <w:rFonts w:ascii="Arial" w:cs="Arial" w:eastAsia="Arial" w:hAnsi="Arial"/>
                <w:sz w:val="18"/>
                <w:szCs w:val="18"/>
                <w:b w:val="1"/>
                <w:bCs w:val="1"/>
                <w:color w:val="auto"/>
              </w:rPr>
              <w:t>3,667.3</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00" w:type="dxa"/>
            <w:vAlign w:val="bottom"/>
            <w:gridSpan w:val="2"/>
          </w:tcPr>
          <w:p>
            <w:pPr>
              <w:jc w:val="right"/>
              <w:ind w:right="130"/>
              <w:spacing w:after="0"/>
              <w:rPr>
                <w:sz w:val="20"/>
                <w:szCs w:val="20"/>
                <w:color w:val="auto"/>
              </w:rPr>
            </w:pPr>
            <w:r>
              <w:rPr>
                <w:rFonts w:ascii="Arial" w:cs="Arial" w:eastAsia="Arial" w:hAnsi="Arial"/>
                <w:sz w:val="18"/>
                <w:szCs w:val="18"/>
                <w:b w:val="1"/>
                <w:bCs w:val="1"/>
                <w:color w:val="auto"/>
              </w:rPr>
              <w:t>13%</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3,451.0</w:t>
            </w:r>
          </w:p>
        </w:tc>
        <w:tc>
          <w:tcPr>
            <w:tcW w:w="280" w:type="dxa"/>
            <w:vAlign w:val="bottom"/>
          </w:tcPr>
          <w:p>
            <w:pPr>
              <w:spacing w:after="0"/>
              <w:rPr>
                <w:sz w:val="18"/>
                <w:szCs w:val="18"/>
                <w:color w:val="auto"/>
              </w:rPr>
            </w:pPr>
          </w:p>
        </w:tc>
        <w:tc>
          <w:tcPr>
            <w:tcW w:w="1600" w:type="dxa"/>
            <w:vAlign w:val="bottom"/>
            <w:gridSpan w:val="2"/>
          </w:tcPr>
          <w:p>
            <w:pPr>
              <w:jc w:val="right"/>
              <w:spacing w:after="0"/>
              <w:rPr>
                <w:sz w:val="20"/>
                <w:szCs w:val="20"/>
                <w:color w:val="auto"/>
              </w:rPr>
            </w:pPr>
            <w:r>
              <w:rPr>
                <w:rFonts w:ascii="Arial" w:cs="Arial" w:eastAsia="Arial" w:hAnsi="Arial"/>
                <w:sz w:val="18"/>
                <w:szCs w:val="18"/>
                <w:color w:val="auto"/>
              </w:rPr>
              <w:t>12%</w:t>
            </w:r>
          </w:p>
        </w:tc>
      </w:tr>
      <w:tr>
        <w:trPr>
          <w:trHeight w:val="216"/>
        </w:trPr>
        <w:tc>
          <w:tcPr>
            <w:tcW w:w="4820" w:type="dxa"/>
            <w:vAlign w:val="bottom"/>
            <w:shd w:val="clear" w:color="auto" w:fill="CCEEFF"/>
          </w:tcPr>
          <w:p>
            <w:pPr>
              <w:spacing w:after="0"/>
              <w:rPr>
                <w:sz w:val="20"/>
                <w:szCs w:val="20"/>
                <w:color w:val="auto"/>
              </w:rPr>
            </w:pPr>
            <w:r>
              <w:rPr>
                <w:rFonts w:ascii="Arial" w:cs="Arial" w:eastAsia="Arial" w:hAnsi="Arial"/>
                <w:sz w:val="18"/>
                <w:szCs w:val="18"/>
                <w:color w:val="auto"/>
              </w:rPr>
              <w:t>Finance — Insurance</w:t>
            </w: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2,983.2</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w:t>
            </w:r>
          </w:p>
        </w:tc>
        <w:tc>
          <w:tcPr>
            <w:tcW w:w="4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3,010.3</w:t>
            </w:r>
          </w:p>
        </w:tc>
        <w:tc>
          <w:tcPr>
            <w:tcW w:w="28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200" w:type="dxa"/>
            <w:vAlign w:val="bottom"/>
            <w:shd w:val="clear" w:color="auto" w:fill="CCEEFF"/>
          </w:tcPr>
          <w:p>
            <w:pPr>
              <w:spacing w:after="0"/>
              <w:rPr>
                <w:sz w:val="18"/>
                <w:szCs w:val="18"/>
                <w:color w:val="auto"/>
              </w:rPr>
            </w:pPr>
          </w:p>
        </w:tc>
      </w:tr>
      <w:tr>
        <w:trPr>
          <w:trHeight w:val="216"/>
        </w:trPr>
        <w:tc>
          <w:tcPr>
            <w:tcW w:w="4820" w:type="dxa"/>
            <w:vAlign w:val="bottom"/>
          </w:tcPr>
          <w:p>
            <w:pPr>
              <w:spacing w:after="0"/>
              <w:rPr>
                <w:sz w:val="20"/>
                <w:szCs w:val="20"/>
                <w:color w:val="auto"/>
              </w:rPr>
            </w:pPr>
            <w:r>
              <w:rPr>
                <w:rFonts w:ascii="Arial" w:cs="Arial" w:eastAsia="Arial" w:hAnsi="Arial"/>
                <w:sz w:val="18"/>
                <w:szCs w:val="18"/>
                <w:color w:val="auto"/>
              </w:rPr>
              <w:t>Finance — Other</w:t>
            </w: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b w:val="1"/>
                <w:bCs w:val="1"/>
                <w:color w:val="auto"/>
              </w:rPr>
              <w:t>4,407.3</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b w:val="1"/>
                <w:bCs w:val="1"/>
                <w:color w:val="auto"/>
              </w:rPr>
              <w:t>15</w:t>
            </w:r>
          </w:p>
        </w:tc>
        <w:tc>
          <w:tcPr>
            <w:tcW w:w="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4,090.1</w:t>
            </w:r>
          </w:p>
        </w:tc>
        <w:tc>
          <w:tcPr>
            <w:tcW w:w="2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14</w:t>
            </w:r>
          </w:p>
        </w:tc>
        <w:tc>
          <w:tcPr>
            <w:tcW w:w="200" w:type="dxa"/>
            <w:vAlign w:val="bottom"/>
          </w:tcPr>
          <w:p>
            <w:pPr>
              <w:spacing w:after="0"/>
              <w:rPr>
                <w:sz w:val="18"/>
                <w:szCs w:val="18"/>
                <w:color w:val="auto"/>
              </w:rPr>
            </w:pPr>
          </w:p>
        </w:tc>
      </w:tr>
      <w:tr>
        <w:trPr>
          <w:trHeight w:val="216"/>
        </w:trPr>
        <w:tc>
          <w:tcPr>
            <w:tcW w:w="4820" w:type="dxa"/>
            <w:vAlign w:val="bottom"/>
            <w:shd w:val="clear" w:color="auto" w:fill="CCEEFF"/>
          </w:tcPr>
          <w:p>
            <w:pPr>
              <w:spacing w:after="0"/>
              <w:rPr>
                <w:sz w:val="20"/>
                <w:szCs w:val="20"/>
                <w:color w:val="auto"/>
              </w:rPr>
            </w:pPr>
            <w:r>
              <w:rPr>
                <w:rFonts w:ascii="Arial" w:cs="Arial" w:eastAsia="Arial" w:hAnsi="Arial"/>
                <w:sz w:val="18"/>
                <w:szCs w:val="18"/>
                <w:color w:val="auto"/>
              </w:rPr>
              <w:t>Industrial — Consumer</w:t>
            </w: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1,043.7</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w:t>
            </w:r>
          </w:p>
        </w:tc>
        <w:tc>
          <w:tcPr>
            <w:tcW w:w="4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1,067.2</w:t>
            </w:r>
          </w:p>
        </w:tc>
        <w:tc>
          <w:tcPr>
            <w:tcW w:w="28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200" w:type="dxa"/>
            <w:vAlign w:val="bottom"/>
            <w:shd w:val="clear" w:color="auto" w:fill="CCEEFF"/>
          </w:tcPr>
          <w:p>
            <w:pPr>
              <w:spacing w:after="0"/>
              <w:rPr>
                <w:sz w:val="18"/>
                <w:szCs w:val="18"/>
                <w:color w:val="auto"/>
              </w:rPr>
            </w:pPr>
          </w:p>
        </w:tc>
      </w:tr>
      <w:tr>
        <w:trPr>
          <w:trHeight w:val="216"/>
        </w:trPr>
        <w:tc>
          <w:tcPr>
            <w:tcW w:w="4820" w:type="dxa"/>
            <w:vAlign w:val="bottom"/>
          </w:tcPr>
          <w:p>
            <w:pPr>
              <w:spacing w:after="0"/>
              <w:rPr>
                <w:sz w:val="20"/>
                <w:szCs w:val="20"/>
                <w:color w:val="auto"/>
              </w:rPr>
            </w:pPr>
            <w:r>
              <w:rPr>
                <w:rFonts w:ascii="Arial" w:cs="Arial" w:eastAsia="Arial" w:hAnsi="Arial"/>
                <w:sz w:val="18"/>
                <w:szCs w:val="18"/>
                <w:color w:val="auto"/>
              </w:rPr>
              <w:t>Industrial — Energy</w:t>
            </w: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b w:val="1"/>
                <w:bCs w:val="1"/>
                <w:color w:val="auto"/>
              </w:rPr>
              <w:t>2,498.8</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b w:val="1"/>
                <w:bCs w:val="1"/>
                <w:color w:val="auto"/>
              </w:rPr>
              <w:t>9</w:t>
            </w:r>
          </w:p>
        </w:tc>
        <w:tc>
          <w:tcPr>
            <w:tcW w:w="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2,718.4</w:t>
            </w:r>
          </w:p>
        </w:tc>
        <w:tc>
          <w:tcPr>
            <w:tcW w:w="2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9</w:t>
            </w:r>
          </w:p>
        </w:tc>
        <w:tc>
          <w:tcPr>
            <w:tcW w:w="200" w:type="dxa"/>
            <w:vAlign w:val="bottom"/>
          </w:tcPr>
          <w:p>
            <w:pPr>
              <w:spacing w:after="0"/>
              <w:rPr>
                <w:sz w:val="18"/>
                <w:szCs w:val="18"/>
                <w:color w:val="auto"/>
              </w:rPr>
            </w:pPr>
          </w:p>
        </w:tc>
      </w:tr>
      <w:tr>
        <w:trPr>
          <w:trHeight w:val="216"/>
        </w:trPr>
        <w:tc>
          <w:tcPr>
            <w:tcW w:w="4820" w:type="dxa"/>
            <w:vAlign w:val="bottom"/>
            <w:shd w:val="clear" w:color="auto" w:fill="CCEEFF"/>
          </w:tcPr>
          <w:p>
            <w:pPr>
              <w:spacing w:after="0"/>
              <w:rPr>
                <w:sz w:val="20"/>
                <w:szCs w:val="20"/>
                <w:color w:val="auto"/>
              </w:rPr>
            </w:pPr>
            <w:r>
              <w:rPr>
                <w:rFonts w:ascii="Arial" w:cs="Arial" w:eastAsia="Arial" w:hAnsi="Arial"/>
                <w:sz w:val="18"/>
                <w:szCs w:val="18"/>
                <w:color w:val="auto"/>
              </w:rPr>
              <w:t>Industrial — Manufacturing</w:t>
            </w: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5,113.1</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w:t>
            </w:r>
          </w:p>
        </w:tc>
        <w:tc>
          <w:tcPr>
            <w:tcW w:w="4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5,223.3</w:t>
            </w:r>
          </w:p>
        </w:tc>
        <w:tc>
          <w:tcPr>
            <w:tcW w:w="28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200" w:type="dxa"/>
            <w:vAlign w:val="bottom"/>
            <w:shd w:val="clear" w:color="auto" w:fill="CCEEFF"/>
          </w:tcPr>
          <w:p>
            <w:pPr>
              <w:spacing w:after="0"/>
              <w:rPr>
                <w:sz w:val="18"/>
                <w:szCs w:val="18"/>
                <w:color w:val="auto"/>
              </w:rPr>
            </w:pPr>
          </w:p>
        </w:tc>
      </w:tr>
      <w:tr>
        <w:trPr>
          <w:trHeight w:val="216"/>
        </w:trPr>
        <w:tc>
          <w:tcPr>
            <w:tcW w:w="4820" w:type="dxa"/>
            <w:vAlign w:val="bottom"/>
          </w:tcPr>
          <w:p>
            <w:pPr>
              <w:spacing w:after="0"/>
              <w:rPr>
                <w:sz w:val="20"/>
                <w:szCs w:val="20"/>
                <w:color w:val="auto"/>
              </w:rPr>
            </w:pPr>
            <w:r>
              <w:rPr>
                <w:rFonts w:ascii="Arial" w:cs="Arial" w:eastAsia="Arial" w:hAnsi="Arial"/>
                <w:sz w:val="18"/>
                <w:szCs w:val="18"/>
                <w:color w:val="auto"/>
              </w:rPr>
              <w:t>Industrial — Other</w:t>
            </w: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b w:val="1"/>
                <w:bCs w:val="1"/>
                <w:color w:val="auto"/>
              </w:rPr>
              <w:t>108.4</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00" w:type="dxa"/>
            <w:vAlign w:val="bottom"/>
            <w:gridSpan w:val="2"/>
          </w:tcPr>
          <w:p>
            <w:pPr>
              <w:jc w:val="right"/>
              <w:ind w:right="33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106.4</w:t>
            </w:r>
          </w:p>
        </w:tc>
        <w:tc>
          <w:tcPr>
            <w:tcW w:w="280" w:type="dxa"/>
            <w:vAlign w:val="bottom"/>
          </w:tcPr>
          <w:p>
            <w:pPr>
              <w:spacing w:after="0"/>
              <w:rPr>
                <w:sz w:val="18"/>
                <w:szCs w:val="18"/>
                <w:color w:val="auto"/>
              </w:rPr>
            </w:pPr>
          </w:p>
        </w:tc>
        <w:tc>
          <w:tcPr>
            <w:tcW w:w="160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r>
      <w:tr>
        <w:trPr>
          <w:trHeight w:val="216"/>
        </w:trPr>
        <w:tc>
          <w:tcPr>
            <w:tcW w:w="4820" w:type="dxa"/>
            <w:vAlign w:val="bottom"/>
            <w:shd w:val="clear" w:color="auto" w:fill="CCEEFF"/>
          </w:tcPr>
          <w:p>
            <w:pPr>
              <w:spacing w:after="0"/>
              <w:rPr>
                <w:sz w:val="20"/>
                <w:szCs w:val="20"/>
                <w:color w:val="auto"/>
              </w:rPr>
            </w:pPr>
            <w:r>
              <w:rPr>
                <w:rFonts w:ascii="Arial" w:cs="Arial" w:eastAsia="Arial" w:hAnsi="Arial"/>
                <w:sz w:val="18"/>
                <w:szCs w:val="18"/>
                <w:color w:val="auto"/>
              </w:rPr>
              <w:t>Industrial — Service</w:t>
            </w: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4,548.4</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w:t>
            </w:r>
          </w:p>
        </w:tc>
        <w:tc>
          <w:tcPr>
            <w:tcW w:w="4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4,548.7</w:t>
            </w:r>
          </w:p>
        </w:tc>
        <w:tc>
          <w:tcPr>
            <w:tcW w:w="28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200" w:type="dxa"/>
            <w:vAlign w:val="bottom"/>
            <w:shd w:val="clear" w:color="auto" w:fill="CCEEFF"/>
          </w:tcPr>
          <w:p>
            <w:pPr>
              <w:spacing w:after="0"/>
              <w:rPr>
                <w:sz w:val="18"/>
                <w:szCs w:val="18"/>
                <w:color w:val="auto"/>
              </w:rPr>
            </w:pPr>
          </w:p>
        </w:tc>
      </w:tr>
      <w:tr>
        <w:trPr>
          <w:trHeight w:val="216"/>
        </w:trPr>
        <w:tc>
          <w:tcPr>
            <w:tcW w:w="4820" w:type="dxa"/>
            <w:vAlign w:val="bottom"/>
          </w:tcPr>
          <w:p>
            <w:pPr>
              <w:spacing w:after="0"/>
              <w:rPr>
                <w:sz w:val="20"/>
                <w:szCs w:val="20"/>
                <w:color w:val="auto"/>
              </w:rPr>
            </w:pPr>
            <w:r>
              <w:rPr>
                <w:rFonts w:ascii="Arial" w:cs="Arial" w:eastAsia="Arial" w:hAnsi="Arial"/>
                <w:sz w:val="18"/>
                <w:szCs w:val="18"/>
                <w:color w:val="auto"/>
              </w:rPr>
              <w:t>Industrial — Transport</w:t>
            </w: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b w:val="1"/>
                <w:bCs w:val="1"/>
                <w:color w:val="auto"/>
              </w:rPr>
              <w:t>812.6</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b w:val="1"/>
                <w:bCs w:val="1"/>
                <w:color w:val="auto"/>
              </w:rPr>
              <w:t>3</w:t>
            </w:r>
          </w:p>
        </w:tc>
        <w:tc>
          <w:tcPr>
            <w:tcW w:w="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848.6</w:t>
            </w:r>
          </w:p>
        </w:tc>
        <w:tc>
          <w:tcPr>
            <w:tcW w:w="2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3</w:t>
            </w:r>
          </w:p>
        </w:tc>
        <w:tc>
          <w:tcPr>
            <w:tcW w:w="200" w:type="dxa"/>
            <w:vAlign w:val="bottom"/>
          </w:tcPr>
          <w:p>
            <w:pPr>
              <w:spacing w:after="0"/>
              <w:rPr>
                <w:sz w:val="18"/>
                <w:szCs w:val="18"/>
                <w:color w:val="auto"/>
              </w:rPr>
            </w:pPr>
          </w:p>
        </w:tc>
      </w:tr>
      <w:tr>
        <w:trPr>
          <w:trHeight w:val="216"/>
        </w:trPr>
        <w:tc>
          <w:tcPr>
            <w:tcW w:w="4820" w:type="dxa"/>
            <w:vAlign w:val="bottom"/>
            <w:shd w:val="clear" w:color="auto" w:fill="CCEEFF"/>
          </w:tcPr>
          <w:p>
            <w:pPr>
              <w:spacing w:after="0"/>
              <w:rPr>
                <w:sz w:val="20"/>
                <w:szCs w:val="20"/>
                <w:color w:val="auto"/>
              </w:rPr>
            </w:pPr>
            <w:r>
              <w:rPr>
                <w:rFonts w:ascii="Arial" w:cs="Arial" w:eastAsia="Arial" w:hAnsi="Arial"/>
                <w:sz w:val="18"/>
                <w:szCs w:val="18"/>
                <w:color w:val="auto"/>
              </w:rPr>
              <w:t>Utility — Electric</w:t>
            </w: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2,317.6</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w:t>
            </w:r>
          </w:p>
        </w:tc>
        <w:tc>
          <w:tcPr>
            <w:tcW w:w="4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2,568.6</w:t>
            </w:r>
          </w:p>
        </w:tc>
        <w:tc>
          <w:tcPr>
            <w:tcW w:w="28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00" w:type="dxa"/>
            <w:vAlign w:val="bottom"/>
            <w:shd w:val="clear" w:color="auto" w:fill="CCEEFF"/>
          </w:tcPr>
          <w:p>
            <w:pPr>
              <w:spacing w:after="0"/>
              <w:rPr>
                <w:sz w:val="18"/>
                <w:szCs w:val="18"/>
                <w:color w:val="auto"/>
              </w:rPr>
            </w:pPr>
          </w:p>
        </w:tc>
      </w:tr>
      <w:tr>
        <w:trPr>
          <w:trHeight w:val="216"/>
        </w:trPr>
        <w:tc>
          <w:tcPr>
            <w:tcW w:w="4820" w:type="dxa"/>
            <w:vAlign w:val="bottom"/>
          </w:tcPr>
          <w:p>
            <w:pPr>
              <w:spacing w:after="0"/>
              <w:rPr>
                <w:sz w:val="20"/>
                <w:szCs w:val="20"/>
                <w:color w:val="auto"/>
              </w:rPr>
            </w:pPr>
            <w:r>
              <w:rPr>
                <w:rFonts w:ascii="Arial" w:cs="Arial" w:eastAsia="Arial" w:hAnsi="Arial"/>
                <w:sz w:val="18"/>
                <w:szCs w:val="18"/>
                <w:color w:val="auto"/>
              </w:rPr>
              <w:t>Utility — Other</w:t>
            </w: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b w:val="1"/>
                <w:bCs w:val="1"/>
                <w:color w:val="auto"/>
              </w:rPr>
              <w:t>44.8</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00" w:type="dxa"/>
            <w:vAlign w:val="bottom"/>
            <w:gridSpan w:val="2"/>
          </w:tcPr>
          <w:p>
            <w:pPr>
              <w:jc w:val="right"/>
              <w:ind w:right="33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47.9</w:t>
            </w:r>
          </w:p>
        </w:tc>
        <w:tc>
          <w:tcPr>
            <w:tcW w:w="280" w:type="dxa"/>
            <w:vAlign w:val="bottom"/>
          </w:tcPr>
          <w:p>
            <w:pPr>
              <w:spacing w:after="0"/>
              <w:rPr>
                <w:sz w:val="18"/>
                <w:szCs w:val="18"/>
                <w:color w:val="auto"/>
              </w:rPr>
            </w:pPr>
          </w:p>
        </w:tc>
        <w:tc>
          <w:tcPr>
            <w:tcW w:w="160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r>
      <w:tr>
        <w:trPr>
          <w:trHeight w:val="216"/>
        </w:trPr>
        <w:tc>
          <w:tcPr>
            <w:tcW w:w="4820" w:type="dxa"/>
            <w:vAlign w:val="bottom"/>
            <w:shd w:val="clear" w:color="auto" w:fill="CCEEFF"/>
          </w:tcPr>
          <w:p>
            <w:pPr>
              <w:spacing w:after="0"/>
              <w:rPr>
                <w:sz w:val="20"/>
                <w:szCs w:val="20"/>
                <w:color w:val="auto"/>
              </w:rPr>
            </w:pPr>
            <w:r>
              <w:rPr>
                <w:rFonts w:ascii="Arial" w:cs="Arial" w:eastAsia="Arial" w:hAnsi="Arial"/>
                <w:sz w:val="18"/>
                <w:szCs w:val="18"/>
                <w:color w:val="auto"/>
              </w:rPr>
              <w:t>Utility — Telecom</w:t>
            </w:r>
          </w:p>
        </w:tc>
        <w:tc>
          <w:tcPr>
            <w:tcW w:w="12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1,661.8</w:t>
            </w:r>
          </w:p>
        </w:tc>
        <w:tc>
          <w:tcPr>
            <w:tcW w:w="28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w:t>
            </w:r>
          </w:p>
        </w:tc>
        <w:tc>
          <w:tcPr>
            <w:tcW w:w="4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1,811.8</w:t>
            </w:r>
          </w:p>
        </w:tc>
        <w:tc>
          <w:tcPr>
            <w:tcW w:w="280" w:type="dxa"/>
            <w:vAlign w:val="bottom"/>
            <w:shd w:val="clear" w:color="auto" w:fill="CCEEFF"/>
          </w:tcPr>
          <w:p>
            <w:pPr>
              <w:spacing w:after="0"/>
              <w:rPr>
                <w:sz w:val="18"/>
                <w:szCs w:val="18"/>
                <w:color w:val="auto"/>
              </w:rPr>
            </w:pP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200" w:type="dxa"/>
            <w:vAlign w:val="bottom"/>
            <w:shd w:val="clear" w:color="auto" w:fill="CCEEFF"/>
          </w:tcPr>
          <w:p>
            <w:pPr>
              <w:spacing w:after="0"/>
              <w:rPr>
                <w:sz w:val="18"/>
                <w:szCs w:val="18"/>
                <w:color w:val="auto"/>
              </w:rPr>
            </w:pPr>
          </w:p>
        </w:tc>
      </w:tr>
      <w:tr>
        <w:trPr>
          <w:trHeight w:val="223"/>
        </w:trPr>
        <w:tc>
          <w:tcPr>
            <w:tcW w:w="4820" w:type="dxa"/>
            <w:vAlign w:val="bottom"/>
          </w:tcPr>
          <w:p>
            <w:pPr>
              <w:ind w:left="180"/>
              <w:spacing w:after="0"/>
              <w:rPr>
                <w:sz w:val="20"/>
                <w:szCs w:val="20"/>
                <w:color w:val="auto"/>
              </w:rPr>
            </w:pPr>
            <w:r>
              <w:rPr>
                <w:rFonts w:ascii="Arial" w:cs="Arial" w:eastAsia="Arial" w:hAnsi="Arial"/>
                <w:sz w:val="18"/>
                <w:szCs w:val="18"/>
                <w:color w:val="auto"/>
              </w:rPr>
              <w:t>Total</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29,207.0</w:t>
            </w:r>
          </w:p>
        </w:tc>
        <w:tc>
          <w:tcPr>
            <w:tcW w:w="28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86"/>
              </w:rPr>
              <w:t>100</w:t>
            </w:r>
          </w:p>
        </w:tc>
        <w:tc>
          <w:tcPr>
            <w:tcW w:w="400" w:type="dxa"/>
            <w:vAlign w:val="bottom"/>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29,492.3</w:t>
            </w:r>
          </w:p>
        </w:tc>
        <w:tc>
          <w:tcPr>
            <w:tcW w:w="280" w:type="dxa"/>
            <w:vAlign w:val="bottom"/>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200" w:type="dxa"/>
            <w:vAlign w:val="bottom"/>
          </w:tcPr>
          <w:p>
            <w:pPr>
              <w:jc w:val="right"/>
              <w:spacing w:after="0"/>
              <w:rPr>
                <w:sz w:val="20"/>
                <w:szCs w:val="20"/>
                <w:color w:val="auto"/>
              </w:rPr>
            </w:pPr>
            <w:r>
              <w:rPr>
                <w:rFonts w:ascii="Arial" w:cs="Arial" w:eastAsia="Arial" w:hAnsi="Arial"/>
                <w:sz w:val="18"/>
                <w:szCs w:val="18"/>
                <w:color w:val="auto"/>
                <w:w w:val="74"/>
              </w:rPr>
              <w:t>%</w:t>
            </w:r>
          </w:p>
        </w:tc>
      </w:tr>
      <w:tr>
        <w:trPr>
          <w:trHeight w:val="20"/>
        </w:trPr>
        <w:tc>
          <w:tcPr>
            <w:tcW w:w="48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20" w:firstLine="648"/>
        <w:spacing w:after="0" w:line="287" w:lineRule="auto"/>
        <w:rPr>
          <w:sz w:val="20"/>
          <w:szCs w:val="20"/>
          <w:color w:val="auto"/>
        </w:rPr>
      </w:pPr>
      <w:r>
        <w:rPr>
          <w:rFonts w:ascii="Arial" w:cs="Arial" w:eastAsia="Arial" w:hAnsi="Arial"/>
          <w:sz w:val="16"/>
          <w:szCs w:val="16"/>
          <w:color w:val="auto"/>
        </w:rPr>
        <w:t>We monitor any decline in the credit quality of fixed maturity securities through the designation of “problem securities”, “potential problem securities” and “restructured securities”. We define problem securities in our fixed maturity portfolio as securities: (i) as to which principal and/or interest payments are in default or where default is perceived to be imminent in the near term, or (ii) issued by a company that went into bankruptcy subsequent to the acquisition of such securities. We define potential problem securities in our fixed maturity portfolio as securities included on an internal “watch list” for which management has concerns as to the ability of the issuer to comply with the present debt payment terms and which may result in the security becoming a problem or being restructured. The decision whether to classify a performing fixed maturity security as a potential problem involves significant subjective judgments by our management as to the likely future industry conditions and developments with respect to the issuer. We define restructured securities in our fixed maturity portfolio as securities where a concession has been granted to the borrower related to the borrower’s financial difficulties that would not have otherwise been considered. We determine that restructures should occur in those instances where greater economic value will be realized under the new terms than through liquidation or other disposition and may involve a change in contractual cash flows. If at the time of restructure, the present value of the new future cash flows is less than the current cost of the asset being restructured, a realized capital loss is recorded in net income and a new cost basis is established.</w:t>
      </w:r>
    </w:p>
    <w:p>
      <w:pPr>
        <w:spacing w:after="0" w:line="173" w:lineRule="exact"/>
        <w:rPr>
          <w:sz w:val="20"/>
          <w:szCs w:val="20"/>
          <w:color w:val="auto"/>
        </w:rPr>
      </w:pPr>
    </w:p>
    <w:p>
      <w:pPr>
        <w:ind w:right="240" w:firstLine="648"/>
        <w:spacing w:after="0" w:line="259" w:lineRule="auto"/>
        <w:rPr>
          <w:sz w:val="20"/>
          <w:szCs w:val="20"/>
          <w:color w:val="auto"/>
        </w:rPr>
      </w:pPr>
      <w:r>
        <w:rPr>
          <w:rFonts w:ascii="Arial" w:cs="Arial" w:eastAsia="Arial" w:hAnsi="Arial"/>
          <w:sz w:val="18"/>
          <w:szCs w:val="18"/>
          <w:color w:val="auto"/>
        </w:rPr>
        <w:t>We have a process in place to identify securities that could potentially have a credit impairment that is other than temporary. This process involves monitoring market events that could impact issuers’ credit ratings, business climate, management changes, litigation and government actions, and other similar factors. This process also involves monitoring late payments, pricing levels, downgrades by rating agencies, key financial ratios, financial statements, revenue forecasts and cash flow projections as indicators of credit issues.</w:t>
      </w:r>
    </w:p>
    <w:p>
      <w:pPr>
        <w:spacing w:after="0" w:line="187" w:lineRule="exact"/>
        <w:rPr>
          <w:sz w:val="20"/>
          <w:szCs w:val="20"/>
          <w:color w:val="auto"/>
        </w:rPr>
      </w:pPr>
    </w:p>
    <w:p>
      <w:pPr>
        <w:ind w:right="60" w:firstLine="648"/>
        <w:spacing w:after="0" w:line="279" w:lineRule="auto"/>
        <w:rPr>
          <w:sz w:val="20"/>
          <w:szCs w:val="20"/>
          <w:color w:val="auto"/>
        </w:rPr>
      </w:pPr>
      <w:r>
        <w:rPr>
          <w:rFonts w:ascii="Arial" w:cs="Arial" w:eastAsia="Arial" w:hAnsi="Arial"/>
          <w:sz w:val="17"/>
          <w:szCs w:val="17"/>
          <w:color w:val="auto"/>
        </w:rPr>
        <w:t>Every month, a group of individuals including the Chief Investment Officer, our Portfolio Managers, members of our Workout Group, and representatives from Investment Accounting review all securities to determine whether an other than temporary decline in value exists and whether losses should be recognized. The analysis focuses on each issuer’s ability to service its debts in a timely fashion and the length of time the security has been trading below cost. Formal documentation of the analysis and the Company’s decision is prepared and approved by management.</w:t>
      </w:r>
    </w:p>
    <w:p>
      <w:pPr>
        <w:spacing w:after="0" w:line="171" w:lineRule="exact"/>
        <w:rPr>
          <w:sz w:val="20"/>
          <w:szCs w:val="20"/>
          <w:color w:val="auto"/>
        </w:rPr>
      </w:pPr>
    </w:p>
    <w:p>
      <w:pPr>
        <w:ind w:right="100" w:firstLine="648"/>
        <w:spacing w:after="0" w:line="327" w:lineRule="auto"/>
        <w:rPr>
          <w:sz w:val="20"/>
          <w:szCs w:val="20"/>
          <w:color w:val="auto"/>
        </w:rPr>
      </w:pPr>
      <w:r>
        <w:rPr>
          <w:rFonts w:ascii="Arial" w:cs="Arial" w:eastAsia="Arial" w:hAnsi="Arial"/>
          <w:sz w:val="15"/>
          <w:szCs w:val="15"/>
          <w:color w:val="auto"/>
        </w:rPr>
        <w:t>We consider relevant facts and circumstances in evaluating whether the credit impairment of a security is other than temporary. Relevant facts and circumstances considered include: (1) the length of time the fair value has been below cost; (2) the financial position and access to capital of the issuer, including the current and future impact of any specific events; and (3) our ability and intent to hold the security to maturity or until it recovers in value. To the extent we determine that a security is deemed to be other than temporarily impaired, the difference between amortized cost and fair value would be charged to earnings.</w:t>
      </w: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140" w:firstLine="648"/>
        <w:spacing w:after="0" w:line="293" w:lineRule="auto"/>
        <w:rPr>
          <w:sz w:val="20"/>
          <w:szCs w:val="20"/>
          <w:color w:val="auto"/>
        </w:rPr>
      </w:pPr>
      <w:r>
        <w:rPr>
          <w:rFonts w:ascii="Arial" w:cs="Arial" w:eastAsia="Arial" w:hAnsi="Arial"/>
          <w:sz w:val="16"/>
          <w:szCs w:val="16"/>
          <w:color w:val="auto"/>
        </w:rPr>
        <w:t>There are a number of significant risks and uncertainties inherent in the process of monitoring credit impairments and determining if an impairment is other than temporary. These risks and uncertainties include: (1) the risk that our assessment of an issuer’s ability to meet all of its contractual obligations will change based on changes in the credit characteristics of that issuer, (2) the risk that the economic outlook will be worse than expected or have more of an impact on the issuer than anticipated, (3) the risk that our investment professionals are making decisions based on fraudulent or misstated information in the financial statements provided by issuers and (4) the risk that new information obtained by us or changes in other facts and circumstances lead us to change our intent to hold the security to maturity or until it recovers in value. Any of these situations could result in a charge to earnings in a future period.</w:t>
      </w:r>
    </w:p>
    <w:p>
      <w:pPr>
        <w:spacing w:after="0" w:line="165" w:lineRule="exact"/>
        <w:rPr>
          <w:sz w:val="20"/>
          <w:szCs w:val="20"/>
          <w:color w:val="auto"/>
        </w:rPr>
      </w:pPr>
    </w:p>
    <w:p>
      <w:pPr>
        <w:ind w:right="60" w:firstLine="648"/>
        <w:spacing w:after="0" w:line="302" w:lineRule="auto"/>
        <w:rPr>
          <w:sz w:val="20"/>
          <w:szCs w:val="20"/>
          <w:color w:val="auto"/>
        </w:rPr>
      </w:pPr>
      <w:r>
        <w:rPr>
          <w:rFonts w:ascii="Arial" w:cs="Arial" w:eastAsia="Arial" w:hAnsi="Arial"/>
          <w:sz w:val="16"/>
          <w:szCs w:val="16"/>
          <w:color w:val="auto"/>
        </w:rPr>
        <w:t>The net realized loss relating to other than temporary credit impairments of fixed maturity securities was $5.7 million for the six months ended June 30, 2006. The single largest other than temporary credit impairment represented less than 0.1% of U.S. fixed maturity securities as of June 30, 2006. As the result of the recently announced acquisition of WM Advisors, we also recognized $16.0 million of impairment write-downs for the six months ended June 30, 2006, that resulted from our determination that we no longer had the ability and intent to hold certain fixed maturity securities until they recovered in value.</w:t>
      </w:r>
    </w:p>
    <w:p>
      <w:pPr>
        <w:sectPr>
          <w:pgSz w:w="11900" w:h="16838" w:orient="portrait"/>
          <w:cols w:equalWidth="0" w:num="1">
            <w:col w:w="11420"/>
          </w:cols>
          <w:pgMar w:left="240" w:top="125" w:right="239" w:bottom="56" w:gutter="0" w:footer="0" w:header="0"/>
        </w:sectPr>
      </w:pPr>
    </w:p>
    <w:bookmarkStart w:id="51" w:name="page52"/>
    <w:bookmarkEnd w:id="51"/>
    <w:p>
      <w:pPr>
        <w:ind w:right="80" w:firstLine="648"/>
        <w:spacing w:after="0" w:line="297" w:lineRule="auto"/>
        <w:rPr>
          <w:sz w:val="20"/>
          <w:szCs w:val="20"/>
          <w:color w:val="auto"/>
        </w:rPr>
      </w:pPr>
      <w:r>
        <w:rPr>
          <w:rFonts w:ascii="Arial" w:cs="Arial" w:eastAsia="Arial" w:hAnsi="Arial"/>
          <w:sz w:val="16"/>
          <w:szCs w:val="16"/>
          <w:color w:val="auto"/>
        </w:rPr>
        <w:t>For the six months ended June 30, 2006, we realized $10.2 million of gross losses upon disposal of bonds excluding hedging adjustments. Included in this $10.2 million is $8.1 million related to sales of fifteen credit impaired and credit related names. We generally intend to hold securities in unrealized loss positions until they mature or recover. However, we do sell bonds under certain circumstances such as when we have evidence of a significant deterioration in the issuer’s creditworthiness, when a change in regulatory requirements modifies what constitutes a permissible investment or the maximum level of investments held or when there is an increase in capital requirements or a change in risk weights of debt securities. Sales generate both gains and losses.</w:t>
      </w:r>
    </w:p>
    <w:p>
      <w:pPr>
        <w:spacing w:after="0" w:line="158"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The following tables present our fixed maturity securities available-for-sale by industry category and the associated gross unrealized gains and losses as of June 30, 2006, and December 31, 2005.</w:t>
      </w:r>
    </w:p>
    <w:p>
      <w:pPr>
        <w:spacing w:after="0" w:line="16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U.S. Invested Assets</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Fixed Maturity Securities Available-for-Sale by Industry Category</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66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 2006</w:t>
            </w:r>
          </w:p>
        </w:tc>
        <w:tc>
          <w:tcPr>
            <w:tcW w:w="7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4660" w:type="dxa"/>
            <w:vAlign w:val="bottom"/>
          </w:tcPr>
          <w:p>
            <w:pPr>
              <w:spacing w:after="0"/>
              <w:rPr>
                <w:sz w:val="8"/>
                <w:szCs w:val="8"/>
                <w:color w:val="auto"/>
              </w:rPr>
            </w:pPr>
          </w:p>
        </w:tc>
        <w:tc>
          <w:tcPr>
            <w:tcW w:w="1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940" w:type="dxa"/>
            <w:vAlign w:val="bottom"/>
            <w:vMerge w:val="restart"/>
          </w:tcPr>
          <w:p>
            <w:pPr>
              <w:jc w:val="right"/>
              <w:ind w:right="132"/>
              <w:spacing w:after="0"/>
              <w:rPr>
                <w:sz w:val="20"/>
                <w:szCs w:val="20"/>
                <w:color w:val="auto"/>
              </w:rPr>
            </w:pPr>
            <w:r>
              <w:rPr>
                <w:rFonts w:ascii="Arial" w:cs="Arial" w:eastAsia="Arial" w:hAnsi="Arial"/>
                <w:sz w:val="14"/>
                <w:szCs w:val="14"/>
                <w:b w:val="1"/>
                <w:bCs w:val="1"/>
                <w:color w:val="auto"/>
              </w:rPr>
              <w:t>Amortized</w:t>
            </w:r>
          </w:p>
        </w:tc>
        <w:tc>
          <w:tcPr>
            <w:tcW w:w="280" w:type="dxa"/>
            <w:vAlign w:val="bottom"/>
          </w:tcPr>
          <w:p>
            <w:pPr>
              <w:spacing w:after="0"/>
              <w:rPr>
                <w:sz w:val="8"/>
                <w:szCs w:val="8"/>
                <w:color w:val="auto"/>
              </w:rPr>
            </w:pPr>
          </w:p>
        </w:tc>
        <w:tc>
          <w:tcPr>
            <w:tcW w:w="140" w:type="dxa"/>
            <w:vAlign w:val="bottom"/>
          </w:tcPr>
          <w:p>
            <w:pPr>
              <w:spacing w:after="0"/>
              <w:rPr>
                <w:sz w:val="8"/>
                <w:szCs w:val="8"/>
                <w:color w:val="auto"/>
              </w:rPr>
            </w:pPr>
          </w:p>
        </w:tc>
        <w:tc>
          <w:tcPr>
            <w:tcW w:w="920" w:type="dxa"/>
            <w:vAlign w:val="bottom"/>
          </w:tcPr>
          <w:p>
            <w:pPr>
              <w:jc w:val="center"/>
              <w:ind w:right="75"/>
              <w:spacing w:after="0" w:line="102" w:lineRule="exact"/>
              <w:rPr>
                <w:sz w:val="20"/>
                <w:szCs w:val="20"/>
                <w:color w:val="auto"/>
              </w:rPr>
            </w:pPr>
            <w:r>
              <w:rPr>
                <w:rFonts w:ascii="Arial" w:cs="Arial" w:eastAsia="Arial" w:hAnsi="Arial"/>
                <w:sz w:val="11"/>
                <w:szCs w:val="11"/>
                <w:b w:val="1"/>
                <w:bCs w:val="1"/>
                <w:color w:val="auto"/>
              </w:rPr>
              <w:t>Gross</w:t>
            </w:r>
          </w:p>
        </w:tc>
        <w:tc>
          <w:tcPr>
            <w:tcW w:w="28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40" w:type="dxa"/>
            <w:vAlign w:val="bottom"/>
            <w:gridSpan w:val="2"/>
          </w:tcPr>
          <w:p>
            <w:pPr>
              <w:jc w:val="center"/>
              <w:ind w:right="560"/>
              <w:spacing w:after="0" w:line="102" w:lineRule="exact"/>
              <w:rPr>
                <w:sz w:val="20"/>
                <w:szCs w:val="20"/>
                <w:color w:val="auto"/>
              </w:rPr>
            </w:pPr>
            <w:r>
              <w:rPr>
                <w:rFonts w:ascii="Arial" w:cs="Arial" w:eastAsia="Arial" w:hAnsi="Arial"/>
                <w:sz w:val="11"/>
                <w:szCs w:val="11"/>
                <w:b w:val="1"/>
                <w:bCs w:val="1"/>
                <w:color w:val="auto"/>
              </w:rPr>
              <w:t>Gross</w:t>
            </w:r>
          </w:p>
        </w:tc>
        <w:tc>
          <w:tcPr>
            <w:tcW w:w="160" w:type="dxa"/>
            <w:vAlign w:val="bottom"/>
          </w:tcPr>
          <w:p>
            <w:pPr>
              <w:spacing w:after="0"/>
              <w:rPr>
                <w:sz w:val="8"/>
                <w:szCs w:val="8"/>
                <w:color w:val="auto"/>
              </w:rPr>
            </w:pPr>
          </w:p>
        </w:tc>
        <w:tc>
          <w:tcPr>
            <w:tcW w:w="920" w:type="dxa"/>
            <w:vAlign w:val="bottom"/>
            <w:vMerge w:val="restart"/>
          </w:tcPr>
          <w:p>
            <w:pPr>
              <w:jc w:val="right"/>
              <w:ind w:right="192"/>
              <w:spacing w:after="0"/>
              <w:rPr>
                <w:sz w:val="20"/>
                <w:szCs w:val="20"/>
                <w:color w:val="auto"/>
              </w:rPr>
            </w:pPr>
            <w:r>
              <w:rPr>
                <w:rFonts w:ascii="Arial" w:cs="Arial" w:eastAsia="Arial" w:hAnsi="Arial"/>
                <w:sz w:val="14"/>
                <w:szCs w:val="14"/>
                <w:b w:val="1"/>
                <w:bCs w:val="1"/>
                <w:color w:val="auto"/>
              </w:rPr>
              <w:t>Carrying</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466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vMerge w:val="continue"/>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jc w:val="center"/>
              <w:ind w:right="55"/>
              <w:spacing w:after="0" w:line="135" w:lineRule="exact"/>
              <w:rPr>
                <w:sz w:val="20"/>
                <w:szCs w:val="20"/>
                <w:color w:val="auto"/>
              </w:rPr>
            </w:pPr>
            <w:r>
              <w:rPr>
                <w:rFonts w:ascii="Arial" w:cs="Arial" w:eastAsia="Arial" w:hAnsi="Arial"/>
                <w:sz w:val="14"/>
                <w:szCs w:val="14"/>
                <w:b w:val="1"/>
                <w:bCs w:val="1"/>
                <w:color w:val="auto"/>
                <w:w w:val="93"/>
              </w:rPr>
              <w:t>Unrealized</w:t>
            </w:r>
          </w:p>
        </w:tc>
        <w:tc>
          <w:tcPr>
            <w:tcW w:w="280" w:type="dxa"/>
            <w:vAlign w:val="bottom"/>
          </w:tcPr>
          <w:p>
            <w:pPr>
              <w:spacing w:after="0"/>
              <w:rPr>
                <w:sz w:val="11"/>
                <w:szCs w:val="11"/>
                <w:color w:val="auto"/>
              </w:rPr>
            </w:pPr>
          </w:p>
        </w:tc>
        <w:tc>
          <w:tcPr>
            <w:tcW w:w="1320" w:type="dxa"/>
            <w:vAlign w:val="bottom"/>
            <w:gridSpan w:val="3"/>
          </w:tcPr>
          <w:p>
            <w:pPr>
              <w:jc w:val="center"/>
              <w:ind w:right="280"/>
              <w:spacing w:after="0" w:line="135" w:lineRule="exact"/>
              <w:rPr>
                <w:sz w:val="20"/>
                <w:szCs w:val="20"/>
                <w:color w:val="auto"/>
              </w:rPr>
            </w:pPr>
            <w:r>
              <w:rPr>
                <w:rFonts w:ascii="Arial" w:cs="Arial" w:eastAsia="Arial" w:hAnsi="Arial"/>
                <w:sz w:val="14"/>
                <w:szCs w:val="14"/>
                <w:b w:val="1"/>
                <w:bCs w:val="1"/>
                <w:color w:val="auto"/>
                <w:w w:val="95"/>
              </w:rPr>
              <w:t>Unrealized</w:t>
            </w:r>
          </w:p>
        </w:tc>
        <w:tc>
          <w:tcPr>
            <w:tcW w:w="160" w:type="dxa"/>
            <w:vAlign w:val="bottom"/>
          </w:tcPr>
          <w:p>
            <w:pPr>
              <w:spacing w:after="0"/>
              <w:rPr>
                <w:sz w:val="11"/>
                <w:szCs w:val="11"/>
                <w:color w:val="auto"/>
              </w:rPr>
            </w:pPr>
          </w:p>
        </w:tc>
        <w:tc>
          <w:tcPr>
            <w:tcW w:w="9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466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tcPr>
          <w:p>
            <w:pPr>
              <w:jc w:val="right"/>
              <w:ind w:right="332"/>
              <w:spacing w:after="0"/>
              <w:rPr>
                <w:sz w:val="20"/>
                <w:szCs w:val="20"/>
                <w:color w:val="auto"/>
              </w:rPr>
            </w:pPr>
            <w:r>
              <w:rPr>
                <w:rFonts w:ascii="Arial" w:cs="Arial" w:eastAsia="Arial" w:hAnsi="Arial"/>
                <w:sz w:val="14"/>
                <w:szCs w:val="14"/>
                <w:b w:val="1"/>
                <w:bCs w:val="1"/>
                <w:color w:val="auto"/>
              </w:rPr>
              <w:t>Cost</w:t>
            </w: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tcPr>
          <w:p>
            <w:pPr>
              <w:jc w:val="center"/>
              <w:ind w:right="75"/>
              <w:spacing w:after="0"/>
              <w:rPr>
                <w:sz w:val="20"/>
                <w:szCs w:val="20"/>
                <w:color w:val="auto"/>
              </w:rPr>
            </w:pPr>
            <w:r>
              <w:rPr>
                <w:rFonts w:ascii="Arial" w:cs="Arial" w:eastAsia="Arial" w:hAnsi="Arial"/>
                <w:sz w:val="14"/>
                <w:szCs w:val="14"/>
                <w:b w:val="1"/>
                <w:bCs w:val="1"/>
                <w:color w:val="auto"/>
                <w:w w:val="92"/>
              </w:rPr>
              <w:t>Gains</w:t>
            </w: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40" w:type="dxa"/>
            <w:vAlign w:val="bottom"/>
            <w:gridSpan w:val="2"/>
          </w:tcPr>
          <w:p>
            <w:pPr>
              <w:jc w:val="center"/>
              <w:ind w:right="560"/>
              <w:spacing w:after="0"/>
              <w:rPr>
                <w:sz w:val="20"/>
                <w:szCs w:val="20"/>
                <w:color w:val="auto"/>
              </w:rPr>
            </w:pPr>
            <w:r>
              <w:rPr>
                <w:rFonts w:ascii="Arial" w:cs="Arial" w:eastAsia="Arial" w:hAnsi="Arial"/>
                <w:sz w:val="14"/>
                <w:szCs w:val="14"/>
                <w:b w:val="1"/>
                <w:bCs w:val="1"/>
                <w:color w:val="auto"/>
                <w:w w:val="82"/>
              </w:rPr>
              <w:t>Losses</w:t>
            </w:r>
          </w:p>
        </w:tc>
        <w:tc>
          <w:tcPr>
            <w:tcW w:w="160" w:type="dxa"/>
            <w:vAlign w:val="bottom"/>
          </w:tcPr>
          <w:p>
            <w:pPr>
              <w:spacing w:after="0"/>
              <w:rPr>
                <w:sz w:val="14"/>
                <w:szCs w:val="14"/>
                <w:color w:val="auto"/>
              </w:rPr>
            </w:pPr>
          </w:p>
        </w:tc>
        <w:tc>
          <w:tcPr>
            <w:tcW w:w="920" w:type="dxa"/>
            <w:vAlign w:val="bottom"/>
          </w:tcPr>
          <w:p>
            <w:pPr>
              <w:jc w:val="right"/>
              <w:ind w:right="212"/>
              <w:spacing w:after="0"/>
              <w:rPr>
                <w:sz w:val="20"/>
                <w:szCs w:val="20"/>
                <w:color w:val="auto"/>
              </w:rPr>
            </w:pPr>
            <w:r>
              <w:rPr>
                <w:rFonts w:ascii="Arial" w:cs="Arial" w:eastAsia="Arial" w:hAnsi="Arial"/>
                <w:sz w:val="14"/>
                <w:szCs w:val="14"/>
                <w:b w:val="1"/>
                <w:bCs w:val="1"/>
                <w:color w:val="auto"/>
              </w:rPr>
              <w:t>Amount</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466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480" w:type="dxa"/>
            <w:vAlign w:val="bottom"/>
            <w:tcBorders>
              <w:top w:val="single" w:sz="8" w:color="auto"/>
            </w:tcBorders>
            <w:gridSpan w:val="3"/>
          </w:tcPr>
          <w:p>
            <w:pPr>
              <w:jc w:val="right"/>
              <w:ind w:right="7"/>
              <w:spacing w:after="0" w:line="129" w:lineRule="exact"/>
              <w:rPr>
                <w:sz w:val="20"/>
                <w:szCs w:val="20"/>
                <w:color w:val="auto"/>
              </w:rPr>
            </w:pPr>
            <w:r>
              <w:rPr>
                <w:rFonts w:ascii="Arial" w:cs="Arial" w:eastAsia="Arial" w:hAnsi="Arial"/>
                <w:sz w:val="14"/>
                <w:szCs w:val="14"/>
                <w:b w:val="1"/>
                <w:bCs w:val="1"/>
                <w:color w:val="auto"/>
              </w:rPr>
              <w:t>(in millions)</w:t>
            </w:r>
          </w:p>
        </w:tc>
        <w:tc>
          <w:tcPr>
            <w:tcW w:w="76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Finance — Bank</w:t>
            </w:r>
          </w:p>
        </w:tc>
        <w:tc>
          <w:tcPr>
            <w:tcW w:w="18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3,687.0</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57.7</w:t>
            </w:r>
          </w:p>
        </w:tc>
        <w:tc>
          <w:tcPr>
            <w:tcW w:w="560" w:type="dxa"/>
            <w:vAlign w:val="bottom"/>
            <w:gridSpan w:val="2"/>
            <w:shd w:val="clear" w:color="auto" w:fill="CCEEFF"/>
          </w:tcPr>
          <w:p>
            <w:pPr>
              <w:jc w:val="right"/>
              <w:ind w:right="127"/>
              <w:spacing w:after="0"/>
              <w:rPr>
                <w:sz w:val="20"/>
                <w:szCs w:val="20"/>
                <w:color w:val="auto"/>
              </w:rPr>
            </w:pPr>
            <w:r>
              <w:rPr>
                <w:rFonts w:ascii="Arial" w:cs="Arial" w:eastAsia="Arial" w:hAnsi="Arial"/>
                <w:sz w:val="18"/>
                <w:szCs w:val="18"/>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77.6</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3,667.1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Finance — Insurance</w:t>
            </w:r>
          </w:p>
        </w:tc>
        <w:tc>
          <w:tcPr>
            <w:tcW w:w="1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3,019.5</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34.8</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71.2</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2,983.1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Finance — Other</w:t>
            </w:r>
          </w:p>
        </w:tc>
        <w:tc>
          <w:tcPr>
            <w:tcW w:w="1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4,388.2</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112.7</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93.9</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4,407.0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Industrial — Consumer</w:t>
            </w:r>
          </w:p>
        </w:tc>
        <w:tc>
          <w:tcPr>
            <w:tcW w:w="1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1,048.4</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19.9</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24.6</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1,043.7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Industrial — Energy</w:t>
            </w:r>
          </w:p>
        </w:tc>
        <w:tc>
          <w:tcPr>
            <w:tcW w:w="1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2,424.4</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104.9</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30.9</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2,498.4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Industrial — Manufacturing</w:t>
            </w:r>
          </w:p>
        </w:tc>
        <w:tc>
          <w:tcPr>
            <w:tcW w:w="1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5,098.7</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108.7</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94.9</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5,112.5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Industrial — Other</w:t>
            </w:r>
          </w:p>
        </w:tc>
        <w:tc>
          <w:tcPr>
            <w:tcW w:w="1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109.5</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0.9</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108.4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Industrial — Service</w:t>
            </w:r>
          </w:p>
        </w:tc>
        <w:tc>
          <w:tcPr>
            <w:tcW w:w="1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4,516.4</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106.7</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75.3</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4,547.8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Industrial — Transport</w:t>
            </w:r>
          </w:p>
        </w:tc>
        <w:tc>
          <w:tcPr>
            <w:tcW w:w="1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786.8</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33.6</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7.8</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812.6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Utility — Electric</w:t>
            </w:r>
          </w:p>
        </w:tc>
        <w:tc>
          <w:tcPr>
            <w:tcW w:w="1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2,289.1</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66.7</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38.4</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2,317.4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Utility — Other</w:t>
            </w:r>
          </w:p>
        </w:tc>
        <w:tc>
          <w:tcPr>
            <w:tcW w:w="1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41.3</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3.5</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44.8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Utility — Telecom</w:t>
            </w:r>
          </w:p>
        </w:tc>
        <w:tc>
          <w:tcPr>
            <w:tcW w:w="166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1,634.3</w:t>
            </w:r>
          </w:p>
        </w:tc>
        <w:tc>
          <w:tcPr>
            <w:tcW w:w="28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52.2</w:t>
            </w:r>
          </w:p>
        </w:tc>
        <w:tc>
          <w:tcPr>
            <w:tcW w:w="28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24.9</w:t>
            </w:r>
          </w:p>
        </w:tc>
        <w:tc>
          <w:tcPr>
            <w:tcW w:w="28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1,661.6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6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corporate securities</w:t>
            </w:r>
          </w:p>
        </w:tc>
        <w:tc>
          <w:tcPr>
            <w:tcW w:w="1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29,043.6</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702.3</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541.5</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29,204.4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U.S. Government and agencies</w:t>
            </w:r>
          </w:p>
        </w:tc>
        <w:tc>
          <w:tcPr>
            <w:tcW w:w="1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553.0</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0.5</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9.7</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543.8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States and political subdivisions</w:t>
            </w:r>
          </w:p>
        </w:tc>
        <w:tc>
          <w:tcPr>
            <w:tcW w:w="1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1,305.4</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29.7</w:t>
            </w: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13.4</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1,321.7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Non-U.S. governments</w:t>
            </w:r>
          </w:p>
        </w:tc>
        <w:tc>
          <w:tcPr>
            <w:tcW w:w="1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397.2</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29.1</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1.5</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424.8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Mortgage-backed and other asset-backed securities</w:t>
            </w:r>
          </w:p>
        </w:tc>
        <w:tc>
          <w:tcPr>
            <w:tcW w:w="16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8,866.7</w:t>
            </w:r>
          </w:p>
        </w:tc>
        <w:tc>
          <w:tcPr>
            <w:tcW w:w="2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169.6</w:t>
            </w:r>
          </w:p>
        </w:tc>
        <w:tc>
          <w:tcPr>
            <w:tcW w:w="28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189.0</w:t>
            </w:r>
          </w:p>
        </w:tc>
        <w:tc>
          <w:tcPr>
            <w:tcW w:w="2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8,847.3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660" w:type="dxa"/>
            <w:vAlign w:val="bottom"/>
          </w:tcPr>
          <w:p>
            <w:pPr>
              <w:ind w:left="180"/>
              <w:spacing w:after="0"/>
              <w:rPr>
                <w:sz w:val="20"/>
                <w:szCs w:val="20"/>
                <w:color w:val="auto"/>
              </w:rPr>
            </w:pPr>
            <w:r>
              <w:rPr>
                <w:rFonts w:ascii="Arial" w:cs="Arial" w:eastAsia="Arial" w:hAnsi="Arial"/>
                <w:sz w:val="18"/>
                <w:szCs w:val="18"/>
                <w:color w:val="auto"/>
              </w:rPr>
              <w:t>Total fixed maturity securities, available-for-sale</w:t>
            </w:r>
          </w:p>
        </w:tc>
        <w:tc>
          <w:tcPr>
            <w:tcW w:w="166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40,165.</w:t>
            </w:r>
            <w:r>
              <w:rPr>
                <w:rFonts w:ascii="Arial" w:cs="Arial" w:eastAsia="Arial" w:hAnsi="Arial"/>
                <w:sz w:val="18"/>
                <w:szCs w:val="18"/>
                <w:b w:val="1"/>
                <w:bCs w:val="1"/>
                <w:u w:val="single" w:color="auto"/>
                <w:color w:val="auto"/>
              </w:rPr>
              <w:t>9</w:t>
            </w:r>
          </w:p>
        </w:tc>
        <w:tc>
          <w:tcPr>
            <w:tcW w:w="28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931.2</w:t>
            </w:r>
          </w:p>
        </w:tc>
        <w:tc>
          <w:tcPr>
            <w:tcW w:w="280" w:type="dxa"/>
            <w:vAlign w:val="bottom"/>
          </w:tcPr>
          <w:p>
            <w:pPr>
              <w:spacing w:after="0"/>
              <w:rPr>
                <w:sz w:val="18"/>
                <w:szCs w:val="18"/>
                <w:color w:val="auto"/>
              </w:rPr>
            </w:pPr>
          </w:p>
        </w:tc>
        <w:tc>
          <w:tcPr>
            <w:tcW w:w="280" w:type="dxa"/>
            <w:vAlign w:val="bottom"/>
            <w:tcBorders>
              <w:bottom w:val="single" w:sz="8" w:color="auto"/>
            </w:tcBorders>
          </w:tcPr>
          <w:p>
            <w:pPr>
              <w:jc w:val="right"/>
              <w:ind w:right="127"/>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755.1</w:t>
            </w:r>
          </w:p>
        </w:tc>
        <w:tc>
          <w:tcPr>
            <w:tcW w:w="280" w:type="dxa"/>
            <w:vAlign w:val="bottom"/>
          </w:tcPr>
          <w:p>
            <w:pPr>
              <w:spacing w:after="0"/>
              <w:rPr>
                <w:sz w:val="18"/>
                <w:szCs w:val="18"/>
                <w:color w:val="auto"/>
              </w:rPr>
            </w:pPr>
          </w:p>
        </w:tc>
        <w:tc>
          <w:tcPr>
            <w:tcW w:w="16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40,342.0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660" w:type="dxa"/>
            <w:vAlign w:val="bottom"/>
          </w:tcPr>
          <w:p>
            <w:pPr>
              <w:spacing w:after="0" w:line="20" w:lineRule="exact"/>
              <w:rPr>
                <w:sz w:val="1"/>
                <w:szCs w:val="1"/>
                <w:color w:val="auto"/>
              </w:rPr>
            </w:pPr>
          </w:p>
        </w:tc>
        <w:tc>
          <w:tcPr>
            <w:tcW w:w="1660" w:type="dxa"/>
            <w:vAlign w:val="bottom"/>
            <w:vMerge w:val="restart"/>
          </w:tcPr>
          <w:p>
            <w:pPr>
              <w:jc w:val="right"/>
              <w:ind w:right="430"/>
              <w:spacing w:after="0"/>
              <w:rPr>
                <w:sz w:val="20"/>
                <w:szCs w:val="20"/>
                <w:color w:val="auto"/>
              </w:rPr>
            </w:pPr>
            <w:r>
              <w:rPr>
                <w:rFonts w:ascii="Arial" w:cs="Arial" w:eastAsia="Arial" w:hAnsi="Arial"/>
                <w:sz w:val="18"/>
                <w:szCs w:val="18"/>
                <w:color w:val="auto"/>
              </w:rPr>
              <w:t>74</w:t>
            </w: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4660" w:type="dxa"/>
            <w:vAlign w:val="bottom"/>
          </w:tcPr>
          <w:p>
            <w:pPr>
              <w:spacing w:after="0"/>
              <w:rPr>
                <w:sz w:val="24"/>
                <w:szCs w:val="24"/>
                <w:color w:val="auto"/>
              </w:rPr>
            </w:pPr>
          </w:p>
        </w:tc>
        <w:tc>
          <w:tcPr>
            <w:tcW w:w="1660" w:type="dxa"/>
            <w:vAlign w:val="bottom"/>
            <w:vMerge w:val="continue"/>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4660" w:type="dxa"/>
            <w:vAlign w:val="bottom"/>
            <w:tcBorders>
              <w:bottom w:val="single" w:sz="8" w:color="010101"/>
            </w:tcBorders>
          </w:tcPr>
          <w:p>
            <w:pPr>
              <w:spacing w:after="0"/>
              <w:rPr>
                <w:sz w:val="24"/>
                <w:szCs w:val="24"/>
                <w:color w:val="auto"/>
              </w:rPr>
            </w:pPr>
          </w:p>
        </w:tc>
        <w:tc>
          <w:tcPr>
            <w:tcW w:w="166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94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92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76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92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U.S. Invested Assets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Fixed Maturity Securities Available-for-Sale by Industry Category</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8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640" w:type="dxa"/>
            <w:vAlign w:val="bottom"/>
            <w:tcBorders>
              <w:bottom w:val="single" w:sz="8" w:color="auto"/>
            </w:tcBorders>
            <w:gridSpan w:val="5"/>
          </w:tcPr>
          <w:p>
            <w:pPr>
              <w:ind w:left="500"/>
              <w:spacing w:after="0"/>
              <w:rPr>
                <w:sz w:val="20"/>
                <w:szCs w:val="20"/>
                <w:color w:val="auto"/>
              </w:rPr>
            </w:pPr>
            <w:r>
              <w:rPr>
                <w:rFonts w:ascii="Arial" w:cs="Arial" w:eastAsia="Arial" w:hAnsi="Arial"/>
                <w:sz w:val="14"/>
                <w:szCs w:val="14"/>
                <w:b w:val="1"/>
                <w:bCs w:val="1"/>
                <w:color w:val="auto"/>
              </w:rPr>
              <w:t>December 31, 2005</w:t>
            </w:r>
          </w:p>
        </w:tc>
        <w:tc>
          <w:tcPr>
            <w:tcW w:w="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4880" w:type="dxa"/>
            <w:vAlign w:val="bottom"/>
          </w:tcPr>
          <w:p>
            <w:pPr>
              <w:spacing w:after="0"/>
              <w:rPr>
                <w:sz w:val="8"/>
                <w:szCs w:val="8"/>
                <w:color w:val="auto"/>
              </w:rPr>
            </w:pPr>
          </w:p>
        </w:tc>
        <w:tc>
          <w:tcPr>
            <w:tcW w:w="1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0" w:type="dxa"/>
            <w:vAlign w:val="bottom"/>
            <w:vMerge w:val="restart"/>
          </w:tcPr>
          <w:p>
            <w:pPr>
              <w:jc w:val="right"/>
              <w:ind w:right="172"/>
              <w:spacing w:after="0"/>
              <w:rPr>
                <w:sz w:val="20"/>
                <w:szCs w:val="20"/>
                <w:color w:val="auto"/>
              </w:rPr>
            </w:pPr>
            <w:r>
              <w:rPr>
                <w:rFonts w:ascii="Arial" w:cs="Arial" w:eastAsia="Arial" w:hAnsi="Arial"/>
                <w:sz w:val="14"/>
                <w:szCs w:val="14"/>
                <w:b w:val="1"/>
                <w:bCs w:val="1"/>
                <w:color w:val="auto"/>
              </w:rPr>
              <w:t>Amortized</w:t>
            </w:r>
          </w:p>
        </w:tc>
        <w:tc>
          <w:tcPr>
            <w:tcW w:w="2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40" w:type="dxa"/>
            <w:vAlign w:val="bottom"/>
            <w:gridSpan w:val="2"/>
          </w:tcPr>
          <w:p>
            <w:pPr>
              <w:jc w:val="center"/>
              <w:ind w:right="440"/>
              <w:spacing w:after="0" w:line="102" w:lineRule="exact"/>
              <w:rPr>
                <w:sz w:val="20"/>
                <w:szCs w:val="20"/>
                <w:color w:val="auto"/>
              </w:rPr>
            </w:pPr>
            <w:r>
              <w:rPr>
                <w:rFonts w:ascii="Arial" w:cs="Arial" w:eastAsia="Arial" w:hAnsi="Arial"/>
                <w:sz w:val="11"/>
                <w:szCs w:val="11"/>
                <w:b w:val="1"/>
                <w:bCs w:val="1"/>
                <w:color w:val="auto"/>
              </w:rPr>
              <w:t>Gross</w:t>
            </w:r>
          </w:p>
        </w:tc>
        <w:tc>
          <w:tcPr>
            <w:tcW w:w="220" w:type="dxa"/>
            <w:vAlign w:val="bottom"/>
          </w:tcPr>
          <w:p>
            <w:pPr>
              <w:spacing w:after="0"/>
              <w:rPr>
                <w:sz w:val="8"/>
                <w:szCs w:val="8"/>
                <w:color w:val="auto"/>
              </w:rPr>
            </w:pPr>
          </w:p>
        </w:tc>
        <w:tc>
          <w:tcPr>
            <w:tcW w:w="1180" w:type="dxa"/>
            <w:vAlign w:val="bottom"/>
            <w:gridSpan w:val="2"/>
          </w:tcPr>
          <w:p>
            <w:pPr>
              <w:jc w:val="center"/>
              <w:ind w:right="500"/>
              <w:spacing w:after="0" w:line="102" w:lineRule="exact"/>
              <w:rPr>
                <w:sz w:val="20"/>
                <w:szCs w:val="20"/>
                <w:color w:val="auto"/>
              </w:rPr>
            </w:pPr>
            <w:r>
              <w:rPr>
                <w:rFonts w:ascii="Arial" w:cs="Arial" w:eastAsia="Arial" w:hAnsi="Arial"/>
                <w:sz w:val="11"/>
                <w:szCs w:val="11"/>
                <w:b w:val="1"/>
                <w:bCs w:val="1"/>
                <w:color w:val="auto"/>
              </w:rPr>
              <w:t>Gross</w:t>
            </w: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9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rPr>
              <w:t>Carrying</w:t>
            </w:r>
          </w:p>
        </w:tc>
        <w:tc>
          <w:tcPr>
            <w:tcW w:w="0" w:type="dxa"/>
            <w:vAlign w:val="bottom"/>
          </w:tcPr>
          <w:p>
            <w:pPr>
              <w:spacing w:after="0"/>
              <w:rPr>
                <w:sz w:val="1"/>
                <w:szCs w:val="1"/>
                <w:color w:val="auto"/>
              </w:rPr>
            </w:pPr>
          </w:p>
        </w:tc>
      </w:tr>
      <w:tr>
        <w:trPr>
          <w:trHeight w:val="135"/>
        </w:trPr>
        <w:tc>
          <w:tcPr>
            <w:tcW w:w="48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0" w:type="dxa"/>
            <w:vAlign w:val="bottom"/>
            <w:vMerge w:val="continue"/>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5"/>
              </w:rPr>
              <w:t>Unrealized</w:t>
            </w:r>
          </w:p>
        </w:tc>
        <w:tc>
          <w:tcPr>
            <w:tcW w:w="220" w:type="dxa"/>
            <w:vAlign w:val="bottom"/>
          </w:tcPr>
          <w:p>
            <w:pPr>
              <w:spacing w:after="0"/>
              <w:rPr>
                <w:sz w:val="11"/>
                <w:szCs w:val="11"/>
                <w:color w:val="auto"/>
              </w:rPr>
            </w:pPr>
          </w:p>
        </w:tc>
        <w:tc>
          <w:tcPr>
            <w:tcW w:w="1180" w:type="dxa"/>
            <w:vAlign w:val="bottom"/>
            <w:gridSpan w:val="2"/>
          </w:tcPr>
          <w:p>
            <w:pPr>
              <w:jc w:val="center"/>
              <w:ind w:right="520"/>
              <w:spacing w:after="0" w:line="135" w:lineRule="exact"/>
              <w:rPr>
                <w:sz w:val="20"/>
                <w:szCs w:val="20"/>
                <w:color w:val="auto"/>
              </w:rPr>
            </w:pPr>
            <w:r>
              <w:rPr>
                <w:rFonts w:ascii="Arial" w:cs="Arial" w:eastAsia="Arial" w:hAnsi="Arial"/>
                <w:sz w:val="14"/>
                <w:szCs w:val="14"/>
                <w:b w:val="1"/>
                <w:bCs w:val="1"/>
                <w:color w:val="auto"/>
                <w:w w:val="93"/>
              </w:rPr>
              <w:t>Unrealized</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48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jc w:val="right"/>
              <w:ind w:right="352"/>
              <w:spacing w:after="0"/>
              <w:rPr>
                <w:sz w:val="20"/>
                <w:szCs w:val="20"/>
                <w:color w:val="auto"/>
              </w:rPr>
            </w:pPr>
            <w:r>
              <w:rPr>
                <w:rFonts w:ascii="Arial" w:cs="Arial" w:eastAsia="Arial" w:hAnsi="Arial"/>
                <w:sz w:val="14"/>
                <w:szCs w:val="14"/>
                <w:b w:val="1"/>
                <w:bCs w:val="1"/>
                <w:color w:val="auto"/>
              </w:rPr>
              <w:t>Cost</w:t>
            </w: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4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2"/>
              </w:rPr>
              <w:t>Gains</w:t>
            </w:r>
          </w:p>
        </w:tc>
        <w:tc>
          <w:tcPr>
            <w:tcW w:w="220" w:type="dxa"/>
            <w:vAlign w:val="bottom"/>
          </w:tcPr>
          <w:p>
            <w:pPr>
              <w:spacing w:after="0"/>
              <w:rPr>
                <w:sz w:val="14"/>
                <w:szCs w:val="14"/>
                <w:color w:val="auto"/>
              </w:rPr>
            </w:pPr>
          </w:p>
        </w:tc>
        <w:tc>
          <w:tcPr>
            <w:tcW w:w="118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82"/>
              </w:rPr>
              <w:t>Losses</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129"/>
        </w:trPr>
        <w:tc>
          <w:tcPr>
            <w:tcW w:w="48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460" w:type="dxa"/>
            <w:vAlign w:val="bottom"/>
            <w:tcBorders>
              <w:top w:val="single" w:sz="8" w:color="auto"/>
            </w:tcBorders>
            <w:gridSpan w:val="3"/>
          </w:tcPr>
          <w:p>
            <w:pPr>
              <w:jc w:val="right"/>
              <w:spacing w:after="0" w:line="129" w:lineRule="exact"/>
              <w:rPr>
                <w:sz w:val="20"/>
                <w:szCs w:val="20"/>
                <w:color w:val="auto"/>
              </w:rPr>
            </w:pPr>
            <w:r>
              <w:rPr>
                <w:rFonts w:ascii="Arial" w:cs="Arial" w:eastAsia="Arial" w:hAnsi="Arial"/>
                <w:sz w:val="14"/>
                <w:szCs w:val="14"/>
                <w:b w:val="1"/>
                <w:bCs w:val="1"/>
                <w:color w:val="auto"/>
              </w:rPr>
              <w:t>(in millions)</w:t>
            </w:r>
          </w:p>
        </w:tc>
        <w:tc>
          <w:tcPr>
            <w:tcW w:w="90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Finance — Bank</w:t>
            </w:r>
          </w:p>
        </w:tc>
        <w:tc>
          <w:tcPr>
            <w:tcW w:w="1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3,354.9</w:t>
            </w:r>
          </w:p>
        </w:tc>
        <w:tc>
          <w:tcPr>
            <w:tcW w:w="44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110.6</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w:t>
            </w:r>
          </w:p>
        </w:tc>
        <w:tc>
          <w:tcPr>
            <w:tcW w:w="2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50"/>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3,451.0</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tcPr>
          <w:p>
            <w:pPr>
              <w:spacing w:after="0"/>
              <w:rPr>
                <w:sz w:val="20"/>
                <w:szCs w:val="20"/>
                <w:color w:val="auto"/>
              </w:rPr>
            </w:pPr>
            <w:r>
              <w:rPr>
                <w:rFonts w:ascii="Arial" w:cs="Arial" w:eastAsia="Arial" w:hAnsi="Arial"/>
                <w:sz w:val="18"/>
                <w:szCs w:val="18"/>
                <w:color w:val="auto"/>
              </w:rPr>
              <w:t>Finance — Insurance</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2,915.0</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111.3</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16.0</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3,010.3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Finance — Other</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3,932.5</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181.5</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23.9</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4,090.1</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tcPr>
          <w:p>
            <w:pPr>
              <w:spacing w:after="0"/>
              <w:rPr>
                <w:sz w:val="20"/>
                <w:szCs w:val="20"/>
                <w:color w:val="auto"/>
              </w:rPr>
            </w:pPr>
            <w:r>
              <w:rPr>
                <w:rFonts w:ascii="Arial" w:cs="Arial" w:eastAsia="Arial" w:hAnsi="Arial"/>
                <w:sz w:val="18"/>
                <w:szCs w:val="18"/>
                <w:color w:val="auto"/>
              </w:rPr>
              <w:t>Industrial — Consumer</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1,038.0</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36.5</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7.3</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1,067.2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Industrial — Energy</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2,506.5</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220.2</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2,718.4</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tcPr>
          <w:p>
            <w:pPr>
              <w:spacing w:after="0"/>
              <w:rPr>
                <w:sz w:val="20"/>
                <w:szCs w:val="20"/>
                <w:color w:val="auto"/>
              </w:rPr>
            </w:pPr>
            <w:r>
              <w:rPr>
                <w:rFonts w:ascii="Arial" w:cs="Arial" w:eastAsia="Arial" w:hAnsi="Arial"/>
                <w:sz w:val="18"/>
                <w:szCs w:val="18"/>
                <w:color w:val="auto"/>
              </w:rPr>
              <w:t>Industrial — Manufacturing</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5,060.9</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201.4</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39.0</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5,223.3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Industrial — Other</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104.4</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106.4</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tcPr>
          <w:p>
            <w:pPr>
              <w:spacing w:after="0"/>
              <w:rPr>
                <w:sz w:val="20"/>
                <w:szCs w:val="20"/>
                <w:color w:val="auto"/>
              </w:rPr>
            </w:pPr>
            <w:r>
              <w:rPr>
                <w:rFonts w:ascii="Arial" w:cs="Arial" w:eastAsia="Arial" w:hAnsi="Arial"/>
                <w:sz w:val="18"/>
                <w:szCs w:val="18"/>
                <w:color w:val="auto"/>
              </w:rPr>
              <w:t>Industrial — Service</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4,369.6</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204.4</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25.3</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4,548.7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Industrial — Transport</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795.1</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57.0</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848.6</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tcPr>
          <w:p>
            <w:pPr>
              <w:spacing w:after="0"/>
              <w:rPr>
                <w:sz w:val="20"/>
                <w:szCs w:val="20"/>
                <w:color w:val="auto"/>
              </w:rPr>
            </w:pPr>
            <w:r>
              <w:rPr>
                <w:rFonts w:ascii="Arial" w:cs="Arial" w:eastAsia="Arial" w:hAnsi="Arial"/>
                <w:sz w:val="18"/>
                <w:szCs w:val="18"/>
                <w:color w:val="auto"/>
              </w:rPr>
              <w:t>Utility — Electric</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2,455.3</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123.8</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10.5</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2,568.6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Utility — Other</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41.2</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47.9</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Utility — Telecom</w:t>
            </w:r>
          </w:p>
        </w:tc>
        <w:tc>
          <w:tcPr>
            <w:tcW w:w="116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1,701.8</w:t>
            </w:r>
          </w:p>
        </w:tc>
        <w:tc>
          <w:tcPr>
            <w:tcW w:w="28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118.6</w:t>
            </w:r>
          </w:p>
        </w:tc>
        <w:tc>
          <w:tcPr>
            <w:tcW w:w="26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w:t>
            </w:r>
          </w:p>
        </w:tc>
        <w:tc>
          <w:tcPr>
            <w:tcW w:w="2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1,811.8</w:t>
            </w:r>
          </w:p>
        </w:tc>
        <w:tc>
          <w:tcPr>
            <w:tcW w:w="2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8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corporate securities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28,275.2</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1,374.3</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157.2</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29,492.3</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tcPr>
          <w:p>
            <w:pPr>
              <w:spacing w:after="0"/>
              <w:rPr>
                <w:sz w:val="20"/>
                <w:szCs w:val="20"/>
                <w:color w:val="auto"/>
              </w:rPr>
            </w:pPr>
            <w:r>
              <w:rPr>
                <w:rFonts w:ascii="Arial" w:cs="Arial" w:eastAsia="Arial" w:hAnsi="Arial"/>
                <w:sz w:val="18"/>
                <w:szCs w:val="18"/>
                <w:color w:val="auto"/>
              </w:rPr>
              <w:t>U.S. Government and agencies</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557.9</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1.8</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4.2</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555.5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States and political subdivisions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1,222.6</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45.7</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1,264.5</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tcPr>
          <w:p>
            <w:pPr>
              <w:spacing w:after="0"/>
              <w:rPr>
                <w:sz w:val="20"/>
                <w:szCs w:val="20"/>
                <w:color w:val="auto"/>
              </w:rPr>
            </w:pPr>
            <w:r>
              <w:rPr>
                <w:rFonts w:ascii="Arial" w:cs="Arial" w:eastAsia="Arial" w:hAnsi="Arial"/>
                <w:sz w:val="18"/>
                <w:szCs w:val="18"/>
                <w:color w:val="auto"/>
              </w:rPr>
              <w:t>Non-U.S. governments</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416.2</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47.2</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0.4</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463.0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Mortgage-backed and other asset-backed securities</w:t>
            </w:r>
          </w:p>
        </w:tc>
        <w:tc>
          <w:tcPr>
            <w:tcW w:w="1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8,045.5</w:t>
            </w:r>
          </w:p>
        </w:tc>
        <w:tc>
          <w:tcPr>
            <w:tcW w:w="2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267.8</w:t>
            </w:r>
          </w:p>
        </w:tc>
        <w:tc>
          <w:tcPr>
            <w:tcW w:w="26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77.9</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8,235.4</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880" w:type="dxa"/>
            <w:vAlign w:val="bottom"/>
          </w:tcPr>
          <w:p>
            <w:pPr>
              <w:ind w:left="180"/>
              <w:spacing w:after="0"/>
              <w:rPr>
                <w:sz w:val="20"/>
                <w:szCs w:val="20"/>
                <w:color w:val="auto"/>
              </w:rPr>
            </w:pPr>
            <w:r>
              <w:rPr>
                <w:rFonts w:ascii="Arial" w:cs="Arial" w:eastAsia="Arial" w:hAnsi="Arial"/>
                <w:sz w:val="18"/>
                <w:szCs w:val="18"/>
                <w:color w:val="auto"/>
              </w:rPr>
              <w:t>Total fixed maturity securities, available-for-sale</w:t>
            </w:r>
          </w:p>
        </w:tc>
        <w:tc>
          <w:tcPr>
            <w:tcW w:w="116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38,517.4</w:t>
            </w:r>
          </w:p>
        </w:tc>
        <w:tc>
          <w:tcPr>
            <w:tcW w:w="280" w:type="dxa"/>
            <w:vAlign w:val="bottom"/>
          </w:tcPr>
          <w:p>
            <w:pPr>
              <w:spacing w:after="0"/>
              <w:rPr>
                <w:sz w:val="18"/>
                <w:szCs w:val="18"/>
                <w:color w:val="auto"/>
              </w:rPr>
            </w:pPr>
          </w:p>
        </w:tc>
        <w:tc>
          <w:tcPr>
            <w:tcW w:w="16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1,736.8</w:t>
            </w:r>
          </w:p>
        </w:tc>
        <w:tc>
          <w:tcPr>
            <w:tcW w:w="260" w:type="dxa"/>
            <w:vAlign w:val="bottom"/>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243.5</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jc w:val="right"/>
              <w:ind w:right="50"/>
              <w:spacing w:after="0"/>
              <w:rPr>
                <w:sz w:val="20"/>
                <w:szCs w:val="20"/>
                <w:color w:val="auto"/>
              </w:rPr>
            </w:pPr>
            <w:r>
              <w:rPr>
                <w:rFonts w:ascii="Arial" w:cs="Arial" w:eastAsia="Arial" w:hAnsi="Arial"/>
                <w:sz w:val="10"/>
                <w:szCs w:val="10"/>
                <w:color w:val="auto"/>
                <w:w w:val="71"/>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40,010.7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ind w:right="120" w:firstLine="648"/>
        <w:spacing w:after="0" w:line="271" w:lineRule="auto"/>
        <w:rPr>
          <w:sz w:val="20"/>
          <w:szCs w:val="20"/>
          <w:color w:val="auto"/>
        </w:rPr>
      </w:pPr>
      <w:r>
        <w:rPr>
          <w:rFonts w:ascii="Arial" w:cs="Arial" w:eastAsia="Arial" w:hAnsi="Arial"/>
          <w:sz w:val="17"/>
          <w:szCs w:val="17"/>
          <w:color w:val="auto"/>
        </w:rPr>
        <w:t>The total unrealized losses on our fixed maturity securities available-for-sale were $755.1 million and $243.5 million as of June 30, 2006 and December 31, 2005, respectively. Of the $755.1 million in gross unrealized losses as of June 30, 2006, there were $5.3 million in losses attributed to securities scheduled to mature in one year or less, $128.8 million is attributed to securities scheduled to mature between one to five years, $244.0 million is attributed to securities scheduled to mature between five to ten years, $188.0 million is attributed to securities scheduled to mature after ten years, and $189.0 million is related to mortgage-backed and other asset-backed securities. The gross unrealized losses as of June 30, 2006 were concentrated primarily in the Mortgage-backed and other asset-backed securities, Industrial — Manufacturing, Financial — Other, Financial — Bank, and Industrial — Services sectors. The gross unrealized losses as of December 31, 2005 were concentrated primarily in the Mortgage-backed and other asset-backed securities, Industrial — Manufacturing, Industrial — Services, and Financial — Other sectors.</w:t>
      </w:r>
    </w:p>
    <w:p>
      <w:pPr>
        <w:sectPr>
          <w:pgSz w:w="11900" w:h="16838" w:orient="portrait"/>
          <w:cols w:equalWidth="0" w:num="1">
            <w:col w:w="11460"/>
          </w:cols>
          <w:pgMar w:left="240" w:top="125" w:right="199" w:bottom="0" w:gutter="0" w:footer="0" w:header="0"/>
        </w:sectPr>
      </w:pPr>
    </w:p>
    <w:bookmarkStart w:id="52" w:name="page53"/>
    <w:bookmarkEnd w:id="52"/>
    <w:p>
      <w:pPr>
        <w:ind w:right="280" w:firstLine="648"/>
        <w:spacing w:after="0" w:line="277" w:lineRule="auto"/>
        <w:rPr>
          <w:sz w:val="20"/>
          <w:szCs w:val="20"/>
          <w:color w:val="auto"/>
        </w:rPr>
      </w:pPr>
      <w:r>
        <w:rPr>
          <w:rFonts w:ascii="Arial" w:cs="Arial" w:eastAsia="Arial" w:hAnsi="Arial"/>
          <w:sz w:val="18"/>
          <w:szCs w:val="18"/>
          <w:color w:val="auto"/>
        </w:rPr>
        <w:t>The following tables present our fixed maturity securities available-for-sale by investment grade and below investment grade and the associated gross unrealized gains and losses as of June 30, 2006, and December 31, 2005.</w:t>
      </w:r>
    </w:p>
    <w:p>
      <w:pPr>
        <w:spacing w:after="0" w:line="16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U.S. Invested Assets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Fixed Maturity Securities Available-for-Sale by Quality</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5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360" w:type="dxa"/>
            <w:vAlign w:val="bottom"/>
            <w:tcBorders>
              <w:bottom w:val="single" w:sz="8" w:color="auto"/>
            </w:tcBorders>
            <w:gridSpan w:val="4"/>
          </w:tcPr>
          <w:p>
            <w:pPr>
              <w:jc w:val="right"/>
              <w:ind w:right="779"/>
              <w:spacing w:after="0"/>
              <w:rPr>
                <w:sz w:val="20"/>
                <w:szCs w:val="20"/>
                <w:color w:val="auto"/>
              </w:rPr>
            </w:pPr>
            <w:r>
              <w:rPr>
                <w:rFonts w:ascii="Arial" w:cs="Arial" w:eastAsia="Arial" w:hAnsi="Arial"/>
                <w:sz w:val="14"/>
                <w:szCs w:val="14"/>
                <w:b w:val="1"/>
                <w:bCs w:val="1"/>
                <w:color w:val="auto"/>
              </w:rPr>
              <w:t>June 30, 2006</w:t>
            </w:r>
          </w:p>
        </w:tc>
        <w:tc>
          <w:tcPr>
            <w:tcW w:w="2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4560" w:type="dxa"/>
            <w:vAlign w:val="bottom"/>
          </w:tcPr>
          <w:p>
            <w:pPr>
              <w:spacing w:after="0"/>
              <w:rPr>
                <w:sz w:val="8"/>
                <w:szCs w:val="8"/>
                <w:color w:val="auto"/>
              </w:rPr>
            </w:pPr>
          </w:p>
        </w:tc>
        <w:tc>
          <w:tcPr>
            <w:tcW w:w="15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60" w:type="dxa"/>
            <w:vAlign w:val="bottom"/>
            <w:gridSpan w:val="2"/>
            <w:vMerge w:val="restart"/>
          </w:tcPr>
          <w:p>
            <w:pPr>
              <w:jc w:val="center"/>
              <w:ind w:right="440"/>
              <w:spacing w:after="0"/>
              <w:rPr>
                <w:sz w:val="20"/>
                <w:szCs w:val="20"/>
                <w:color w:val="auto"/>
              </w:rPr>
            </w:pPr>
            <w:r>
              <w:rPr>
                <w:rFonts w:ascii="Arial" w:cs="Arial" w:eastAsia="Arial" w:hAnsi="Arial"/>
                <w:sz w:val="14"/>
                <w:szCs w:val="14"/>
                <w:b w:val="1"/>
                <w:bCs w:val="1"/>
                <w:color w:val="auto"/>
                <w:w w:val="96"/>
              </w:rPr>
              <w:t>Amortized</w:t>
            </w:r>
          </w:p>
        </w:tc>
        <w:tc>
          <w:tcPr>
            <w:tcW w:w="160" w:type="dxa"/>
            <w:vAlign w:val="bottom"/>
          </w:tcPr>
          <w:p>
            <w:pPr>
              <w:spacing w:after="0"/>
              <w:rPr>
                <w:sz w:val="8"/>
                <w:szCs w:val="8"/>
                <w:color w:val="auto"/>
              </w:rPr>
            </w:pPr>
          </w:p>
        </w:tc>
        <w:tc>
          <w:tcPr>
            <w:tcW w:w="1240" w:type="dxa"/>
            <w:vAlign w:val="bottom"/>
            <w:gridSpan w:val="2"/>
          </w:tcPr>
          <w:p>
            <w:pPr>
              <w:jc w:val="center"/>
              <w:ind w:right="440"/>
              <w:spacing w:after="0" w:line="102" w:lineRule="exact"/>
              <w:rPr>
                <w:sz w:val="20"/>
                <w:szCs w:val="20"/>
                <w:color w:val="auto"/>
              </w:rPr>
            </w:pPr>
            <w:r>
              <w:rPr>
                <w:rFonts w:ascii="Arial" w:cs="Arial" w:eastAsia="Arial" w:hAnsi="Arial"/>
                <w:sz w:val="11"/>
                <w:szCs w:val="11"/>
                <w:b w:val="1"/>
                <w:bCs w:val="1"/>
                <w:color w:val="auto"/>
              </w:rPr>
              <w:t>Gross</w:t>
            </w:r>
          </w:p>
        </w:tc>
        <w:tc>
          <w:tcPr>
            <w:tcW w:w="220" w:type="dxa"/>
            <w:vAlign w:val="bottom"/>
          </w:tcPr>
          <w:p>
            <w:pPr>
              <w:spacing w:after="0"/>
              <w:rPr>
                <w:sz w:val="8"/>
                <w:szCs w:val="8"/>
                <w:color w:val="auto"/>
              </w:rPr>
            </w:pPr>
          </w:p>
        </w:tc>
        <w:tc>
          <w:tcPr>
            <w:tcW w:w="900" w:type="dxa"/>
            <w:vAlign w:val="bottom"/>
          </w:tcPr>
          <w:p>
            <w:pPr>
              <w:jc w:val="center"/>
              <w:ind w:right="139"/>
              <w:spacing w:after="0" w:line="102" w:lineRule="exact"/>
              <w:rPr>
                <w:sz w:val="20"/>
                <w:szCs w:val="20"/>
                <w:color w:val="auto"/>
              </w:rPr>
            </w:pPr>
            <w:r>
              <w:rPr>
                <w:rFonts w:ascii="Arial" w:cs="Arial" w:eastAsia="Arial" w:hAnsi="Arial"/>
                <w:sz w:val="11"/>
                <w:szCs w:val="11"/>
                <w:b w:val="1"/>
                <w:bCs w:val="1"/>
                <w:color w:val="auto"/>
              </w:rPr>
              <w:t>Gross</w:t>
            </w:r>
          </w:p>
        </w:tc>
        <w:tc>
          <w:tcPr>
            <w:tcW w:w="280" w:type="dxa"/>
            <w:vAlign w:val="bottom"/>
          </w:tcPr>
          <w:p>
            <w:pPr>
              <w:spacing w:after="0"/>
              <w:rPr>
                <w:sz w:val="8"/>
                <w:szCs w:val="8"/>
                <w:color w:val="auto"/>
              </w:rPr>
            </w:pPr>
          </w:p>
        </w:tc>
        <w:tc>
          <w:tcPr>
            <w:tcW w:w="180" w:type="dxa"/>
            <w:vAlign w:val="bottom"/>
          </w:tcPr>
          <w:p>
            <w:pPr>
              <w:spacing w:after="0"/>
              <w:rPr>
                <w:sz w:val="8"/>
                <w:szCs w:val="8"/>
                <w:color w:val="auto"/>
              </w:rPr>
            </w:pPr>
          </w:p>
        </w:tc>
        <w:tc>
          <w:tcPr>
            <w:tcW w:w="960" w:type="dxa"/>
            <w:vAlign w:val="bottom"/>
            <w:vMerge w:val="restart"/>
          </w:tcPr>
          <w:p>
            <w:pPr>
              <w:jc w:val="right"/>
              <w:ind w:right="215"/>
              <w:spacing w:after="0"/>
              <w:rPr>
                <w:sz w:val="20"/>
                <w:szCs w:val="20"/>
                <w:color w:val="auto"/>
              </w:rPr>
            </w:pPr>
            <w:r>
              <w:rPr>
                <w:rFonts w:ascii="Arial" w:cs="Arial" w:eastAsia="Arial" w:hAnsi="Arial"/>
                <w:sz w:val="14"/>
                <w:szCs w:val="14"/>
                <w:b w:val="1"/>
                <w:bCs w:val="1"/>
                <w:color w:val="auto"/>
              </w:rPr>
              <w:t>Carrying</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456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5"/>
              </w:rPr>
              <w:t>Unrealized</w:t>
            </w:r>
          </w:p>
        </w:tc>
        <w:tc>
          <w:tcPr>
            <w:tcW w:w="220" w:type="dxa"/>
            <w:vAlign w:val="bottom"/>
          </w:tcPr>
          <w:p>
            <w:pPr>
              <w:spacing w:after="0"/>
              <w:rPr>
                <w:sz w:val="11"/>
                <w:szCs w:val="11"/>
                <w:color w:val="auto"/>
              </w:rPr>
            </w:pPr>
          </w:p>
        </w:tc>
        <w:tc>
          <w:tcPr>
            <w:tcW w:w="900" w:type="dxa"/>
            <w:vAlign w:val="bottom"/>
          </w:tcPr>
          <w:p>
            <w:pPr>
              <w:jc w:val="center"/>
              <w:ind w:right="159"/>
              <w:spacing w:after="0" w:line="135" w:lineRule="exact"/>
              <w:rPr>
                <w:sz w:val="20"/>
                <w:szCs w:val="20"/>
                <w:color w:val="auto"/>
              </w:rPr>
            </w:pPr>
            <w:r>
              <w:rPr>
                <w:rFonts w:ascii="Arial" w:cs="Arial" w:eastAsia="Arial" w:hAnsi="Arial"/>
                <w:sz w:val="14"/>
                <w:szCs w:val="14"/>
                <w:b w:val="1"/>
                <w:bCs w:val="1"/>
                <w:color w:val="auto"/>
                <w:w w:val="93"/>
              </w:rPr>
              <w:t>Unrealized</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6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45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6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89"/>
              </w:rPr>
              <w:t>Cost</w:t>
            </w:r>
          </w:p>
        </w:tc>
        <w:tc>
          <w:tcPr>
            <w:tcW w:w="160" w:type="dxa"/>
            <w:vAlign w:val="bottom"/>
          </w:tcPr>
          <w:p>
            <w:pPr>
              <w:spacing w:after="0"/>
              <w:rPr>
                <w:sz w:val="14"/>
                <w:szCs w:val="14"/>
                <w:color w:val="auto"/>
              </w:rPr>
            </w:pPr>
          </w:p>
        </w:tc>
        <w:tc>
          <w:tcPr>
            <w:tcW w:w="124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2"/>
              </w:rPr>
              <w:t>Gains</w:t>
            </w:r>
          </w:p>
        </w:tc>
        <w:tc>
          <w:tcPr>
            <w:tcW w:w="220" w:type="dxa"/>
            <w:vAlign w:val="bottom"/>
          </w:tcPr>
          <w:p>
            <w:pPr>
              <w:spacing w:after="0"/>
              <w:rPr>
                <w:sz w:val="14"/>
                <w:szCs w:val="14"/>
                <w:color w:val="auto"/>
              </w:rPr>
            </w:pPr>
          </w:p>
        </w:tc>
        <w:tc>
          <w:tcPr>
            <w:tcW w:w="900" w:type="dxa"/>
            <w:vAlign w:val="bottom"/>
          </w:tcPr>
          <w:p>
            <w:pPr>
              <w:jc w:val="center"/>
              <w:ind w:right="139"/>
              <w:spacing w:after="0"/>
              <w:rPr>
                <w:sz w:val="20"/>
                <w:szCs w:val="20"/>
                <w:color w:val="auto"/>
              </w:rPr>
            </w:pPr>
            <w:r>
              <w:rPr>
                <w:rFonts w:ascii="Arial" w:cs="Arial" w:eastAsia="Arial" w:hAnsi="Arial"/>
                <w:sz w:val="14"/>
                <w:szCs w:val="14"/>
                <w:b w:val="1"/>
                <w:bCs w:val="1"/>
                <w:color w:val="auto"/>
                <w:w w:val="82"/>
              </w:rPr>
              <w:t>Losses</w:t>
            </w: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60" w:type="dxa"/>
            <w:vAlign w:val="bottom"/>
          </w:tcPr>
          <w:p>
            <w:pPr>
              <w:jc w:val="right"/>
              <w:ind w:right="255"/>
              <w:spacing w:after="0"/>
              <w:rPr>
                <w:sz w:val="20"/>
                <w:szCs w:val="20"/>
                <w:color w:val="auto"/>
              </w:rPr>
            </w:pPr>
            <w:r>
              <w:rPr>
                <w:rFonts w:ascii="Arial" w:cs="Arial" w:eastAsia="Arial" w:hAnsi="Arial"/>
                <w:sz w:val="14"/>
                <w:szCs w:val="14"/>
                <w:b w:val="1"/>
                <w:bCs w:val="1"/>
                <w:color w:val="auto"/>
              </w:rPr>
              <w:t>Amount</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456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460" w:type="dxa"/>
            <w:vAlign w:val="bottom"/>
            <w:tcBorders>
              <w:top w:val="single" w:sz="8" w:color="auto"/>
            </w:tcBorders>
            <w:gridSpan w:val="3"/>
          </w:tcPr>
          <w:p>
            <w:pPr>
              <w:jc w:val="right"/>
              <w:spacing w:after="0" w:line="129" w:lineRule="exact"/>
              <w:rPr>
                <w:sz w:val="20"/>
                <w:szCs w:val="20"/>
                <w:color w:val="auto"/>
              </w:rPr>
            </w:pPr>
            <w:r>
              <w:rPr>
                <w:rFonts w:ascii="Arial" w:cs="Arial" w:eastAsia="Arial" w:hAnsi="Arial"/>
                <w:sz w:val="14"/>
                <w:szCs w:val="14"/>
                <w:b w:val="1"/>
                <w:bCs w:val="1"/>
                <w:color w:val="auto"/>
              </w:rPr>
              <w:t>(in millions)</w:t>
            </w:r>
          </w:p>
        </w:tc>
        <w:tc>
          <w:tcPr>
            <w:tcW w:w="90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Investment Grade:</w:t>
            </w:r>
          </w:p>
        </w:tc>
        <w:tc>
          <w:tcPr>
            <w:tcW w:w="1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60" w:type="dxa"/>
            <w:vAlign w:val="bottom"/>
          </w:tcPr>
          <w:p>
            <w:pPr>
              <w:ind w:left="180"/>
              <w:spacing w:after="0"/>
              <w:rPr>
                <w:sz w:val="20"/>
                <w:szCs w:val="20"/>
                <w:color w:val="auto"/>
              </w:rPr>
            </w:pPr>
            <w:r>
              <w:rPr>
                <w:rFonts w:ascii="Arial" w:cs="Arial" w:eastAsia="Arial" w:hAnsi="Arial"/>
                <w:sz w:val="18"/>
                <w:szCs w:val="18"/>
                <w:color w:val="auto"/>
              </w:rPr>
              <w:t>Public</w:t>
            </w:r>
          </w:p>
        </w:tc>
        <w:tc>
          <w:tcPr>
            <w:tcW w:w="1660" w:type="dxa"/>
            <w:vAlign w:val="bottom"/>
            <w:gridSpan w:val="2"/>
          </w:tcPr>
          <w:p>
            <w:pPr>
              <w:jc w:val="right"/>
              <w:ind w:right="5"/>
              <w:spacing w:after="0"/>
              <w:rPr>
                <w:sz w:val="20"/>
                <w:szCs w:val="20"/>
                <w:color w:val="auto"/>
              </w:rPr>
            </w:pPr>
            <w:r>
              <w:rPr>
                <w:rFonts w:ascii="Arial" w:cs="Arial" w:eastAsia="Arial" w:hAnsi="Arial"/>
                <w:sz w:val="18"/>
                <w:szCs w:val="18"/>
                <w:b w:val="1"/>
                <w:bCs w:val="1"/>
                <w:color w:val="auto"/>
              </w:rPr>
              <w:t>$</w:t>
            </w: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26,470.0</w:t>
            </w:r>
          </w:p>
        </w:tc>
        <w:tc>
          <w:tcPr>
            <w:tcW w:w="2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519.0</w:t>
            </w:r>
          </w:p>
        </w:tc>
        <w:tc>
          <w:tcPr>
            <w:tcW w:w="260" w:type="dxa"/>
            <w:vAlign w:val="bottom"/>
          </w:tcPr>
          <w:p>
            <w:pPr>
              <w:spacing w:after="0"/>
              <w:rPr>
                <w:sz w:val="18"/>
                <w:szCs w:val="18"/>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491.2</w:t>
            </w:r>
          </w:p>
        </w:tc>
        <w:tc>
          <w:tcPr>
            <w:tcW w:w="460" w:type="dxa"/>
            <w:vAlign w:val="bottom"/>
            <w:gridSpan w:val="2"/>
          </w:tcPr>
          <w:p>
            <w:pPr>
              <w:jc w:val="right"/>
              <w:ind w:right="25"/>
              <w:spacing w:after="0"/>
              <w:rPr>
                <w:sz w:val="20"/>
                <w:szCs w:val="20"/>
                <w:color w:val="auto"/>
              </w:rPr>
            </w:pPr>
            <w:r>
              <w:rPr>
                <w:rFonts w:ascii="Arial" w:cs="Arial" w:eastAsia="Arial" w:hAnsi="Arial"/>
                <w:sz w:val="18"/>
                <w:szCs w:val="18"/>
                <w:b w:val="1"/>
                <w:bCs w:val="1"/>
                <w:color w:val="auto"/>
              </w:rPr>
              <w:t>$</w:t>
            </w: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26,497.8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Private</w:t>
            </w:r>
          </w:p>
        </w:tc>
        <w:tc>
          <w:tcPr>
            <w:tcW w:w="1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11,737.8</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337.2</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233.9</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11,841.1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60" w:type="dxa"/>
            <w:vAlign w:val="bottom"/>
          </w:tcPr>
          <w:p>
            <w:pPr>
              <w:spacing w:after="0"/>
              <w:rPr>
                <w:sz w:val="20"/>
                <w:szCs w:val="20"/>
                <w:color w:val="auto"/>
              </w:rPr>
            </w:pPr>
            <w:r>
              <w:rPr>
                <w:rFonts w:ascii="Arial" w:cs="Arial" w:eastAsia="Arial" w:hAnsi="Arial"/>
                <w:sz w:val="18"/>
                <w:szCs w:val="18"/>
                <w:color w:val="auto"/>
              </w:rPr>
              <w:t>Below Investment Grade:</w:t>
            </w:r>
          </w:p>
        </w:tc>
        <w:tc>
          <w:tcPr>
            <w:tcW w:w="1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Public</w:t>
            </w:r>
          </w:p>
        </w:tc>
        <w:tc>
          <w:tcPr>
            <w:tcW w:w="1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1,101.1</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31.7</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15.9</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1,116.9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6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Private</w:t>
            </w:r>
          </w:p>
        </w:tc>
        <w:tc>
          <w:tcPr>
            <w:tcW w:w="15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857.0</w:t>
            </w:r>
          </w:p>
        </w:tc>
        <w:tc>
          <w:tcPr>
            <w:tcW w:w="28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43.3</w:t>
            </w:r>
          </w:p>
        </w:tc>
        <w:tc>
          <w:tcPr>
            <w:tcW w:w="26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14.1</w:t>
            </w:r>
          </w:p>
        </w:tc>
        <w:tc>
          <w:tcPr>
            <w:tcW w:w="28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886.2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5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fixed maturity securities, available-for-sale</w:t>
            </w:r>
          </w:p>
        </w:tc>
        <w:tc>
          <w:tcPr>
            <w:tcW w:w="15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40,165.9</w:t>
            </w:r>
          </w:p>
        </w:tc>
        <w:tc>
          <w:tcPr>
            <w:tcW w:w="2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931.2</w:t>
            </w:r>
          </w:p>
        </w:tc>
        <w:tc>
          <w:tcPr>
            <w:tcW w:w="26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755.1</w:t>
            </w:r>
          </w:p>
        </w:tc>
        <w:tc>
          <w:tcPr>
            <w:tcW w:w="28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b w:val="1"/>
                <w:bCs w:val="1"/>
                <w:color w:val="auto"/>
                <w:w w:val="71"/>
              </w:rPr>
              <w:t>$</w:t>
            </w:r>
          </w:p>
        </w:tc>
        <w:tc>
          <w:tcPr>
            <w:tcW w:w="96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40,342.0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560" w:type="dxa"/>
            <w:vAlign w:val="bottom"/>
          </w:tcPr>
          <w:p>
            <w:pPr>
              <w:spacing w:after="0" w:line="20" w:lineRule="exact"/>
              <w:rPr>
                <w:sz w:val="1"/>
                <w:szCs w:val="1"/>
                <w:color w:val="auto"/>
              </w:rPr>
            </w:pPr>
          </w:p>
        </w:tc>
        <w:tc>
          <w:tcPr>
            <w:tcW w:w="1500" w:type="dxa"/>
            <w:vAlign w:val="bottom"/>
            <w:vMerge w:val="restart"/>
          </w:tcPr>
          <w:p>
            <w:pPr>
              <w:jc w:val="right"/>
              <w:ind w:right="170"/>
              <w:spacing w:after="0"/>
              <w:rPr>
                <w:sz w:val="20"/>
                <w:szCs w:val="20"/>
                <w:color w:val="auto"/>
              </w:rPr>
            </w:pPr>
            <w:r>
              <w:rPr>
                <w:rFonts w:ascii="Arial" w:cs="Arial" w:eastAsia="Arial" w:hAnsi="Arial"/>
                <w:sz w:val="18"/>
                <w:szCs w:val="18"/>
                <w:color w:val="auto"/>
              </w:rPr>
              <w:t>75</w:t>
            </w: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4560" w:type="dxa"/>
            <w:vAlign w:val="bottom"/>
          </w:tcPr>
          <w:p>
            <w:pPr>
              <w:spacing w:after="0"/>
              <w:rPr>
                <w:sz w:val="24"/>
                <w:szCs w:val="24"/>
                <w:color w:val="auto"/>
              </w:rPr>
            </w:pPr>
          </w:p>
        </w:tc>
        <w:tc>
          <w:tcPr>
            <w:tcW w:w="150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4560" w:type="dxa"/>
            <w:vAlign w:val="bottom"/>
            <w:tcBorders>
              <w:bottom w:val="single" w:sz="8" w:color="010101"/>
            </w:tcBorders>
          </w:tcPr>
          <w:p>
            <w:pPr>
              <w:spacing w:after="0"/>
              <w:rPr>
                <w:sz w:val="24"/>
                <w:szCs w:val="24"/>
                <w:color w:val="auto"/>
              </w:rPr>
            </w:pPr>
          </w:p>
        </w:tc>
        <w:tc>
          <w:tcPr>
            <w:tcW w:w="150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98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98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90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96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U.S. Invested Assets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Fixed Maturity Securities Available-for-Sale by Quality</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7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360" w:type="dxa"/>
            <w:vAlign w:val="bottom"/>
            <w:tcBorders>
              <w:bottom w:val="single" w:sz="8" w:color="auto"/>
            </w:tcBorders>
            <w:gridSpan w:val="4"/>
          </w:tcPr>
          <w:p>
            <w:pPr>
              <w:jc w:val="right"/>
              <w:ind w:right="619"/>
              <w:spacing w:after="0"/>
              <w:rPr>
                <w:sz w:val="20"/>
                <w:szCs w:val="20"/>
                <w:color w:val="auto"/>
              </w:rPr>
            </w:pPr>
            <w:r>
              <w:rPr>
                <w:rFonts w:ascii="Arial" w:cs="Arial" w:eastAsia="Arial" w:hAnsi="Arial"/>
                <w:sz w:val="14"/>
                <w:szCs w:val="14"/>
                <w:b w:val="1"/>
                <w:bCs w:val="1"/>
                <w:color w:val="auto"/>
              </w:rPr>
              <w:t>December 31, 2005</w:t>
            </w:r>
          </w:p>
        </w:tc>
        <w:tc>
          <w:tcPr>
            <w:tcW w:w="2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4780" w:type="dxa"/>
            <w:vAlign w:val="bottom"/>
          </w:tcPr>
          <w:p>
            <w:pPr>
              <w:spacing w:after="0"/>
              <w:rPr>
                <w:sz w:val="8"/>
                <w:szCs w:val="8"/>
                <w:color w:val="auto"/>
              </w:rPr>
            </w:pPr>
          </w:p>
        </w:tc>
        <w:tc>
          <w:tcPr>
            <w:tcW w:w="12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0" w:type="dxa"/>
            <w:vAlign w:val="bottom"/>
            <w:vMerge w:val="restart"/>
          </w:tcPr>
          <w:p>
            <w:pPr>
              <w:jc w:val="right"/>
              <w:ind w:right="175"/>
              <w:spacing w:after="0"/>
              <w:rPr>
                <w:sz w:val="20"/>
                <w:szCs w:val="20"/>
                <w:color w:val="auto"/>
              </w:rPr>
            </w:pPr>
            <w:r>
              <w:rPr>
                <w:rFonts w:ascii="Arial" w:cs="Arial" w:eastAsia="Arial" w:hAnsi="Arial"/>
                <w:sz w:val="14"/>
                <w:szCs w:val="14"/>
                <w:b w:val="1"/>
                <w:bCs w:val="1"/>
                <w:color w:val="auto"/>
              </w:rPr>
              <w:t>Amortized</w:t>
            </w:r>
          </w:p>
        </w:tc>
        <w:tc>
          <w:tcPr>
            <w:tcW w:w="2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40" w:type="dxa"/>
            <w:vAlign w:val="bottom"/>
            <w:gridSpan w:val="2"/>
          </w:tcPr>
          <w:p>
            <w:pPr>
              <w:jc w:val="center"/>
              <w:ind w:right="440"/>
              <w:spacing w:after="0" w:line="102" w:lineRule="exact"/>
              <w:rPr>
                <w:sz w:val="20"/>
                <w:szCs w:val="20"/>
                <w:color w:val="auto"/>
              </w:rPr>
            </w:pPr>
            <w:r>
              <w:rPr>
                <w:rFonts w:ascii="Arial" w:cs="Arial" w:eastAsia="Arial" w:hAnsi="Arial"/>
                <w:sz w:val="11"/>
                <w:szCs w:val="11"/>
                <w:b w:val="1"/>
                <w:bCs w:val="1"/>
                <w:color w:val="auto"/>
              </w:rPr>
              <w:t>Gross</w:t>
            </w:r>
          </w:p>
        </w:tc>
        <w:tc>
          <w:tcPr>
            <w:tcW w:w="220" w:type="dxa"/>
            <w:vAlign w:val="bottom"/>
          </w:tcPr>
          <w:p>
            <w:pPr>
              <w:spacing w:after="0"/>
              <w:rPr>
                <w:sz w:val="8"/>
                <w:szCs w:val="8"/>
                <w:color w:val="auto"/>
              </w:rPr>
            </w:pPr>
          </w:p>
        </w:tc>
        <w:tc>
          <w:tcPr>
            <w:tcW w:w="900" w:type="dxa"/>
            <w:vAlign w:val="bottom"/>
          </w:tcPr>
          <w:p>
            <w:pPr>
              <w:jc w:val="center"/>
              <w:ind w:right="139"/>
              <w:spacing w:after="0" w:line="102" w:lineRule="exact"/>
              <w:rPr>
                <w:sz w:val="20"/>
                <w:szCs w:val="20"/>
                <w:color w:val="auto"/>
              </w:rPr>
            </w:pPr>
            <w:r>
              <w:rPr>
                <w:rFonts w:ascii="Arial" w:cs="Arial" w:eastAsia="Arial" w:hAnsi="Arial"/>
                <w:sz w:val="11"/>
                <w:szCs w:val="11"/>
                <w:b w:val="1"/>
                <w:bCs w:val="1"/>
                <w:color w:val="auto"/>
              </w:rPr>
              <w:t>Gross</w:t>
            </w:r>
          </w:p>
        </w:tc>
        <w:tc>
          <w:tcPr>
            <w:tcW w:w="280" w:type="dxa"/>
            <w:vAlign w:val="bottom"/>
          </w:tcPr>
          <w:p>
            <w:pPr>
              <w:spacing w:after="0"/>
              <w:rPr>
                <w:sz w:val="8"/>
                <w:szCs w:val="8"/>
                <w:color w:val="auto"/>
              </w:rPr>
            </w:pPr>
          </w:p>
        </w:tc>
        <w:tc>
          <w:tcPr>
            <w:tcW w:w="180" w:type="dxa"/>
            <w:vAlign w:val="bottom"/>
          </w:tcPr>
          <w:p>
            <w:pPr>
              <w:spacing w:after="0"/>
              <w:rPr>
                <w:sz w:val="8"/>
                <w:szCs w:val="8"/>
                <w:color w:val="auto"/>
              </w:rPr>
            </w:pPr>
          </w:p>
        </w:tc>
        <w:tc>
          <w:tcPr>
            <w:tcW w:w="9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rPr>
              <w:t>Carrying</w:t>
            </w:r>
          </w:p>
        </w:tc>
        <w:tc>
          <w:tcPr>
            <w:tcW w:w="0" w:type="dxa"/>
            <w:vAlign w:val="bottom"/>
          </w:tcPr>
          <w:p>
            <w:pPr>
              <w:spacing w:after="0"/>
              <w:rPr>
                <w:sz w:val="1"/>
                <w:szCs w:val="1"/>
                <w:color w:val="auto"/>
              </w:rPr>
            </w:pPr>
          </w:p>
        </w:tc>
      </w:tr>
      <w:tr>
        <w:trPr>
          <w:trHeight w:val="135"/>
        </w:trPr>
        <w:tc>
          <w:tcPr>
            <w:tcW w:w="47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0" w:type="dxa"/>
            <w:vAlign w:val="bottom"/>
            <w:vMerge w:val="continue"/>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5"/>
              </w:rPr>
              <w:t>Unrealized</w:t>
            </w:r>
          </w:p>
        </w:tc>
        <w:tc>
          <w:tcPr>
            <w:tcW w:w="220" w:type="dxa"/>
            <w:vAlign w:val="bottom"/>
          </w:tcPr>
          <w:p>
            <w:pPr>
              <w:spacing w:after="0"/>
              <w:rPr>
                <w:sz w:val="11"/>
                <w:szCs w:val="11"/>
                <w:color w:val="auto"/>
              </w:rPr>
            </w:pPr>
          </w:p>
        </w:tc>
        <w:tc>
          <w:tcPr>
            <w:tcW w:w="900" w:type="dxa"/>
            <w:vAlign w:val="bottom"/>
          </w:tcPr>
          <w:p>
            <w:pPr>
              <w:jc w:val="center"/>
              <w:ind w:right="159"/>
              <w:spacing w:after="0" w:line="135" w:lineRule="exact"/>
              <w:rPr>
                <w:sz w:val="20"/>
                <w:szCs w:val="20"/>
                <w:color w:val="auto"/>
              </w:rPr>
            </w:pPr>
            <w:r>
              <w:rPr>
                <w:rFonts w:ascii="Arial" w:cs="Arial" w:eastAsia="Arial" w:hAnsi="Arial"/>
                <w:sz w:val="14"/>
                <w:szCs w:val="14"/>
                <w:b w:val="1"/>
                <w:bCs w:val="1"/>
                <w:color w:val="auto"/>
                <w:w w:val="93"/>
              </w:rPr>
              <w:t>Unrealized</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6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47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jc w:val="right"/>
              <w:ind w:right="355"/>
              <w:spacing w:after="0"/>
              <w:rPr>
                <w:sz w:val="20"/>
                <w:szCs w:val="20"/>
                <w:color w:val="auto"/>
              </w:rPr>
            </w:pPr>
            <w:r>
              <w:rPr>
                <w:rFonts w:ascii="Arial" w:cs="Arial" w:eastAsia="Arial" w:hAnsi="Arial"/>
                <w:sz w:val="14"/>
                <w:szCs w:val="14"/>
                <w:b w:val="1"/>
                <w:bCs w:val="1"/>
                <w:color w:val="auto"/>
              </w:rPr>
              <w:t>Cost</w:t>
            </w: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4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2"/>
              </w:rPr>
              <w:t>Gains</w:t>
            </w:r>
          </w:p>
        </w:tc>
        <w:tc>
          <w:tcPr>
            <w:tcW w:w="220" w:type="dxa"/>
            <w:vAlign w:val="bottom"/>
          </w:tcPr>
          <w:p>
            <w:pPr>
              <w:spacing w:after="0"/>
              <w:rPr>
                <w:sz w:val="14"/>
                <w:szCs w:val="14"/>
                <w:color w:val="auto"/>
              </w:rPr>
            </w:pPr>
          </w:p>
        </w:tc>
        <w:tc>
          <w:tcPr>
            <w:tcW w:w="900" w:type="dxa"/>
            <w:vAlign w:val="bottom"/>
          </w:tcPr>
          <w:p>
            <w:pPr>
              <w:jc w:val="center"/>
              <w:ind w:right="139"/>
              <w:spacing w:after="0"/>
              <w:rPr>
                <w:sz w:val="20"/>
                <w:szCs w:val="20"/>
                <w:color w:val="auto"/>
              </w:rPr>
            </w:pPr>
            <w:r>
              <w:rPr>
                <w:rFonts w:ascii="Arial" w:cs="Arial" w:eastAsia="Arial" w:hAnsi="Arial"/>
                <w:sz w:val="14"/>
                <w:szCs w:val="14"/>
                <w:b w:val="1"/>
                <w:bCs w:val="1"/>
                <w:color w:val="auto"/>
                <w:w w:val="82"/>
              </w:rPr>
              <w:t>Losses</w:t>
            </w: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129"/>
        </w:trPr>
        <w:tc>
          <w:tcPr>
            <w:tcW w:w="47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460" w:type="dxa"/>
            <w:vAlign w:val="bottom"/>
            <w:tcBorders>
              <w:top w:val="single" w:sz="8" w:color="auto"/>
            </w:tcBorders>
            <w:gridSpan w:val="3"/>
          </w:tcPr>
          <w:p>
            <w:pPr>
              <w:jc w:val="right"/>
              <w:spacing w:after="0" w:line="129" w:lineRule="exact"/>
              <w:rPr>
                <w:sz w:val="20"/>
                <w:szCs w:val="20"/>
                <w:color w:val="auto"/>
              </w:rPr>
            </w:pPr>
            <w:r>
              <w:rPr>
                <w:rFonts w:ascii="Arial" w:cs="Arial" w:eastAsia="Arial" w:hAnsi="Arial"/>
                <w:sz w:val="14"/>
                <w:szCs w:val="14"/>
                <w:b w:val="1"/>
                <w:bCs w:val="1"/>
                <w:color w:val="auto"/>
              </w:rPr>
              <w:t>(in millions)</w:t>
            </w:r>
          </w:p>
        </w:tc>
        <w:tc>
          <w:tcPr>
            <w:tcW w:w="90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780" w:type="dxa"/>
            <w:vAlign w:val="bottom"/>
            <w:shd w:val="clear" w:color="auto" w:fill="CCEEFF"/>
          </w:tcPr>
          <w:p>
            <w:pPr>
              <w:spacing w:after="0"/>
              <w:rPr>
                <w:sz w:val="20"/>
                <w:szCs w:val="20"/>
                <w:color w:val="auto"/>
              </w:rPr>
            </w:pPr>
            <w:r>
              <w:rPr>
                <w:rFonts w:ascii="Arial" w:cs="Arial" w:eastAsia="Arial" w:hAnsi="Arial"/>
                <w:sz w:val="18"/>
                <w:szCs w:val="18"/>
                <w:color w:val="auto"/>
              </w:rPr>
              <w:t>Investment Grade:</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80" w:type="dxa"/>
            <w:vAlign w:val="bottom"/>
          </w:tcPr>
          <w:p>
            <w:pPr>
              <w:ind w:left="180"/>
              <w:spacing w:after="0"/>
              <w:rPr>
                <w:sz w:val="20"/>
                <w:szCs w:val="20"/>
                <w:color w:val="auto"/>
              </w:rPr>
            </w:pPr>
            <w:r>
              <w:rPr>
                <w:rFonts w:ascii="Arial" w:cs="Arial" w:eastAsia="Arial" w:hAnsi="Arial"/>
                <w:sz w:val="18"/>
                <w:szCs w:val="18"/>
                <w:color w:val="auto"/>
              </w:rPr>
              <w:t>Public</w:t>
            </w:r>
          </w:p>
        </w:tc>
        <w:tc>
          <w:tcPr>
            <w:tcW w:w="1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25,638.9</w:t>
            </w:r>
          </w:p>
        </w:tc>
        <w:tc>
          <w:tcPr>
            <w:tcW w:w="440" w:type="dxa"/>
            <w:vAlign w:val="bottom"/>
            <w:gridSpan w:val="2"/>
          </w:tcPr>
          <w:p>
            <w:pPr>
              <w:jc w:val="right"/>
              <w:ind w:right="5"/>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1,024.9</w:t>
            </w:r>
          </w:p>
        </w:tc>
        <w:tc>
          <w:tcPr>
            <w:tcW w:w="260" w:type="dxa"/>
            <w:vAlign w:val="bottom"/>
          </w:tcPr>
          <w:p>
            <w:pPr>
              <w:spacing w:after="0"/>
              <w:rPr>
                <w:sz w:val="18"/>
                <w:szCs w:val="18"/>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164.3</w:t>
            </w:r>
          </w:p>
        </w:tc>
        <w:tc>
          <w:tcPr>
            <w:tcW w:w="46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26,499.5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Private</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10,827.8</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584.5</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64.2</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11,348.1</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80" w:type="dxa"/>
            <w:vAlign w:val="bottom"/>
          </w:tcPr>
          <w:p>
            <w:pPr>
              <w:spacing w:after="0"/>
              <w:rPr>
                <w:sz w:val="20"/>
                <w:szCs w:val="20"/>
                <w:color w:val="auto"/>
              </w:rPr>
            </w:pPr>
            <w:r>
              <w:rPr>
                <w:rFonts w:ascii="Arial" w:cs="Arial" w:eastAsia="Arial" w:hAnsi="Arial"/>
                <w:sz w:val="18"/>
                <w:szCs w:val="18"/>
                <w:color w:val="auto"/>
              </w:rPr>
              <w:t>Below Investment Grade:</w:t>
            </w: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Public</w:t>
            </w: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1,263.4</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54.4</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1,307.9</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8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Private</w:t>
            </w:r>
          </w:p>
        </w:tc>
        <w:tc>
          <w:tcPr>
            <w:tcW w:w="126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787.3</w:t>
            </w:r>
          </w:p>
        </w:tc>
        <w:tc>
          <w:tcPr>
            <w:tcW w:w="28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73.0</w:t>
            </w:r>
          </w:p>
        </w:tc>
        <w:tc>
          <w:tcPr>
            <w:tcW w:w="26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w:t>
            </w:r>
          </w:p>
        </w:tc>
        <w:tc>
          <w:tcPr>
            <w:tcW w:w="28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855.2</w:t>
            </w:r>
          </w:p>
        </w:tc>
        <w:tc>
          <w:tcPr>
            <w:tcW w:w="2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7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fixed maturity securities, available-for-sale</w:t>
            </w:r>
          </w:p>
        </w:tc>
        <w:tc>
          <w:tcPr>
            <w:tcW w:w="126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38,517.4</w:t>
            </w:r>
          </w:p>
        </w:tc>
        <w:tc>
          <w:tcPr>
            <w:tcW w:w="2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1,736.8</w:t>
            </w:r>
          </w:p>
        </w:tc>
        <w:tc>
          <w:tcPr>
            <w:tcW w:w="26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243.5</w:t>
            </w:r>
          </w:p>
        </w:tc>
        <w:tc>
          <w:tcPr>
            <w:tcW w:w="28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40,010.7</w:t>
            </w:r>
          </w:p>
        </w:tc>
        <w:tc>
          <w:tcPr>
            <w:tcW w:w="2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7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U.S. Invested Assets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Unrealized Losses on Investment Grade Fixed Maturity Securities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Available-for-Sale by Aging Category</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8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920" w:type="dxa"/>
            <w:vAlign w:val="bottom"/>
            <w:tcBorders>
              <w:bottom w:val="single" w:sz="8" w:color="auto"/>
            </w:tcBorders>
            <w:gridSpan w:val="4"/>
          </w:tcPr>
          <w:p>
            <w:pPr>
              <w:jc w:val="right"/>
              <w:ind w:right="576"/>
              <w:spacing w:after="0"/>
              <w:rPr>
                <w:sz w:val="20"/>
                <w:szCs w:val="20"/>
                <w:color w:val="auto"/>
              </w:rPr>
            </w:pPr>
            <w:r>
              <w:rPr>
                <w:rFonts w:ascii="Arial" w:cs="Arial" w:eastAsia="Arial" w:hAnsi="Arial"/>
                <w:sz w:val="14"/>
                <w:szCs w:val="14"/>
                <w:b w:val="1"/>
                <w:bCs w:val="1"/>
                <w:color w:val="auto"/>
              </w:rPr>
              <w:t>June 30, 2006</w:t>
            </w: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482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120" w:type="dxa"/>
            <w:vAlign w:val="bottom"/>
            <w:tcBorders>
              <w:bottom w:val="single" w:sz="8" w:color="auto"/>
            </w:tcBorders>
            <w:gridSpan w:val="3"/>
          </w:tcPr>
          <w:p>
            <w:pPr>
              <w:jc w:val="right"/>
              <w:spacing w:after="0" w:line="129" w:lineRule="exact"/>
              <w:rPr>
                <w:sz w:val="20"/>
                <w:szCs w:val="20"/>
                <w:color w:val="auto"/>
              </w:rPr>
            </w:pPr>
            <w:r>
              <w:rPr>
                <w:rFonts w:ascii="Arial" w:cs="Arial" w:eastAsia="Arial" w:hAnsi="Arial"/>
                <w:sz w:val="14"/>
                <w:szCs w:val="14"/>
                <w:b w:val="1"/>
                <w:bCs w:val="1"/>
                <w:color w:val="auto"/>
              </w:rPr>
              <w:t>Public</w:t>
            </w:r>
          </w:p>
        </w:tc>
        <w:tc>
          <w:tcPr>
            <w:tcW w:w="840" w:type="dxa"/>
            <w:vAlign w:val="bottom"/>
            <w:tcBorders>
              <w:bottom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100" w:type="dxa"/>
            <w:vAlign w:val="bottom"/>
            <w:tcBorders>
              <w:bottom w:val="single" w:sz="8" w:color="auto"/>
            </w:tcBorders>
            <w:gridSpan w:val="3"/>
          </w:tcPr>
          <w:p>
            <w:pPr>
              <w:jc w:val="right"/>
              <w:spacing w:after="0" w:line="129" w:lineRule="exact"/>
              <w:rPr>
                <w:sz w:val="20"/>
                <w:szCs w:val="20"/>
                <w:color w:val="auto"/>
              </w:rPr>
            </w:pPr>
            <w:r>
              <w:rPr>
                <w:rFonts w:ascii="Arial" w:cs="Arial" w:eastAsia="Arial" w:hAnsi="Arial"/>
                <w:sz w:val="14"/>
                <w:szCs w:val="14"/>
                <w:b w:val="1"/>
                <w:bCs w:val="1"/>
                <w:color w:val="auto"/>
              </w:rPr>
              <w:t>Private</w:t>
            </w:r>
          </w:p>
        </w:tc>
        <w:tc>
          <w:tcPr>
            <w:tcW w:w="82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080" w:type="dxa"/>
            <w:vAlign w:val="bottom"/>
            <w:tcBorders>
              <w:bottom w:val="single" w:sz="8" w:color="auto"/>
            </w:tcBorders>
            <w:gridSpan w:val="4"/>
          </w:tcPr>
          <w:p>
            <w:pPr>
              <w:jc w:val="right"/>
              <w:spacing w:after="0" w:line="129" w:lineRule="exact"/>
              <w:rPr>
                <w:sz w:val="20"/>
                <w:szCs w:val="20"/>
                <w:color w:val="auto"/>
              </w:rPr>
            </w:pPr>
            <w:r>
              <w:rPr>
                <w:rFonts w:ascii="Arial" w:cs="Arial" w:eastAsia="Arial" w:hAnsi="Arial"/>
                <w:sz w:val="14"/>
                <w:szCs w:val="14"/>
                <w:b w:val="1"/>
                <w:bCs w:val="1"/>
                <w:color w:val="auto"/>
              </w:rPr>
              <w:t>Total</w:t>
            </w:r>
          </w:p>
        </w:tc>
        <w:tc>
          <w:tcPr>
            <w:tcW w:w="840" w:type="dxa"/>
            <w:vAlign w:val="bottom"/>
            <w:tcBorders>
              <w:bottom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4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820" w:type="dxa"/>
            <w:vAlign w:val="bottom"/>
            <w:vMerge w:val="restart"/>
          </w:tcPr>
          <w:p>
            <w:pPr>
              <w:jc w:val="right"/>
              <w:ind w:right="115"/>
              <w:spacing w:after="0"/>
              <w:rPr>
                <w:sz w:val="20"/>
                <w:szCs w:val="20"/>
                <w:color w:val="auto"/>
              </w:rPr>
            </w:pPr>
            <w:r>
              <w:rPr>
                <w:rFonts w:ascii="Arial" w:cs="Arial" w:eastAsia="Arial" w:hAnsi="Arial"/>
                <w:sz w:val="14"/>
                <w:szCs w:val="14"/>
                <w:b w:val="1"/>
                <w:bCs w:val="1"/>
                <w:color w:val="auto"/>
              </w:rPr>
              <w:t>Carrying</w:t>
            </w:r>
          </w:p>
        </w:tc>
        <w:tc>
          <w:tcPr>
            <w:tcW w:w="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840" w:type="dxa"/>
            <w:vAlign w:val="bottom"/>
          </w:tcPr>
          <w:p>
            <w:pPr>
              <w:jc w:val="center"/>
              <w:ind w:right="36"/>
              <w:spacing w:after="0" w:line="102" w:lineRule="exact"/>
              <w:rPr>
                <w:sz w:val="20"/>
                <w:szCs w:val="20"/>
                <w:color w:val="auto"/>
              </w:rPr>
            </w:pPr>
            <w:r>
              <w:rPr>
                <w:rFonts w:ascii="Arial" w:cs="Arial" w:eastAsia="Arial" w:hAnsi="Arial"/>
                <w:sz w:val="11"/>
                <w:szCs w:val="11"/>
                <w:b w:val="1"/>
                <w:bCs w:val="1"/>
                <w:color w:val="auto"/>
              </w:rPr>
              <w:t>Gross</w:t>
            </w: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820" w:type="dxa"/>
            <w:vAlign w:val="bottom"/>
            <w:vMerge w:val="restart"/>
          </w:tcPr>
          <w:p>
            <w:pPr>
              <w:jc w:val="right"/>
              <w:ind w:right="137"/>
              <w:spacing w:after="0"/>
              <w:rPr>
                <w:sz w:val="20"/>
                <w:szCs w:val="20"/>
                <w:color w:val="auto"/>
              </w:rPr>
            </w:pPr>
            <w:r>
              <w:rPr>
                <w:rFonts w:ascii="Arial" w:cs="Arial" w:eastAsia="Arial" w:hAnsi="Arial"/>
                <w:sz w:val="14"/>
                <w:szCs w:val="14"/>
                <w:b w:val="1"/>
                <w:bCs w:val="1"/>
                <w:color w:val="auto"/>
              </w:rPr>
              <w:t>Carrying</w:t>
            </w:r>
          </w:p>
        </w:tc>
        <w:tc>
          <w:tcPr>
            <w:tcW w:w="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820" w:type="dxa"/>
            <w:vAlign w:val="bottom"/>
          </w:tcPr>
          <w:p>
            <w:pPr>
              <w:jc w:val="center"/>
              <w:ind w:right="56"/>
              <w:spacing w:after="0" w:line="102" w:lineRule="exact"/>
              <w:rPr>
                <w:sz w:val="20"/>
                <w:szCs w:val="20"/>
                <w:color w:val="auto"/>
              </w:rPr>
            </w:pPr>
            <w:r>
              <w:rPr>
                <w:rFonts w:ascii="Arial" w:cs="Arial" w:eastAsia="Arial" w:hAnsi="Arial"/>
                <w:sz w:val="11"/>
                <w:szCs w:val="11"/>
                <w:b w:val="1"/>
                <w:bCs w:val="1"/>
                <w:color w:val="auto"/>
              </w:rPr>
              <w:t>Gross</w:t>
            </w:r>
          </w:p>
        </w:tc>
        <w:tc>
          <w:tcPr>
            <w:tcW w:w="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98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rPr>
              <w:t>Carrying</w:t>
            </w: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840" w:type="dxa"/>
            <w:vAlign w:val="bottom"/>
          </w:tcPr>
          <w:p>
            <w:pPr>
              <w:jc w:val="center"/>
              <w:ind w:right="36"/>
              <w:spacing w:after="0" w:line="102" w:lineRule="exact"/>
              <w:rPr>
                <w:sz w:val="20"/>
                <w:szCs w:val="20"/>
                <w:color w:val="auto"/>
              </w:rPr>
            </w:pPr>
            <w:r>
              <w:rPr>
                <w:rFonts w:ascii="Arial" w:cs="Arial" w:eastAsia="Arial" w:hAnsi="Arial"/>
                <w:sz w:val="11"/>
                <w:szCs w:val="11"/>
                <w:b w:val="1"/>
                <w:bCs w:val="1"/>
                <w:color w:val="auto"/>
              </w:rPr>
              <w:t>Gross</w:t>
            </w: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4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gridSpan w:val="2"/>
          </w:tcPr>
          <w:p>
            <w:pPr>
              <w:jc w:val="center"/>
              <w:ind w:right="320"/>
              <w:spacing w:after="0" w:line="135" w:lineRule="exact"/>
              <w:rPr>
                <w:sz w:val="20"/>
                <w:szCs w:val="20"/>
                <w:color w:val="auto"/>
              </w:rPr>
            </w:pPr>
            <w:r>
              <w:rPr>
                <w:rFonts w:ascii="Arial" w:cs="Arial" w:eastAsia="Arial" w:hAnsi="Arial"/>
                <w:sz w:val="14"/>
                <w:szCs w:val="14"/>
                <w:b w:val="1"/>
                <w:bCs w:val="1"/>
                <w:color w:val="auto"/>
                <w:w w:val="95"/>
              </w:rPr>
              <w:t>Unrealized</w:t>
            </w:r>
          </w:p>
        </w:tc>
        <w:tc>
          <w:tcPr>
            <w:tcW w:w="140" w:type="dxa"/>
            <w:vAlign w:val="bottom"/>
          </w:tcPr>
          <w:p>
            <w:pPr>
              <w:spacing w:after="0"/>
              <w:rPr>
                <w:sz w:val="11"/>
                <w:szCs w:val="11"/>
                <w:color w:val="auto"/>
              </w:rPr>
            </w:pPr>
          </w:p>
        </w:tc>
        <w:tc>
          <w:tcPr>
            <w:tcW w:w="82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jc w:val="center"/>
              <w:ind w:right="36"/>
              <w:spacing w:after="0" w:line="135" w:lineRule="exact"/>
              <w:rPr>
                <w:sz w:val="20"/>
                <w:szCs w:val="20"/>
                <w:color w:val="auto"/>
              </w:rPr>
            </w:pPr>
            <w:r>
              <w:rPr>
                <w:rFonts w:ascii="Arial" w:cs="Arial" w:eastAsia="Arial" w:hAnsi="Arial"/>
                <w:sz w:val="14"/>
                <w:szCs w:val="14"/>
                <w:b w:val="1"/>
                <w:bCs w:val="1"/>
                <w:color w:val="auto"/>
                <w:w w:val="93"/>
              </w:rPr>
              <w:t>Unrealized</w:t>
            </w: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5"/>
              </w:rPr>
              <w:t>Unrealized</w:t>
            </w:r>
          </w:p>
        </w:tc>
        <w:tc>
          <w:tcPr>
            <w:tcW w:w="0" w:type="dxa"/>
            <w:vAlign w:val="bottom"/>
          </w:tcPr>
          <w:p>
            <w:pPr>
              <w:spacing w:after="0"/>
              <w:rPr>
                <w:sz w:val="1"/>
                <w:szCs w:val="1"/>
                <w:color w:val="auto"/>
              </w:rPr>
            </w:pPr>
          </w:p>
        </w:tc>
      </w:tr>
      <w:tr>
        <w:trPr>
          <w:trHeight w:val="162"/>
        </w:trPr>
        <w:tc>
          <w:tcPr>
            <w:tcW w:w="48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tcPr>
          <w:p>
            <w:pPr>
              <w:jc w:val="right"/>
              <w:ind w:right="155"/>
              <w:spacing w:after="0"/>
              <w:rPr>
                <w:sz w:val="20"/>
                <w:szCs w:val="20"/>
                <w:color w:val="auto"/>
              </w:rPr>
            </w:pPr>
            <w:r>
              <w:rPr>
                <w:rFonts w:ascii="Arial" w:cs="Arial" w:eastAsia="Arial" w:hAnsi="Arial"/>
                <w:sz w:val="14"/>
                <w:szCs w:val="14"/>
                <w:b w:val="1"/>
                <w:bCs w:val="1"/>
                <w:color w:val="auto"/>
              </w:rPr>
              <w:t>Amount</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2"/>
              </w:rPr>
              <w:t>Losses</w:t>
            </w:r>
          </w:p>
        </w:tc>
        <w:tc>
          <w:tcPr>
            <w:tcW w:w="140" w:type="dxa"/>
            <w:vAlign w:val="bottom"/>
          </w:tcPr>
          <w:p>
            <w:pPr>
              <w:spacing w:after="0"/>
              <w:rPr>
                <w:sz w:val="14"/>
                <w:szCs w:val="14"/>
                <w:color w:val="auto"/>
              </w:rPr>
            </w:pPr>
          </w:p>
        </w:tc>
        <w:tc>
          <w:tcPr>
            <w:tcW w:w="820" w:type="dxa"/>
            <w:vAlign w:val="bottom"/>
          </w:tcPr>
          <w:p>
            <w:pPr>
              <w:jc w:val="right"/>
              <w:ind w:right="157"/>
              <w:spacing w:after="0"/>
              <w:rPr>
                <w:sz w:val="20"/>
                <w:szCs w:val="20"/>
                <w:color w:val="auto"/>
              </w:rPr>
            </w:pPr>
            <w:r>
              <w:rPr>
                <w:rFonts w:ascii="Arial" w:cs="Arial" w:eastAsia="Arial" w:hAnsi="Arial"/>
                <w:sz w:val="14"/>
                <w:szCs w:val="14"/>
                <w:b w:val="1"/>
                <w:bCs w:val="1"/>
                <w:color w:val="auto"/>
              </w:rPr>
              <w:t>Amount</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tcPr>
          <w:p>
            <w:pPr>
              <w:jc w:val="center"/>
              <w:ind w:right="56"/>
              <w:spacing w:after="0"/>
              <w:rPr>
                <w:sz w:val="20"/>
                <w:szCs w:val="20"/>
                <w:color w:val="auto"/>
              </w:rPr>
            </w:pPr>
            <w:r>
              <w:rPr>
                <w:rFonts w:ascii="Arial" w:cs="Arial" w:eastAsia="Arial" w:hAnsi="Arial"/>
                <w:sz w:val="14"/>
                <w:szCs w:val="14"/>
                <w:b w:val="1"/>
                <w:bCs w:val="1"/>
                <w:color w:val="auto"/>
                <w:w w:val="82"/>
              </w:rPr>
              <w:t>Losses</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Amount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129"/>
        </w:trPr>
        <w:tc>
          <w:tcPr>
            <w:tcW w:w="482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82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920" w:type="dxa"/>
            <w:vAlign w:val="bottom"/>
            <w:tcBorders>
              <w:top w:val="single" w:sz="8" w:color="auto"/>
            </w:tcBorders>
            <w:gridSpan w:val="4"/>
          </w:tcPr>
          <w:p>
            <w:pPr>
              <w:jc w:val="right"/>
              <w:ind w:right="636"/>
              <w:spacing w:after="0" w:line="129" w:lineRule="exact"/>
              <w:rPr>
                <w:sz w:val="20"/>
                <w:szCs w:val="20"/>
                <w:color w:val="auto"/>
              </w:rPr>
            </w:pPr>
            <w:r>
              <w:rPr>
                <w:rFonts w:ascii="Arial" w:cs="Arial" w:eastAsia="Arial" w:hAnsi="Arial"/>
                <w:sz w:val="14"/>
                <w:szCs w:val="14"/>
                <w:b w:val="1"/>
                <w:bCs w:val="1"/>
                <w:color w:val="auto"/>
              </w:rPr>
              <w:t>(in millions)</w:t>
            </w:r>
          </w:p>
        </w:tc>
        <w:tc>
          <w:tcPr>
            <w:tcW w:w="1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820" w:type="dxa"/>
            <w:vAlign w:val="bottom"/>
            <w:shd w:val="clear" w:color="auto" w:fill="CCEEFF"/>
          </w:tcPr>
          <w:p>
            <w:pPr>
              <w:spacing w:after="0"/>
              <w:rPr>
                <w:sz w:val="20"/>
                <w:szCs w:val="20"/>
                <w:color w:val="auto"/>
              </w:rPr>
            </w:pPr>
            <w:r>
              <w:rPr>
                <w:rFonts w:ascii="Arial" w:cs="Arial" w:eastAsia="Arial" w:hAnsi="Arial"/>
                <w:sz w:val="18"/>
                <w:szCs w:val="18"/>
                <w:color w:val="auto"/>
              </w:rPr>
              <w:t>Three months or less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2,922.4</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30.3</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1,479.5</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23.4</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4,401.9</w:t>
            </w:r>
          </w:p>
        </w:tc>
        <w:tc>
          <w:tcPr>
            <w:tcW w:w="18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53.7</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20" w:type="dxa"/>
            <w:vAlign w:val="bottom"/>
          </w:tcPr>
          <w:p>
            <w:pPr>
              <w:spacing w:after="0"/>
              <w:rPr>
                <w:sz w:val="20"/>
                <w:szCs w:val="20"/>
                <w:color w:val="auto"/>
              </w:rPr>
            </w:pPr>
            <w:r>
              <w:rPr>
                <w:rFonts w:ascii="Arial" w:cs="Arial" w:eastAsia="Arial" w:hAnsi="Arial"/>
                <w:sz w:val="18"/>
                <w:szCs w:val="18"/>
                <w:color w:val="auto"/>
              </w:rPr>
              <w:t>Greater than three to six months</w:t>
            </w: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4,454.5</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133.1</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1,859.2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65.0</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6,313.7</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198.1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20" w:type="dxa"/>
            <w:vAlign w:val="bottom"/>
            <w:shd w:val="clear" w:color="auto" w:fill="CCEEFF"/>
          </w:tcPr>
          <w:p>
            <w:pPr>
              <w:spacing w:after="0"/>
              <w:rPr>
                <w:sz w:val="20"/>
                <w:szCs w:val="20"/>
                <w:color w:val="auto"/>
              </w:rPr>
            </w:pPr>
            <w:r>
              <w:rPr>
                <w:rFonts w:ascii="Arial" w:cs="Arial" w:eastAsia="Arial" w:hAnsi="Arial"/>
                <w:sz w:val="18"/>
                <w:szCs w:val="18"/>
                <w:color w:val="auto"/>
              </w:rPr>
              <w:t>Greater than six to nine months</w:t>
            </w: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1,573.0</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53.9</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656.7</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28.4</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2,229.7</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82.3</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20" w:type="dxa"/>
            <w:vAlign w:val="bottom"/>
          </w:tcPr>
          <w:p>
            <w:pPr>
              <w:spacing w:after="0"/>
              <w:rPr>
                <w:sz w:val="20"/>
                <w:szCs w:val="20"/>
                <w:color w:val="auto"/>
              </w:rPr>
            </w:pPr>
            <w:r>
              <w:rPr>
                <w:rFonts w:ascii="Arial" w:cs="Arial" w:eastAsia="Arial" w:hAnsi="Arial"/>
                <w:sz w:val="18"/>
                <w:szCs w:val="18"/>
                <w:color w:val="auto"/>
              </w:rPr>
              <w:t>Greater than nine to twelve months</w:t>
            </w: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3,825.2</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176.1</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1,387.6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79.4</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5,212.8</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255.5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20" w:type="dxa"/>
            <w:vAlign w:val="bottom"/>
            <w:shd w:val="clear" w:color="auto" w:fill="CCEEFF"/>
          </w:tcPr>
          <w:p>
            <w:pPr>
              <w:spacing w:after="0"/>
              <w:rPr>
                <w:sz w:val="20"/>
                <w:szCs w:val="20"/>
                <w:color w:val="auto"/>
              </w:rPr>
            </w:pPr>
            <w:r>
              <w:rPr>
                <w:rFonts w:ascii="Arial" w:cs="Arial" w:eastAsia="Arial" w:hAnsi="Arial"/>
                <w:sz w:val="18"/>
                <w:szCs w:val="18"/>
                <w:color w:val="auto"/>
              </w:rPr>
              <w:t>Greater than twelve to twenty-four months</w:t>
            </w: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1,783.3</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73.0</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461.9</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16.8</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2,245.2</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89.8</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20" w:type="dxa"/>
            <w:vAlign w:val="bottom"/>
          </w:tcPr>
          <w:p>
            <w:pPr>
              <w:spacing w:after="0"/>
              <w:rPr>
                <w:sz w:val="20"/>
                <w:szCs w:val="20"/>
                <w:color w:val="auto"/>
              </w:rPr>
            </w:pPr>
            <w:r>
              <w:rPr>
                <w:rFonts w:ascii="Arial" w:cs="Arial" w:eastAsia="Arial" w:hAnsi="Arial"/>
                <w:sz w:val="18"/>
                <w:szCs w:val="18"/>
                <w:color w:val="auto"/>
              </w:rPr>
              <w:t>Greater than twenty-four to thirty-six months</w:t>
            </w: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399.3</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19.6</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295.8</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16.4</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695.1</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36.0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20" w:type="dxa"/>
            <w:vAlign w:val="bottom"/>
            <w:shd w:val="clear" w:color="auto" w:fill="CCEEFF"/>
          </w:tcPr>
          <w:p>
            <w:pPr>
              <w:spacing w:after="0"/>
              <w:rPr>
                <w:sz w:val="20"/>
                <w:szCs w:val="20"/>
                <w:color w:val="auto"/>
              </w:rPr>
            </w:pPr>
            <w:r>
              <w:rPr>
                <w:rFonts w:ascii="Arial" w:cs="Arial" w:eastAsia="Arial" w:hAnsi="Arial"/>
                <w:sz w:val="18"/>
                <w:szCs w:val="18"/>
                <w:color w:val="auto"/>
              </w:rPr>
              <w:t>Greater than thirty-six months</w:t>
            </w:r>
          </w:p>
        </w:tc>
        <w:tc>
          <w:tcPr>
            <w:tcW w:w="1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43.7</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5.2</w:t>
            </w:r>
          </w:p>
        </w:tc>
        <w:tc>
          <w:tcPr>
            <w:tcW w:w="2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57.9</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4.5</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101.6</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9.7</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820" w:type="dxa"/>
            <w:vAlign w:val="bottom"/>
          </w:tcPr>
          <w:p>
            <w:pPr>
              <w:ind w:left="180"/>
              <w:spacing w:after="0"/>
              <w:rPr>
                <w:sz w:val="20"/>
                <w:szCs w:val="20"/>
                <w:color w:val="auto"/>
              </w:rPr>
            </w:pPr>
            <w:r>
              <w:rPr>
                <w:rFonts w:ascii="Arial" w:cs="Arial" w:eastAsia="Arial" w:hAnsi="Arial"/>
                <w:sz w:val="18"/>
                <w:szCs w:val="18"/>
                <w:color w:val="auto"/>
              </w:rPr>
              <w:t>Total fixed maturities, available-for-sale</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15,001.4</w:t>
            </w:r>
          </w:p>
        </w:tc>
        <w:tc>
          <w:tcPr>
            <w:tcW w:w="18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491.2</w:t>
            </w:r>
          </w:p>
        </w:tc>
        <w:tc>
          <w:tcPr>
            <w:tcW w:w="2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6,198.</w:t>
            </w:r>
            <w:r>
              <w:rPr>
                <w:rFonts w:ascii="Arial" w:cs="Arial" w:eastAsia="Arial" w:hAnsi="Arial"/>
                <w:sz w:val="18"/>
                <w:szCs w:val="18"/>
                <w:b w:val="1"/>
                <w:bCs w:val="1"/>
                <w:u w:val="single" w:color="auto"/>
                <w:color w:val="auto"/>
              </w:rPr>
              <w:t>6</w:t>
            </w:r>
          </w:p>
        </w:tc>
        <w:tc>
          <w:tcPr>
            <w:tcW w:w="16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233.9</w:t>
            </w:r>
          </w:p>
        </w:tc>
        <w:tc>
          <w:tcPr>
            <w:tcW w:w="18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21,200.0</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725.1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U.S. Invested Assets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Unrealized Losses on Investment Grade Fixed Maturity Securities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Available-for-Sale by Aging Category</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8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940" w:type="dxa"/>
            <w:vAlign w:val="bottom"/>
            <w:tcBorders>
              <w:bottom w:val="single" w:sz="8" w:color="auto"/>
            </w:tcBorders>
            <w:gridSpan w:val="4"/>
          </w:tcPr>
          <w:p>
            <w:pPr>
              <w:jc w:val="right"/>
              <w:ind w:right="416"/>
              <w:spacing w:after="0"/>
              <w:rPr>
                <w:sz w:val="20"/>
                <w:szCs w:val="20"/>
                <w:color w:val="auto"/>
              </w:rPr>
            </w:pPr>
            <w:r>
              <w:rPr>
                <w:rFonts w:ascii="Arial" w:cs="Arial" w:eastAsia="Arial" w:hAnsi="Arial"/>
                <w:sz w:val="14"/>
                <w:szCs w:val="14"/>
                <w:b w:val="1"/>
                <w:bCs w:val="1"/>
                <w:color w:val="auto"/>
              </w:rPr>
              <w:t>December 31, 2005</w:t>
            </w: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480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120" w:type="dxa"/>
            <w:vAlign w:val="bottom"/>
            <w:tcBorders>
              <w:bottom w:val="single" w:sz="8" w:color="auto"/>
            </w:tcBorders>
            <w:gridSpan w:val="3"/>
          </w:tcPr>
          <w:p>
            <w:pPr>
              <w:jc w:val="right"/>
              <w:spacing w:after="0" w:line="129" w:lineRule="exact"/>
              <w:rPr>
                <w:sz w:val="20"/>
                <w:szCs w:val="20"/>
                <w:color w:val="auto"/>
              </w:rPr>
            </w:pPr>
            <w:r>
              <w:rPr>
                <w:rFonts w:ascii="Arial" w:cs="Arial" w:eastAsia="Arial" w:hAnsi="Arial"/>
                <w:sz w:val="14"/>
                <w:szCs w:val="14"/>
                <w:b w:val="1"/>
                <w:bCs w:val="1"/>
                <w:color w:val="auto"/>
              </w:rPr>
              <w:t>Public</w:t>
            </w:r>
          </w:p>
        </w:tc>
        <w:tc>
          <w:tcPr>
            <w:tcW w:w="840" w:type="dxa"/>
            <w:vAlign w:val="bottom"/>
            <w:tcBorders>
              <w:bottom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120" w:type="dxa"/>
            <w:vAlign w:val="bottom"/>
            <w:tcBorders>
              <w:bottom w:val="single" w:sz="8" w:color="auto"/>
            </w:tcBorders>
            <w:gridSpan w:val="3"/>
          </w:tcPr>
          <w:p>
            <w:pPr>
              <w:jc w:val="right"/>
              <w:spacing w:after="0" w:line="129" w:lineRule="exact"/>
              <w:rPr>
                <w:sz w:val="20"/>
                <w:szCs w:val="20"/>
                <w:color w:val="auto"/>
              </w:rPr>
            </w:pPr>
            <w:r>
              <w:rPr>
                <w:rFonts w:ascii="Arial" w:cs="Arial" w:eastAsia="Arial" w:hAnsi="Arial"/>
                <w:sz w:val="14"/>
                <w:szCs w:val="14"/>
                <w:b w:val="1"/>
                <w:bCs w:val="1"/>
                <w:color w:val="auto"/>
              </w:rPr>
              <w:t>Private</w:t>
            </w:r>
          </w:p>
        </w:tc>
        <w:tc>
          <w:tcPr>
            <w:tcW w:w="82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080" w:type="dxa"/>
            <w:vAlign w:val="bottom"/>
            <w:tcBorders>
              <w:bottom w:val="single" w:sz="8" w:color="auto"/>
            </w:tcBorders>
            <w:gridSpan w:val="4"/>
          </w:tcPr>
          <w:p>
            <w:pPr>
              <w:jc w:val="right"/>
              <w:spacing w:after="0" w:line="129" w:lineRule="exact"/>
              <w:rPr>
                <w:sz w:val="20"/>
                <w:szCs w:val="20"/>
                <w:color w:val="auto"/>
              </w:rPr>
            </w:pPr>
            <w:r>
              <w:rPr>
                <w:rFonts w:ascii="Arial" w:cs="Arial" w:eastAsia="Arial" w:hAnsi="Arial"/>
                <w:sz w:val="14"/>
                <w:szCs w:val="14"/>
                <w:b w:val="1"/>
                <w:bCs w:val="1"/>
                <w:color w:val="auto"/>
              </w:rPr>
              <w:t>Total</w:t>
            </w:r>
          </w:p>
        </w:tc>
        <w:tc>
          <w:tcPr>
            <w:tcW w:w="840" w:type="dxa"/>
            <w:vAlign w:val="bottom"/>
            <w:tcBorders>
              <w:bottom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48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2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7"/>
              </w:rPr>
              <w:t>Carrying</w:t>
            </w:r>
          </w:p>
        </w:tc>
        <w:tc>
          <w:tcPr>
            <w:tcW w:w="100" w:type="dxa"/>
            <w:vAlign w:val="bottom"/>
          </w:tcPr>
          <w:p>
            <w:pPr>
              <w:spacing w:after="0"/>
              <w:rPr>
                <w:sz w:val="8"/>
                <w:szCs w:val="8"/>
                <w:color w:val="auto"/>
              </w:rPr>
            </w:pPr>
          </w:p>
        </w:tc>
        <w:tc>
          <w:tcPr>
            <w:tcW w:w="840" w:type="dxa"/>
            <w:vAlign w:val="bottom"/>
          </w:tcPr>
          <w:p>
            <w:pPr>
              <w:jc w:val="center"/>
              <w:ind w:right="36"/>
              <w:spacing w:after="0" w:line="102" w:lineRule="exact"/>
              <w:rPr>
                <w:sz w:val="20"/>
                <w:szCs w:val="20"/>
                <w:color w:val="auto"/>
              </w:rPr>
            </w:pPr>
            <w:r>
              <w:rPr>
                <w:rFonts w:ascii="Arial" w:cs="Arial" w:eastAsia="Arial" w:hAnsi="Arial"/>
                <w:sz w:val="11"/>
                <w:szCs w:val="11"/>
                <w:b w:val="1"/>
                <w:bCs w:val="1"/>
                <w:color w:val="auto"/>
              </w:rPr>
              <w:t>Gross</w:t>
            </w: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820" w:type="dxa"/>
            <w:vAlign w:val="bottom"/>
            <w:vMerge w:val="restart"/>
          </w:tcPr>
          <w:p>
            <w:pPr>
              <w:jc w:val="right"/>
              <w:ind w:right="117"/>
              <w:spacing w:after="0"/>
              <w:rPr>
                <w:sz w:val="20"/>
                <w:szCs w:val="20"/>
                <w:color w:val="auto"/>
              </w:rPr>
            </w:pPr>
            <w:r>
              <w:rPr>
                <w:rFonts w:ascii="Arial" w:cs="Arial" w:eastAsia="Arial" w:hAnsi="Arial"/>
                <w:sz w:val="14"/>
                <w:szCs w:val="14"/>
                <w:b w:val="1"/>
                <w:bCs w:val="1"/>
                <w:color w:val="auto"/>
              </w:rPr>
              <w:t>Carrying</w:t>
            </w:r>
          </w:p>
        </w:tc>
        <w:tc>
          <w:tcPr>
            <w:tcW w:w="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820" w:type="dxa"/>
            <w:vAlign w:val="bottom"/>
          </w:tcPr>
          <w:p>
            <w:pPr>
              <w:jc w:val="center"/>
              <w:ind w:right="56"/>
              <w:spacing w:after="0" w:line="102" w:lineRule="exact"/>
              <w:rPr>
                <w:sz w:val="20"/>
                <w:szCs w:val="20"/>
                <w:color w:val="auto"/>
              </w:rPr>
            </w:pPr>
            <w:r>
              <w:rPr>
                <w:rFonts w:ascii="Arial" w:cs="Arial" w:eastAsia="Arial" w:hAnsi="Arial"/>
                <w:sz w:val="11"/>
                <w:szCs w:val="11"/>
                <w:b w:val="1"/>
                <w:bCs w:val="1"/>
                <w:color w:val="auto"/>
              </w:rPr>
              <w:t>Gross</w:t>
            </w:r>
          </w:p>
        </w:tc>
        <w:tc>
          <w:tcPr>
            <w:tcW w:w="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98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rPr>
              <w:t>Carrying</w:t>
            </w: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840" w:type="dxa"/>
            <w:vAlign w:val="bottom"/>
          </w:tcPr>
          <w:p>
            <w:pPr>
              <w:jc w:val="center"/>
              <w:ind w:right="36"/>
              <w:spacing w:after="0" w:line="102" w:lineRule="exact"/>
              <w:rPr>
                <w:sz w:val="20"/>
                <w:szCs w:val="20"/>
                <w:color w:val="auto"/>
              </w:rPr>
            </w:pPr>
            <w:r>
              <w:rPr>
                <w:rFonts w:ascii="Arial" w:cs="Arial" w:eastAsia="Arial" w:hAnsi="Arial"/>
                <w:sz w:val="11"/>
                <w:szCs w:val="11"/>
                <w:b w:val="1"/>
                <w:bCs w:val="1"/>
                <w:color w:val="auto"/>
              </w:rPr>
              <w:t>Gross</w:t>
            </w: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4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jc w:val="center"/>
              <w:ind w:right="36"/>
              <w:spacing w:after="0" w:line="135" w:lineRule="exact"/>
              <w:rPr>
                <w:sz w:val="20"/>
                <w:szCs w:val="20"/>
                <w:color w:val="auto"/>
              </w:rPr>
            </w:pPr>
            <w:r>
              <w:rPr>
                <w:rFonts w:ascii="Arial" w:cs="Arial" w:eastAsia="Arial" w:hAnsi="Arial"/>
                <w:sz w:val="14"/>
                <w:szCs w:val="14"/>
                <w:b w:val="1"/>
                <w:bCs w:val="1"/>
                <w:color w:val="auto"/>
                <w:w w:val="95"/>
              </w:rPr>
              <w:t>Unrealized</w:t>
            </w: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jc w:val="center"/>
              <w:ind w:right="36"/>
              <w:spacing w:after="0" w:line="135" w:lineRule="exact"/>
              <w:rPr>
                <w:sz w:val="20"/>
                <w:szCs w:val="20"/>
                <w:color w:val="auto"/>
              </w:rPr>
            </w:pPr>
            <w:r>
              <w:rPr>
                <w:rFonts w:ascii="Arial" w:cs="Arial" w:eastAsia="Arial" w:hAnsi="Arial"/>
                <w:sz w:val="14"/>
                <w:szCs w:val="14"/>
                <w:b w:val="1"/>
                <w:bCs w:val="1"/>
                <w:color w:val="auto"/>
                <w:w w:val="93"/>
              </w:rPr>
              <w:t>Unrealized</w:t>
            </w: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5"/>
              </w:rPr>
              <w:t>Unrealized</w:t>
            </w:r>
          </w:p>
        </w:tc>
        <w:tc>
          <w:tcPr>
            <w:tcW w:w="0" w:type="dxa"/>
            <w:vAlign w:val="bottom"/>
          </w:tcPr>
          <w:p>
            <w:pPr>
              <w:spacing w:after="0"/>
              <w:rPr>
                <w:sz w:val="1"/>
                <w:szCs w:val="1"/>
                <w:color w:val="auto"/>
              </w:rPr>
            </w:pPr>
          </w:p>
        </w:tc>
      </w:tr>
      <w:tr>
        <w:trPr>
          <w:trHeight w:val="162"/>
        </w:trPr>
        <w:tc>
          <w:tcPr>
            <w:tcW w:w="48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tcPr>
          <w:p>
            <w:pPr>
              <w:spacing w:after="0"/>
              <w:rPr>
                <w:sz w:val="14"/>
                <w:szCs w:val="14"/>
                <w:color w:val="auto"/>
              </w:rPr>
            </w:pPr>
          </w:p>
        </w:tc>
        <w:tc>
          <w:tcPr>
            <w:tcW w:w="840" w:type="dxa"/>
            <w:vAlign w:val="bottom"/>
          </w:tcPr>
          <w:p>
            <w:pPr>
              <w:jc w:val="center"/>
              <w:ind w:right="36"/>
              <w:spacing w:after="0"/>
              <w:rPr>
                <w:sz w:val="20"/>
                <w:szCs w:val="20"/>
                <w:color w:val="auto"/>
              </w:rPr>
            </w:pPr>
            <w:r>
              <w:rPr>
                <w:rFonts w:ascii="Arial" w:cs="Arial" w:eastAsia="Arial" w:hAnsi="Arial"/>
                <w:sz w:val="14"/>
                <w:szCs w:val="14"/>
                <w:b w:val="1"/>
                <w:bCs w:val="1"/>
                <w:color w:val="auto"/>
                <w:w w:val="82"/>
              </w:rPr>
              <w:t>Losses</w:t>
            </w: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tcPr>
          <w:p>
            <w:pPr>
              <w:jc w:val="right"/>
              <w:ind w:right="157"/>
              <w:spacing w:after="0"/>
              <w:rPr>
                <w:sz w:val="20"/>
                <w:szCs w:val="20"/>
                <w:color w:val="auto"/>
              </w:rPr>
            </w:pPr>
            <w:r>
              <w:rPr>
                <w:rFonts w:ascii="Arial" w:cs="Arial" w:eastAsia="Arial" w:hAnsi="Arial"/>
                <w:sz w:val="14"/>
                <w:szCs w:val="14"/>
                <w:b w:val="1"/>
                <w:bCs w:val="1"/>
                <w:color w:val="auto"/>
              </w:rPr>
              <w:t>Amount</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tcPr>
          <w:p>
            <w:pPr>
              <w:jc w:val="center"/>
              <w:ind w:right="56"/>
              <w:spacing w:after="0"/>
              <w:rPr>
                <w:sz w:val="20"/>
                <w:szCs w:val="20"/>
                <w:color w:val="auto"/>
              </w:rPr>
            </w:pPr>
            <w:r>
              <w:rPr>
                <w:rFonts w:ascii="Arial" w:cs="Arial" w:eastAsia="Arial" w:hAnsi="Arial"/>
                <w:sz w:val="14"/>
                <w:szCs w:val="14"/>
                <w:b w:val="1"/>
                <w:bCs w:val="1"/>
                <w:color w:val="auto"/>
                <w:w w:val="82"/>
              </w:rPr>
              <w:t>Losses</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Amount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129"/>
        </w:trPr>
        <w:tc>
          <w:tcPr>
            <w:tcW w:w="480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82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940" w:type="dxa"/>
            <w:vAlign w:val="bottom"/>
            <w:tcBorders>
              <w:top w:val="single" w:sz="8" w:color="auto"/>
            </w:tcBorders>
            <w:gridSpan w:val="4"/>
          </w:tcPr>
          <w:p>
            <w:pPr>
              <w:jc w:val="right"/>
              <w:ind w:right="636"/>
              <w:spacing w:after="0" w:line="129" w:lineRule="exact"/>
              <w:rPr>
                <w:sz w:val="20"/>
                <w:szCs w:val="20"/>
                <w:color w:val="auto"/>
              </w:rPr>
            </w:pPr>
            <w:r>
              <w:rPr>
                <w:rFonts w:ascii="Arial" w:cs="Arial" w:eastAsia="Arial" w:hAnsi="Arial"/>
                <w:sz w:val="14"/>
                <w:szCs w:val="14"/>
                <w:b w:val="1"/>
                <w:bCs w:val="1"/>
                <w:color w:val="auto"/>
              </w:rPr>
              <w:t>(in millions)</w:t>
            </w:r>
          </w:p>
        </w:tc>
        <w:tc>
          <w:tcPr>
            <w:tcW w:w="1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Three months or less</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1,907.9</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774.3</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2,682.2</w:t>
            </w:r>
          </w:p>
        </w:tc>
        <w:tc>
          <w:tcPr>
            <w:tcW w:w="18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tcPr>
          <w:p>
            <w:pPr>
              <w:spacing w:after="0"/>
              <w:rPr>
                <w:sz w:val="20"/>
                <w:szCs w:val="20"/>
                <w:color w:val="auto"/>
              </w:rPr>
            </w:pPr>
            <w:r>
              <w:rPr>
                <w:rFonts w:ascii="Arial" w:cs="Arial" w:eastAsia="Arial" w:hAnsi="Arial"/>
                <w:sz w:val="18"/>
                <w:szCs w:val="18"/>
                <w:color w:val="auto"/>
              </w:rPr>
              <w:t>Greater than three to six months</w:t>
            </w: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4,332.5</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79.6</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1,574.5</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29.3</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5,907.0</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108.9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Greater than six to nine months</w:t>
            </w: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416.3</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109.5</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525.8</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tcPr>
          <w:p>
            <w:pPr>
              <w:spacing w:after="0"/>
              <w:rPr>
                <w:sz w:val="20"/>
                <w:szCs w:val="20"/>
                <w:color w:val="auto"/>
              </w:rPr>
            </w:pPr>
            <w:r>
              <w:rPr>
                <w:rFonts w:ascii="Arial" w:cs="Arial" w:eastAsia="Arial" w:hAnsi="Arial"/>
                <w:sz w:val="18"/>
                <w:szCs w:val="18"/>
                <w:color w:val="auto"/>
              </w:rPr>
              <w:t>Greater than nine to twelve months</w:t>
            </w: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1,032.0</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22.3</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212.3</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5.2</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1,244.3</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27.5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Greater than twelve to twenty-four months</w:t>
            </w: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1,191.2</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457.2</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1,648.4</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48.0</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tcPr>
          <w:p>
            <w:pPr>
              <w:spacing w:after="0"/>
              <w:rPr>
                <w:sz w:val="20"/>
                <w:szCs w:val="20"/>
                <w:color w:val="auto"/>
              </w:rPr>
            </w:pPr>
            <w:r>
              <w:rPr>
                <w:rFonts w:ascii="Arial" w:cs="Arial" w:eastAsia="Arial" w:hAnsi="Arial"/>
                <w:sz w:val="18"/>
                <w:szCs w:val="18"/>
                <w:color w:val="auto"/>
              </w:rPr>
              <w:t>Greater than twenty-four to thirty-six months</w:t>
            </w: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118.5</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4.8</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161.8</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5.9</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280.3</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10.7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Greater than thirty-six months</w:t>
            </w:r>
          </w:p>
        </w:tc>
        <w:tc>
          <w:tcPr>
            <w:tcW w:w="1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2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800" w:type="dxa"/>
            <w:vAlign w:val="bottom"/>
          </w:tcPr>
          <w:p>
            <w:pPr>
              <w:ind w:left="180"/>
              <w:spacing w:after="0"/>
              <w:rPr>
                <w:sz w:val="20"/>
                <w:szCs w:val="20"/>
                <w:color w:val="auto"/>
              </w:rPr>
            </w:pPr>
            <w:r>
              <w:rPr>
                <w:rFonts w:ascii="Arial" w:cs="Arial" w:eastAsia="Arial" w:hAnsi="Arial"/>
                <w:sz w:val="18"/>
                <w:szCs w:val="18"/>
                <w:color w:val="auto"/>
              </w:rPr>
              <w:t>Total fixed maturities, available-for-sale</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8,999.</w:t>
            </w:r>
            <w:r>
              <w:rPr>
                <w:rFonts w:ascii="Arial" w:cs="Arial" w:eastAsia="Arial" w:hAnsi="Arial"/>
                <w:sz w:val="18"/>
                <w:szCs w:val="18"/>
                <w:u w:val="single" w:color="auto"/>
                <w:color w:val="auto"/>
              </w:rPr>
              <w:t>8</w:t>
            </w:r>
          </w:p>
        </w:tc>
        <w:tc>
          <w:tcPr>
            <w:tcW w:w="20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164.3</w:t>
            </w:r>
          </w:p>
        </w:tc>
        <w:tc>
          <w:tcPr>
            <w:tcW w:w="2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3,289.</w:t>
            </w:r>
            <w:r>
              <w:rPr>
                <w:rFonts w:ascii="Arial" w:cs="Arial" w:eastAsia="Arial" w:hAnsi="Arial"/>
                <w:sz w:val="18"/>
                <w:szCs w:val="18"/>
                <w:u w:val="single" w:color="auto"/>
                <w:color w:val="auto"/>
              </w:rPr>
              <w:t>6</w:t>
            </w:r>
          </w:p>
        </w:tc>
        <w:tc>
          <w:tcPr>
            <w:tcW w:w="18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64.2</w:t>
            </w:r>
          </w:p>
        </w:tc>
        <w:tc>
          <w:tcPr>
            <w:tcW w:w="18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12,289.4</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228.5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60"/>
          </w:cols>
          <w:pgMar w:left="240" w:top="125" w:right="199" w:bottom="292" w:gutter="0" w:footer="0" w:header="0"/>
        </w:sectPr>
      </w:pPr>
    </w:p>
    <w:bookmarkStart w:id="53" w:name="page54"/>
    <w:bookmarkEnd w:id="53"/>
    <w:p>
      <w:pPr>
        <w:jc w:val="center"/>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U.S. Invested Assets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Unrealized Losses on Below Investment Grade Fixed Maturity Securities</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Available-for-Sale by Aging Category</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3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4"/>
          </w:tcPr>
          <w:p>
            <w:pPr>
              <w:jc w:val="center"/>
              <w:ind w:right="56"/>
              <w:spacing w:after="0"/>
              <w:rPr>
                <w:sz w:val="20"/>
                <w:szCs w:val="20"/>
                <w:color w:val="auto"/>
              </w:rPr>
            </w:pPr>
            <w:r>
              <w:rPr>
                <w:rFonts w:ascii="Arial" w:cs="Arial" w:eastAsia="Arial" w:hAnsi="Arial"/>
                <w:sz w:val="14"/>
                <w:szCs w:val="14"/>
                <w:b w:val="1"/>
                <w:bCs w:val="1"/>
                <w:color w:val="auto"/>
                <w:w w:val="92"/>
              </w:rPr>
              <w:t>June 30, 2006</w:t>
            </w:r>
          </w:p>
        </w:tc>
        <w:tc>
          <w:tcPr>
            <w:tcW w:w="1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438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160" w:type="dxa"/>
            <w:vAlign w:val="bottom"/>
            <w:tcBorders>
              <w:bottom w:val="single" w:sz="8" w:color="auto"/>
            </w:tcBorders>
            <w:gridSpan w:val="3"/>
          </w:tcPr>
          <w:p>
            <w:pPr>
              <w:jc w:val="right"/>
              <w:spacing w:after="0" w:line="129" w:lineRule="exact"/>
              <w:rPr>
                <w:sz w:val="20"/>
                <w:szCs w:val="20"/>
                <w:color w:val="auto"/>
              </w:rPr>
            </w:pPr>
            <w:r>
              <w:rPr>
                <w:rFonts w:ascii="Arial" w:cs="Arial" w:eastAsia="Arial" w:hAnsi="Arial"/>
                <w:sz w:val="14"/>
                <w:szCs w:val="14"/>
                <w:b w:val="1"/>
                <w:bCs w:val="1"/>
                <w:color w:val="auto"/>
              </w:rPr>
              <w:t>Public</w:t>
            </w:r>
          </w:p>
        </w:tc>
        <w:tc>
          <w:tcPr>
            <w:tcW w:w="88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180" w:type="dxa"/>
            <w:vAlign w:val="bottom"/>
            <w:tcBorders>
              <w:bottom w:val="single" w:sz="8" w:color="auto"/>
            </w:tcBorders>
            <w:gridSpan w:val="3"/>
          </w:tcPr>
          <w:p>
            <w:pPr>
              <w:jc w:val="center"/>
              <w:ind w:left="617"/>
              <w:spacing w:after="0" w:line="129" w:lineRule="exact"/>
              <w:rPr>
                <w:sz w:val="20"/>
                <w:szCs w:val="20"/>
                <w:color w:val="auto"/>
              </w:rPr>
            </w:pPr>
            <w:r>
              <w:rPr>
                <w:rFonts w:ascii="Arial" w:cs="Arial" w:eastAsia="Arial" w:hAnsi="Arial"/>
                <w:sz w:val="14"/>
                <w:szCs w:val="14"/>
                <w:b w:val="1"/>
                <w:bCs w:val="1"/>
                <w:color w:val="auto"/>
                <w:w w:val="94"/>
              </w:rPr>
              <w:t>Private</w:t>
            </w:r>
          </w:p>
        </w:tc>
        <w:tc>
          <w:tcPr>
            <w:tcW w:w="88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180" w:type="dxa"/>
            <w:vAlign w:val="bottom"/>
            <w:tcBorders>
              <w:bottom w:val="single" w:sz="8" w:color="auto"/>
            </w:tcBorders>
            <w:gridSpan w:val="4"/>
          </w:tcPr>
          <w:p>
            <w:pPr>
              <w:jc w:val="right"/>
              <w:ind w:right="10"/>
              <w:spacing w:after="0" w:line="129" w:lineRule="exact"/>
              <w:rPr>
                <w:sz w:val="20"/>
                <w:szCs w:val="20"/>
                <w:color w:val="auto"/>
              </w:rPr>
            </w:pPr>
            <w:r>
              <w:rPr>
                <w:rFonts w:ascii="Arial" w:cs="Arial" w:eastAsia="Arial" w:hAnsi="Arial"/>
                <w:sz w:val="14"/>
                <w:szCs w:val="14"/>
                <w:b w:val="1"/>
                <w:bCs w:val="1"/>
                <w:color w:val="auto"/>
              </w:rPr>
              <w:t>Total</w:t>
            </w:r>
          </w:p>
        </w:tc>
        <w:tc>
          <w:tcPr>
            <w:tcW w:w="920" w:type="dxa"/>
            <w:vAlign w:val="bottom"/>
            <w:tcBorders>
              <w:bottom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43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4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97"/>
              </w:rPr>
              <w:t>Carrying</w:t>
            </w:r>
          </w:p>
        </w:tc>
        <w:tc>
          <w:tcPr>
            <w:tcW w:w="120" w:type="dxa"/>
            <w:vAlign w:val="bottom"/>
          </w:tcPr>
          <w:p>
            <w:pPr>
              <w:spacing w:after="0"/>
              <w:rPr>
                <w:sz w:val="8"/>
                <w:szCs w:val="8"/>
                <w:color w:val="auto"/>
              </w:rPr>
            </w:pPr>
          </w:p>
        </w:tc>
        <w:tc>
          <w:tcPr>
            <w:tcW w:w="880" w:type="dxa"/>
            <w:vAlign w:val="bottom"/>
          </w:tcPr>
          <w:p>
            <w:pPr>
              <w:jc w:val="center"/>
              <w:ind w:right="36"/>
              <w:spacing w:after="0" w:line="102" w:lineRule="exact"/>
              <w:rPr>
                <w:sz w:val="20"/>
                <w:szCs w:val="20"/>
                <w:color w:val="auto"/>
              </w:rPr>
            </w:pPr>
            <w:r>
              <w:rPr>
                <w:rFonts w:ascii="Arial" w:cs="Arial" w:eastAsia="Arial" w:hAnsi="Arial"/>
                <w:sz w:val="11"/>
                <w:szCs w:val="11"/>
                <w:b w:val="1"/>
                <w:bCs w:val="1"/>
                <w:color w:val="auto"/>
              </w:rPr>
              <w:t>Gross</w:t>
            </w:r>
          </w:p>
        </w:tc>
        <w:tc>
          <w:tcPr>
            <w:tcW w:w="1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2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7"/>
              </w:rPr>
              <w:t>Carrying</w:t>
            </w:r>
          </w:p>
        </w:tc>
        <w:tc>
          <w:tcPr>
            <w:tcW w:w="160" w:type="dxa"/>
            <w:vAlign w:val="bottom"/>
          </w:tcPr>
          <w:p>
            <w:pPr>
              <w:spacing w:after="0"/>
              <w:rPr>
                <w:sz w:val="8"/>
                <w:szCs w:val="8"/>
                <w:color w:val="auto"/>
              </w:rPr>
            </w:pPr>
          </w:p>
        </w:tc>
        <w:tc>
          <w:tcPr>
            <w:tcW w:w="880" w:type="dxa"/>
            <w:vAlign w:val="bottom"/>
          </w:tcPr>
          <w:p>
            <w:pPr>
              <w:jc w:val="center"/>
              <w:ind w:right="76"/>
              <w:spacing w:after="0" w:line="102" w:lineRule="exact"/>
              <w:rPr>
                <w:sz w:val="20"/>
                <w:szCs w:val="20"/>
                <w:color w:val="auto"/>
              </w:rPr>
            </w:pPr>
            <w:r>
              <w:rPr>
                <w:rFonts w:ascii="Arial" w:cs="Arial" w:eastAsia="Arial" w:hAnsi="Arial"/>
                <w:sz w:val="11"/>
                <w:szCs w:val="11"/>
                <w:b w:val="1"/>
                <w:bCs w:val="1"/>
                <w:color w:val="auto"/>
              </w:rPr>
              <w:t>Gross</w:t>
            </w:r>
          </w:p>
        </w:tc>
        <w:tc>
          <w:tcPr>
            <w:tcW w:w="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6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7"/>
              </w:rPr>
              <w:t>Carrying</w:t>
            </w: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920" w:type="dxa"/>
            <w:vAlign w:val="bottom"/>
          </w:tcPr>
          <w:p>
            <w:pPr>
              <w:jc w:val="center"/>
              <w:ind w:right="76"/>
              <w:spacing w:after="0" w:line="102" w:lineRule="exact"/>
              <w:rPr>
                <w:sz w:val="20"/>
                <w:szCs w:val="20"/>
                <w:color w:val="auto"/>
              </w:rPr>
            </w:pPr>
            <w:r>
              <w:rPr>
                <w:rFonts w:ascii="Arial" w:cs="Arial" w:eastAsia="Arial" w:hAnsi="Arial"/>
                <w:sz w:val="11"/>
                <w:szCs w:val="11"/>
                <w:b w:val="1"/>
                <w:bCs w:val="1"/>
                <w:color w:val="auto"/>
              </w:rPr>
              <w:t>Gross</w:t>
            </w: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43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tcPr>
          <w:p>
            <w:pPr>
              <w:jc w:val="center"/>
              <w:ind w:right="56"/>
              <w:spacing w:after="0" w:line="135" w:lineRule="exact"/>
              <w:rPr>
                <w:sz w:val="20"/>
                <w:szCs w:val="20"/>
                <w:color w:val="auto"/>
              </w:rPr>
            </w:pPr>
            <w:r>
              <w:rPr>
                <w:rFonts w:ascii="Arial" w:cs="Arial" w:eastAsia="Arial" w:hAnsi="Arial"/>
                <w:sz w:val="14"/>
                <w:szCs w:val="14"/>
                <w:b w:val="1"/>
                <w:bCs w:val="1"/>
                <w:color w:val="auto"/>
                <w:w w:val="93"/>
              </w:rPr>
              <w:t>Unrealized</w:t>
            </w: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jc w:val="center"/>
              <w:ind w:right="76"/>
              <w:spacing w:after="0" w:line="135" w:lineRule="exact"/>
              <w:rPr>
                <w:sz w:val="20"/>
                <w:szCs w:val="20"/>
                <w:color w:val="auto"/>
              </w:rPr>
            </w:pPr>
            <w:r>
              <w:rPr>
                <w:rFonts w:ascii="Arial" w:cs="Arial" w:eastAsia="Arial" w:hAnsi="Arial"/>
                <w:sz w:val="14"/>
                <w:szCs w:val="14"/>
                <w:b w:val="1"/>
                <w:bCs w:val="1"/>
                <w:color w:val="auto"/>
                <w:w w:val="95"/>
              </w:rPr>
              <w:t>Unrealized</w:t>
            </w: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gridSpan w:val="2"/>
          </w:tcPr>
          <w:p>
            <w:pPr>
              <w:jc w:val="center"/>
              <w:ind w:right="160"/>
              <w:spacing w:after="0" w:line="135" w:lineRule="exact"/>
              <w:rPr>
                <w:sz w:val="20"/>
                <w:szCs w:val="20"/>
                <w:color w:val="auto"/>
              </w:rPr>
            </w:pPr>
            <w:r>
              <w:rPr>
                <w:rFonts w:ascii="Arial" w:cs="Arial" w:eastAsia="Arial" w:hAnsi="Arial"/>
                <w:sz w:val="14"/>
                <w:szCs w:val="14"/>
                <w:b w:val="1"/>
                <w:bCs w:val="1"/>
                <w:color w:val="auto"/>
                <w:w w:val="93"/>
              </w:rPr>
              <w:t>Unrealized</w:t>
            </w:r>
          </w:p>
        </w:tc>
        <w:tc>
          <w:tcPr>
            <w:tcW w:w="0" w:type="dxa"/>
            <w:vAlign w:val="bottom"/>
          </w:tcPr>
          <w:p>
            <w:pPr>
              <w:spacing w:after="0"/>
              <w:rPr>
                <w:sz w:val="1"/>
                <w:szCs w:val="1"/>
                <w:color w:val="auto"/>
              </w:rPr>
            </w:pPr>
          </w:p>
        </w:tc>
      </w:tr>
      <w:tr>
        <w:trPr>
          <w:trHeight w:val="162"/>
        </w:trPr>
        <w:tc>
          <w:tcPr>
            <w:tcW w:w="4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Amount</w:t>
            </w:r>
          </w:p>
        </w:tc>
        <w:tc>
          <w:tcPr>
            <w:tcW w:w="120" w:type="dxa"/>
            <w:vAlign w:val="bottom"/>
          </w:tcPr>
          <w:p>
            <w:pPr>
              <w:spacing w:after="0"/>
              <w:rPr>
                <w:sz w:val="14"/>
                <w:szCs w:val="14"/>
                <w:color w:val="auto"/>
              </w:rPr>
            </w:pPr>
          </w:p>
        </w:tc>
        <w:tc>
          <w:tcPr>
            <w:tcW w:w="880" w:type="dxa"/>
            <w:vAlign w:val="bottom"/>
          </w:tcPr>
          <w:p>
            <w:pPr>
              <w:jc w:val="center"/>
              <w:ind w:right="36"/>
              <w:spacing w:after="0"/>
              <w:rPr>
                <w:sz w:val="20"/>
                <w:szCs w:val="20"/>
                <w:color w:val="auto"/>
              </w:rPr>
            </w:pPr>
            <w:r>
              <w:rPr>
                <w:rFonts w:ascii="Arial" w:cs="Arial" w:eastAsia="Arial" w:hAnsi="Arial"/>
                <w:sz w:val="14"/>
                <w:szCs w:val="14"/>
                <w:b w:val="1"/>
                <w:bCs w:val="1"/>
                <w:color w:val="auto"/>
                <w:w w:val="82"/>
              </w:rPr>
              <w:t>Losses</w:t>
            </w: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8"/>
              </w:rPr>
              <w:t>Amount</w:t>
            </w:r>
          </w:p>
        </w:tc>
        <w:tc>
          <w:tcPr>
            <w:tcW w:w="160" w:type="dxa"/>
            <w:vAlign w:val="bottom"/>
          </w:tcPr>
          <w:p>
            <w:pPr>
              <w:spacing w:after="0"/>
              <w:rPr>
                <w:sz w:val="14"/>
                <w:szCs w:val="14"/>
                <w:color w:val="auto"/>
              </w:rPr>
            </w:pPr>
          </w:p>
        </w:tc>
        <w:tc>
          <w:tcPr>
            <w:tcW w:w="880" w:type="dxa"/>
            <w:vAlign w:val="bottom"/>
          </w:tcPr>
          <w:p>
            <w:pPr>
              <w:jc w:val="center"/>
              <w:ind w:right="76"/>
              <w:spacing w:after="0"/>
              <w:rPr>
                <w:sz w:val="20"/>
                <w:szCs w:val="20"/>
                <w:color w:val="auto"/>
              </w:rPr>
            </w:pPr>
            <w:r>
              <w:rPr>
                <w:rFonts w:ascii="Arial" w:cs="Arial" w:eastAsia="Arial" w:hAnsi="Arial"/>
                <w:sz w:val="14"/>
                <w:szCs w:val="14"/>
                <w:b w:val="1"/>
                <w:bCs w:val="1"/>
                <w:color w:val="auto"/>
                <w:w w:val="82"/>
              </w:rPr>
              <w:t>Losses</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8"/>
              </w:rPr>
              <w:t>Amount</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129"/>
        </w:trPr>
        <w:tc>
          <w:tcPr>
            <w:tcW w:w="438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060" w:type="dxa"/>
            <w:vAlign w:val="bottom"/>
            <w:tcBorders>
              <w:top w:val="single" w:sz="8" w:color="auto"/>
            </w:tcBorders>
            <w:gridSpan w:val="4"/>
          </w:tcPr>
          <w:p>
            <w:pPr>
              <w:jc w:val="center"/>
              <w:ind w:right="36"/>
              <w:spacing w:after="0" w:line="129" w:lineRule="exact"/>
              <w:rPr>
                <w:sz w:val="20"/>
                <w:szCs w:val="20"/>
                <w:color w:val="auto"/>
              </w:rPr>
            </w:pPr>
            <w:r>
              <w:rPr>
                <w:rFonts w:ascii="Arial" w:cs="Arial" w:eastAsia="Arial" w:hAnsi="Arial"/>
                <w:sz w:val="14"/>
                <w:szCs w:val="14"/>
                <w:b w:val="1"/>
                <w:bCs w:val="1"/>
                <w:color w:val="auto"/>
                <w:w w:val="94"/>
              </w:rPr>
              <w:t>(in millions)</w:t>
            </w:r>
          </w:p>
        </w:tc>
        <w:tc>
          <w:tcPr>
            <w:tcW w:w="18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Three months or less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161.8</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3.4</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80.1</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241.9</w:t>
            </w:r>
          </w:p>
        </w:tc>
        <w:tc>
          <w:tcPr>
            <w:tcW w:w="18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4.4</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tcPr>
          <w:p>
            <w:pPr>
              <w:spacing w:after="0"/>
              <w:rPr>
                <w:sz w:val="20"/>
                <w:szCs w:val="20"/>
                <w:color w:val="auto"/>
              </w:rPr>
            </w:pPr>
            <w:r>
              <w:rPr>
                <w:rFonts w:ascii="Arial" w:cs="Arial" w:eastAsia="Arial" w:hAnsi="Arial"/>
                <w:sz w:val="18"/>
                <w:szCs w:val="18"/>
                <w:color w:val="auto"/>
              </w:rPr>
              <w:t>Greater than three to six months</w:t>
            </w: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81.9</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2.5</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96.3</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3.0</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178.2</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Greater than six to nine months</w:t>
            </w: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45.7</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0.7</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72.3</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3.7</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118.0</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4.4</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tcPr>
          <w:p>
            <w:pPr>
              <w:spacing w:after="0"/>
              <w:rPr>
                <w:sz w:val="20"/>
                <w:szCs w:val="20"/>
                <w:color w:val="auto"/>
              </w:rPr>
            </w:pPr>
            <w:r>
              <w:rPr>
                <w:rFonts w:ascii="Arial" w:cs="Arial" w:eastAsia="Arial" w:hAnsi="Arial"/>
                <w:sz w:val="18"/>
                <w:szCs w:val="18"/>
                <w:color w:val="auto"/>
              </w:rPr>
              <w:t>Greater than nine to twelve months</w:t>
            </w: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79.3</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5.0</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69.2</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3.3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148.5</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8.3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Greater than twelve to twenty-four months</w:t>
            </w: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84.9</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4.3</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52.9</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3.0</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137.8</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7.3</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tcPr>
          <w:p>
            <w:pPr>
              <w:spacing w:after="0"/>
              <w:rPr>
                <w:sz w:val="20"/>
                <w:szCs w:val="20"/>
                <w:color w:val="auto"/>
              </w:rPr>
            </w:pPr>
            <w:r>
              <w:rPr>
                <w:rFonts w:ascii="Arial" w:cs="Arial" w:eastAsia="Arial" w:hAnsi="Arial"/>
                <w:sz w:val="18"/>
                <w:szCs w:val="18"/>
                <w:color w:val="auto"/>
              </w:rPr>
              <w:t>Greater than twenty-four to thirty-six months</w:t>
            </w:r>
          </w:p>
        </w:tc>
        <w:tc>
          <w:tcPr>
            <w:tcW w:w="160" w:type="dxa"/>
            <w:vAlign w:val="bottom"/>
          </w:tcPr>
          <w:p>
            <w:pPr>
              <w:spacing w:after="0"/>
              <w:rPr>
                <w:sz w:val="18"/>
                <w:szCs w:val="18"/>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0.6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0.6</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Greater than thirty-six months</w:t>
            </w: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0"/>
        </w:trPr>
        <w:tc>
          <w:tcPr>
            <w:tcW w:w="4380" w:type="dxa"/>
            <w:vAlign w:val="bottom"/>
          </w:tcPr>
          <w:p>
            <w:pPr>
              <w:ind w:left="180"/>
              <w:spacing w:after="0"/>
              <w:rPr>
                <w:sz w:val="20"/>
                <w:szCs w:val="20"/>
                <w:color w:val="auto"/>
              </w:rPr>
            </w:pPr>
            <w:r>
              <w:rPr>
                <w:rFonts w:ascii="Arial" w:cs="Arial" w:eastAsia="Arial" w:hAnsi="Arial"/>
                <w:sz w:val="18"/>
                <w:szCs w:val="18"/>
                <w:color w:val="auto"/>
              </w:rPr>
              <w:t>Total fixed maturities, available-for-sale</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453.6</w:t>
            </w:r>
          </w:p>
        </w:tc>
        <w:tc>
          <w:tcPr>
            <w:tcW w:w="1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15.9</w:t>
            </w:r>
          </w:p>
        </w:tc>
        <w:tc>
          <w:tcPr>
            <w:tcW w:w="18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371.4</w:t>
            </w:r>
          </w:p>
        </w:tc>
        <w:tc>
          <w:tcPr>
            <w:tcW w:w="16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14.1</w:t>
            </w:r>
          </w:p>
        </w:tc>
        <w:tc>
          <w:tcPr>
            <w:tcW w:w="18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825.0</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3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U.S. Invested Assets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Unrealized Losses on Below Investment Grade Fixed Maturity Securities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Available-for-Sale by Aging Category</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3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4"/>
          </w:tcPr>
          <w:p>
            <w:pPr>
              <w:jc w:val="center"/>
              <w:ind w:right="56"/>
              <w:spacing w:after="0"/>
              <w:rPr>
                <w:sz w:val="20"/>
                <w:szCs w:val="20"/>
                <w:color w:val="auto"/>
              </w:rPr>
            </w:pPr>
            <w:r>
              <w:rPr>
                <w:rFonts w:ascii="Arial" w:cs="Arial" w:eastAsia="Arial" w:hAnsi="Arial"/>
                <w:sz w:val="14"/>
                <w:szCs w:val="14"/>
                <w:b w:val="1"/>
                <w:bCs w:val="1"/>
                <w:color w:val="auto"/>
                <w:w w:val="91"/>
              </w:rPr>
              <w:t>December 31, 2005</w:t>
            </w:r>
          </w:p>
        </w:tc>
        <w:tc>
          <w:tcPr>
            <w:tcW w:w="1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438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160" w:type="dxa"/>
            <w:vAlign w:val="bottom"/>
            <w:tcBorders>
              <w:bottom w:val="single" w:sz="8" w:color="auto"/>
            </w:tcBorders>
            <w:gridSpan w:val="3"/>
          </w:tcPr>
          <w:p>
            <w:pPr>
              <w:jc w:val="right"/>
              <w:spacing w:after="0" w:line="129" w:lineRule="exact"/>
              <w:rPr>
                <w:sz w:val="20"/>
                <w:szCs w:val="20"/>
                <w:color w:val="auto"/>
              </w:rPr>
            </w:pPr>
            <w:r>
              <w:rPr>
                <w:rFonts w:ascii="Arial" w:cs="Arial" w:eastAsia="Arial" w:hAnsi="Arial"/>
                <w:sz w:val="14"/>
                <w:szCs w:val="14"/>
                <w:b w:val="1"/>
                <w:bCs w:val="1"/>
                <w:color w:val="auto"/>
              </w:rPr>
              <w:t>Public</w:t>
            </w:r>
          </w:p>
        </w:tc>
        <w:tc>
          <w:tcPr>
            <w:tcW w:w="88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180" w:type="dxa"/>
            <w:vAlign w:val="bottom"/>
            <w:tcBorders>
              <w:bottom w:val="single" w:sz="8" w:color="auto"/>
            </w:tcBorders>
            <w:gridSpan w:val="3"/>
          </w:tcPr>
          <w:p>
            <w:pPr>
              <w:jc w:val="center"/>
              <w:ind w:left="617"/>
              <w:spacing w:after="0" w:line="129" w:lineRule="exact"/>
              <w:rPr>
                <w:sz w:val="20"/>
                <w:szCs w:val="20"/>
                <w:color w:val="auto"/>
              </w:rPr>
            </w:pPr>
            <w:r>
              <w:rPr>
                <w:rFonts w:ascii="Arial" w:cs="Arial" w:eastAsia="Arial" w:hAnsi="Arial"/>
                <w:sz w:val="14"/>
                <w:szCs w:val="14"/>
                <w:b w:val="1"/>
                <w:bCs w:val="1"/>
                <w:color w:val="auto"/>
                <w:w w:val="94"/>
              </w:rPr>
              <w:t>Private</w:t>
            </w:r>
          </w:p>
        </w:tc>
        <w:tc>
          <w:tcPr>
            <w:tcW w:w="88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180" w:type="dxa"/>
            <w:vAlign w:val="bottom"/>
            <w:tcBorders>
              <w:bottom w:val="single" w:sz="8" w:color="auto"/>
            </w:tcBorders>
            <w:gridSpan w:val="4"/>
          </w:tcPr>
          <w:p>
            <w:pPr>
              <w:jc w:val="right"/>
              <w:ind w:right="10"/>
              <w:spacing w:after="0" w:line="129" w:lineRule="exact"/>
              <w:rPr>
                <w:sz w:val="20"/>
                <w:szCs w:val="20"/>
                <w:color w:val="auto"/>
              </w:rPr>
            </w:pPr>
            <w:r>
              <w:rPr>
                <w:rFonts w:ascii="Arial" w:cs="Arial" w:eastAsia="Arial" w:hAnsi="Arial"/>
                <w:sz w:val="14"/>
                <w:szCs w:val="14"/>
                <w:b w:val="1"/>
                <w:bCs w:val="1"/>
                <w:color w:val="auto"/>
              </w:rPr>
              <w:t>Total</w:t>
            </w:r>
          </w:p>
        </w:tc>
        <w:tc>
          <w:tcPr>
            <w:tcW w:w="920" w:type="dxa"/>
            <w:vAlign w:val="bottom"/>
            <w:tcBorders>
              <w:bottom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43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4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97"/>
              </w:rPr>
              <w:t>Carrying</w:t>
            </w:r>
          </w:p>
        </w:tc>
        <w:tc>
          <w:tcPr>
            <w:tcW w:w="120" w:type="dxa"/>
            <w:vAlign w:val="bottom"/>
          </w:tcPr>
          <w:p>
            <w:pPr>
              <w:spacing w:after="0"/>
              <w:rPr>
                <w:sz w:val="8"/>
                <w:szCs w:val="8"/>
                <w:color w:val="auto"/>
              </w:rPr>
            </w:pPr>
          </w:p>
        </w:tc>
        <w:tc>
          <w:tcPr>
            <w:tcW w:w="880" w:type="dxa"/>
            <w:vAlign w:val="bottom"/>
          </w:tcPr>
          <w:p>
            <w:pPr>
              <w:jc w:val="center"/>
              <w:ind w:right="36"/>
              <w:spacing w:after="0" w:line="102" w:lineRule="exact"/>
              <w:rPr>
                <w:sz w:val="20"/>
                <w:szCs w:val="20"/>
                <w:color w:val="auto"/>
              </w:rPr>
            </w:pPr>
            <w:r>
              <w:rPr>
                <w:rFonts w:ascii="Arial" w:cs="Arial" w:eastAsia="Arial" w:hAnsi="Arial"/>
                <w:sz w:val="11"/>
                <w:szCs w:val="11"/>
                <w:b w:val="1"/>
                <w:bCs w:val="1"/>
                <w:color w:val="auto"/>
              </w:rPr>
              <w:t>Gross</w:t>
            </w:r>
          </w:p>
        </w:tc>
        <w:tc>
          <w:tcPr>
            <w:tcW w:w="1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2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7"/>
              </w:rPr>
              <w:t>Carrying</w:t>
            </w:r>
          </w:p>
        </w:tc>
        <w:tc>
          <w:tcPr>
            <w:tcW w:w="160" w:type="dxa"/>
            <w:vAlign w:val="bottom"/>
          </w:tcPr>
          <w:p>
            <w:pPr>
              <w:spacing w:after="0"/>
              <w:rPr>
                <w:sz w:val="8"/>
                <w:szCs w:val="8"/>
                <w:color w:val="auto"/>
              </w:rPr>
            </w:pPr>
          </w:p>
        </w:tc>
        <w:tc>
          <w:tcPr>
            <w:tcW w:w="880" w:type="dxa"/>
            <w:vAlign w:val="bottom"/>
          </w:tcPr>
          <w:p>
            <w:pPr>
              <w:jc w:val="center"/>
              <w:ind w:right="76"/>
              <w:spacing w:after="0" w:line="102" w:lineRule="exact"/>
              <w:rPr>
                <w:sz w:val="20"/>
                <w:szCs w:val="20"/>
                <w:color w:val="auto"/>
              </w:rPr>
            </w:pPr>
            <w:r>
              <w:rPr>
                <w:rFonts w:ascii="Arial" w:cs="Arial" w:eastAsia="Arial" w:hAnsi="Arial"/>
                <w:sz w:val="11"/>
                <w:szCs w:val="11"/>
                <w:b w:val="1"/>
                <w:bCs w:val="1"/>
                <w:color w:val="auto"/>
              </w:rPr>
              <w:t>Gross</w:t>
            </w:r>
          </w:p>
        </w:tc>
        <w:tc>
          <w:tcPr>
            <w:tcW w:w="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6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7"/>
              </w:rPr>
              <w:t>Carrying</w:t>
            </w: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920" w:type="dxa"/>
            <w:vAlign w:val="bottom"/>
          </w:tcPr>
          <w:p>
            <w:pPr>
              <w:jc w:val="center"/>
              <w:ind w:right="76"/>
              <w:spacing w:after="0" w:line="102" w:lineRule="exact"/>
              <w:rPr>
                <w:sz w:val="20"/>
                <w:szCs w:val="20"/>
                <w:color w:val="auto"/>
              </w:rPr>
            </w:pPr>
            <w:r>
              <w:rPr>
                <w:rFonts w:ascii="Arial" w:cs="Arial" w:eastAsia="Arial" w:hAnsi="Arial"/>
                <w:sz w:val="11"/>
                <w:szCs w:val="11"/>
                <w:b w:val="1"/>
                <w:bCs w:val="1"/>
                <w:color w:val="auto"/>
              </w:rPr>
              <w:t>Gross</w:t>
            </w: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43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tcPr>
          <w:p>
            <w:pPr>
              <w:jc w:val="center"/>
              <w:ind w:right="56"/>
              <w:spacing w:after="0" w:line="135" w:lineRule="exact"/>
              <w:rPr>
                <w:sz w:val="20"/>
                <w:szCs w:val="20"/>
                <w:color w:val="auto"/>
              </w:rPr>
            </w:pPr>
            <w:r>
              <w:rPr>
                <w:rFonts w:ascii="Arial" w:cs="Arial" w:eastAsia="Arial" w:hAnsi="Arial"/>
                <w:sz w:val="14"/>
                <w:szCs w:val="14"/>
                <w:b w:val="1"/>
                <w:bCs w:val="1"/>
                <w:color w:val="auto"/>
                <w:w w:val="93"/>
              </w:rPr>
              <w:t>Unrealized</w:t>
            </w: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jc w:val="center"/>
              <w:ind w:right="76"/>
              <w:spacing w:after="0" w:line="135" w:lineRule="exact"/>
              <w:rPr>
                <w:sz w:val="20"/>
                <w:szCs w:val="20"/>
                <w:color w:val="auto"/>
              </w:rPr>
            </w:pPr>
            <w:r>
              <w:rPr>
                <w:rFonts w:ascii="Arial" w:cs="Arial" w:eastAsia="Arial" w:hAnsi="Arial"/>
                <w:sz w:val="14"/>
                <w:szCs w:val="14"/>
                <w:b w:val="1"/>
                <w:bCs w:val="1"/>
                <w:color w:val="auto"/>
                <w:w w:val="95"/>
              </w:rPr>
              <w:t>Unrealized</w:t>
            </w: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gridSpan w:val="2"/>
          </w:tcPr>
          <w:p>
            <w:pPr>
              <w:jc w:val="center"/>
              <w:ind w:right="160"/>
              <w:spacing w:after="0" w:line="135" w:lineRule="exact"/>
              <w:rPr>
                <w:sz w:val="20"/>
                <w:szCs w:val="20"/>
                <w:color w:val="auto"/>
              </w:rPr>
            </w:pPr>
            <w:r>
              <w:rPr>
                <w:rFonts w:ascii="Arial" w:cs="Arial" w:eastAsia="Arial" w:hAnsi="Arial"/>
                <w:sz w:val="14"/>
                <w:szCs w:val="14"/>
                <w:b w:val="1"/>
                <w:bCs w:val="1"/>
                <w:color w:val="auto"/>
                <w:w w:val="93"/>
              </w:rPr>
              <w:t>Unrealized</w:t>
            </w:r>
          </w:p>
        </w:tc>
        <w:tc>
          <w:tcPr>
            <w:tcW w:w="0" w:type="dxa"/>
            <w:vAlign w:val="bottom"/>
          </w:tcPr>
          <w:p>
            <w:pPr>
              <w:spacing w:after="0"/>
              <w:rPr>
                <w:sz w:val="1"/>
                <w:szCs w:val="1"/>
                <w:color w:val="auto"/>
              </w:rPr>
            </w:pPr>
          </w:p>
        </w:tc>
      </w:tr>
      <w:tr>
        <w:trPr>
          <w:trHeight w:val="162"/>
        </w:trPr>
        <w:tc>
          <w:tcPr>
            <w:tcW w:w="4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Amount</w:t>
            </w:r>
          </w:p>
        </w:tc>
        <w:tc>
          <w:tcPr>
            <w:tcW w:w="120" w:type="dxa"/>
            <w:vAlign w:val="bottom"/>
          </w:tcPr>
          <w:p>
            <w:pPr>
              <w:spacing w:after="0"/>
              <w:rPr>
                <w:sz w:val="14"/>
                <w:szCs w:val="14"/>
                <w:color w:val="auto"/>
              </w:rPr>
            </w:pPr>
          </w:p>
        </w:tc>
        <w:tc>
          <w:tcPr>
            <w:tcW w:w="880" w:type="dxa"/>
            <w:vAlign w:val="bottom"/>
          </w:tcPr>
          <w:p>
            <w:pPr>
              <w:jc w:val="center"/>
              <w:ind w:right="36"/>
              <w:spacing w:after="0"/>
              <w:rPr>
                <w:sz w:val="20"/>
                <w:szCs w:val="20"/>
                <w:color w:val="auto"/>
              </w:rPr>
            </w:pPr>
            <w:r>
              <w:rPr>
                <w:rFonts w:ascii="Arial" w:cs="Arial" w:eastAsia="Arial" w:hAnsi="Arial"/>
                <w:sz w:val="14"/>
                <w:szCs w:val="14"/>
                <w:b w:val="1"/>
                <w:bCs w:val="1"/>
                <w:color w:val="auto"/>
                <w:w w:val="82"/>
              </w:rPr>
              <w:t>Losses</w:t>
            </w: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8"/>
              </w:rPr>
              <w:t>Amount</w:t>
            </w:r>
          </w:p>
        </w:tc>
        <w:tc>
          <w:tcPr>
            <w:tcW w:w="160" w:type="dxa"/>
            <w:vAlign w:val="bottom"/>
          </w:tcPr>
          <w:p>
            <w:pPr>
              <w:spacing w:after="0"/>
              <w:rPr>
                <w:sz w:val="14"/>
                <w:szCs w:val="14"/>
                <w:color w:val="auto"/>
              </w:rPr>
            </w:pPr>
          </w:p>
        </w:tc>
        <w:tc>
          <w:tcPr>
            <w:tcW w:w="880" w:type="dxa"/>
            <w:vAlign w:val="bottom"/>
          </w:tcPr>
          <w:p>
            <w:pPr>
              <w:jc w:val="center"/>
              <w:ind w:right="76"/>
              <w:spacing w:after="0"/>
              <w:rPr>
                <w:sz w:val="20"/>
                <w:szCs w:val="20"/>
                <w:color w:val="auto"/>
              </w:rPr>
            </w:pPr>
            <w:r>
              <w:rPr>
                <w:rFonts w:ascii="Arial" w:cs="Arial" w:eastAsia="Arial" w:hAnsi="Arial"/>
                <w:sz w:val="14"/>
                <w:szCs w:val="14"/>
                <w:b w:val="1"/>
                <w:bCs w:val="1"/>
                <w:color w:val="auto"/>
                <w:w w:val="82"/>
              </w:rPr>
              <w:t>Losses</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8"/>
              </w:rPr>
              <w:t>Amount</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129"/>
        </w:trPr>
        <w:tc>
          <w:tcPr>
            <w:tcW w:w="438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060" w:type="dxa"/>
            <w:vAlign w:val="bottom"/>
            <w:tcBorders>
              <w:top w:val="single" w:sz="8" w:color="auto"/>
            </w:tcBorders>
            <w:gridSpan w:val="4"/>
          </w:tcPr>
          <w:p>
            <w:pPr>
              <w:jc w:val="center"/>
              <w:ind w:right="36"/>
              <w:spacing w:after="0" w:line="129" w:lineRule="exact"/>
              <w:rPr>
                <w:sz w:val="20"/>
                <w:szCs w:val="20"/>
                <w:color w:val="auto"/>
              </w:rPr>
            </w:pPr>
            <w:r>
              <w:rPr>
                <w:rFonts w:ascii="Arial" w:cs="Arial" w:eastAsia="Arial" w:hAnsi="Arial"/>
                <w:sz w:val="14"/>
                <w:szCs w:val="14"/>
                <w:b w:val="1"/>
                <w:bCs w:val="1"/>
                <w:color w:val="auto"/>
                <w:w w:val="94"/>
              </w:rPr>
              <w:t>(in millions)</w:t>
            </w:r>
          </w:p>
        </w:tc>
        <w:tc>
          <w:tcPr>
            <w:tcW w:w="18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Three months or less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121.9</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55.8</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177.7</w:t>
            </w:r>
          </w:p>
        </w:tc>
        <w:tc>
          <w:tcPr>
            <w:tcW w:w="18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tcPr>
          <w:p>
            <w:pPr>
              <w:spacing w:after="0"/>
              <w:rPr>
                <w:sz w:val="20"/>
                <w:szCs w:val="20"/>
                <w:color w:val="auto"/>
              </w:rPr>
            </w:pPr>
            <w:r>
              <w:rPr>
                <w:rFonts w:ascii="Arial" w:cs="Arial" w:eastAsia="Arial" w:hAnsi="Arial"/>
                <w:sz w:val="18"/>
                <w:szCs w:val="18"/>
                <w:color w:val="auto"/>
              </w:rPr>
              <w:t>Greater than three to six months</w:t>
            </w: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81.9</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4.7</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36.4</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0.8</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118.3</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Greater than six to nine months</w:t>
            </w: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50.8</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36.8</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87.6</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tcPr>
          <w:p>
            <w:pPr>
              <w:spacing w:after="0"/>
              <w:rPr>
                <w:sz w:val="20"/>
                <w:szCs w:val="20"/>
                <w:color w:val="auto"/>
              </w:rPr>
            </w:pPr>
            <w:r>
              <w:rPr>
                <w:rFonts w:ascii="Arial" w:cs="Arial" w:eastAsia="Arial" w:hAnsi="Arial"/>
                <w:sz w:val="18"/>
                <w:szCs w:val="18"/>
                <w:color w:val="auto"/>
              </w:rPr>
              <w:t>Greater than nine to twelve months</w:t>
            </w: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49.2</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1.9</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18.4</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0.5</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67.6</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Greater than twelve to twenty-four months</w:t>
            </w: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36.9</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45.4</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tcPr>
          <w:p>
            <w:pPr>
              <w:spacing w:after="0"/>
              <w:rPr>
                <w:sz w:val="20"/>
                <w:szCs w:val="20"/>
                <w:color w:val="auto"/>
              </w:rPr>
            </w:pPr>
            <w:r>
              <w:rPr>
                <w:rFonts w:ascii="Arial" w:cs="Arial" w:eastAsia="Arial" w:hAnsi="Arial"/>
                <w:sz w:val="18"/>
                <w:szCs w:val="18"/>
                <w:color w:val="auto"/>
              </w:rPr>
              <w:t>Greater than twenty-four to thirty-six months</w:t>
            </w:r>
          </w:p>
        </w:tc>
        <w:tc>
          <w:tcPr>
            <w:tcW w:w="160" w:type="dxa"/>
            <w:vAlign w:val="bottom"/>
          </w:tcPr>
          <w:p>
            <w:pPr>
              <w:spacing w:after="0"/>
              <w:rPr>
                <w:sz w:val="18"/>
                <w:szCs w:val="18"/>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0.6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0.1</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0.6</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0.1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Greater than thirty-six months</w:t>
            </w:r>
          </w:p>
        </w:tc>
        <w:tc>
          <w:tcPr>
            <w:tcW w:w="1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49.9</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1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19.8</w:t>
            </w:r>
          </w:p>
        </w:tc>
        <w:tc>
          <w:tcPr>
            <w:tcW w:w="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1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69.7</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380" w:type="dxa"/>
            <w:vAlign w:val="bottom"/>
          </w:tcPr>
          <w:p>
            <w:pPr>
              <w:ind w:left="180"/>
              <w:spacing w:after="0"/>
              <w:rPr>
                <w:sz w:val="20"/>
                <w:szCs w:val="20"/>
                <w:color w:val="auto"/>
              </w:rPr>
            </w:pPr>
            <w:r>
              <w:rPr>
                <w:rFonts w:ascii="Arial" w:cs="Arial" w:eastAsia="Arial" w:hAnsi="Arial"/>
                <w:sz w:val="18"/>
                <w:szCs w:val="18"/>
                <w:color w:val="auto"/>
              </w:rPr>
              <w:t>Total fixed maturities, available-for-sale</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390.6</w:t>
            </w:r>
          </w:p>
        </w:tc>
        <w:tc>
          <w:tcPr>
            <w:tcW w:w="18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9.9</w:t>
            </w:r>
          </w:p>
        </w:tc>
        <w:tc>
          <w:tcPr>
            <w:tcW w:w="18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176.3</w:t>
            </w:r>
          </w:p>
        </w:tc>
        <w:tc>
          <w:tcPr>
            <w:tcW w:w="16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w:t>
            </w:r>
          </w:p>
        </w:tc>
        <w:tc>
          <w:tcPr>
            <w:tcW w:w="18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566.9</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3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jc w:val="both"/>
        <w:ind w:right="600" w:firstLine="648"/>
        <w:spacing w:after="0" w:line="264" w:lineRule="auto"/>
        <w:rPr>
          <w:sz w:val="20"/>
          <w:szCs w:val="20"/>
          <w:color w:val="auto"/>
        </w:rPr>
      </w:pPr>
      <w:r>
        <w:rPr>
          <w:rFonts w:ascii="Arial" w:cs="Arial" w:eastAsia="Arial" w:hAnsi="Arial"/>
          <w:sz w:val="18"/>
          <w:szCs w:val="18"/>
          <w:color w:val="auto"/>
        </w:rPr>
        <w:t>Of total gross unrealized losses as of June 30, 2006 and December 31, 2005, $725.1 million and $228.5 million were related to investment grade securities, respectively. Gross unrealized losses related to below investment grade securities were $30.0 million and $15.0 million as of June 30, 2006 and December 31, 2005, respectively.</w:t>
      </w:r>
    </w:p>
    <w:p>
      <w:pPr>
        <w:spacing w:after="0" w:line="181" w:lineRule="exact"/>
        <w:rPr>
          <w:sz w:val="20"/>
          <w:szCs w:val="20"/>
          <w:color w:val="auto"/>
        </w:rPr>
      </w:pPr>
    </w:p>
    <w:p>
      <w:pPr>
        <w:ind w:right="340" w:firstLine="648"/>
        <w:spacing w:after="0" w:line="277" w:lineRule="auto"/>
        <w:rPr>
          <w:sz w:val="20"/>
          <w:szCs w:val="20"/>
          <w:color w:val="auto"/>
        </w:rPr>
      </w:pPr>
      <w:r>
        <w:rPr>
          <w:rFonts w:ascii="Arial" w:cs="Arial" w:eastAsia="Arial" w:hAnsi="Arial"/>
          <w:sz w:val="18"/>
          <w:szCs w:val="18"/>
          <w:color w:val="auto"/>
        </w:rPr>
        <w:t>The following tables present the carrying amount and gross unrealized losses on fixed maturity securities available-for-sale, where the estimated fair value has declined and remained below amortized cost by 20% or more as of June 30, 2006, and December 31, 2005.</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U.S. Invested Assets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Unrealized Losses on Fixed Maturity Securities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Available-for-Sale by Aging Category</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4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gridSpan w:val="3"/>
          </w:tcPr>
          <w:p>
            <w:pPr>
              <w:jc w:val="center"/>
              <w:ind w:left="583"/>
              <w:spacing w:after="0"/>
              <w:rPr>
                <w:sz w:val="20"/>
                <w:szCs w:val="20"/>
                <w:color w:val="auto"/>
              </w:rPr>
            </w:pPr>
            <w:r>
              <w:rPr>
                <w:rFonts w:ascii="Arial" w:cs="Arial" w:eastAsia="Arial" w:hAnsi="Arial"/>
                <w:sz w:val="14"/>
                <w:szCs w:val="14"/>
                <w:b w:val="1"/>
                <w:bCs w:val="1"/>
                <w:color w:val="auto"/>
                <w:w w:val="92"/>
              </w:rPr>
              <w:t>June 30, 2006</w:t>
            </w:r>
          </w:p>
        </w:tc>
        <w:tc>
          <w:tcPr>
            <w:tcW w:w="92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2460" w:type="dxa"/>
            <w:vAlign w:val="bottom"/>
          </w:tcPr>
          <w:p>
            <w:pPr>
              <w:spacing w:after="0"/>
              <w:rPr>
                <w:sz w:val="8"/>
                <w:szCs w:val="8"/>
                <w:color w:val="auto"/>
              </w:rPr>
            </w:pPr>
          </w:p>
        </w:tc>
        <w:tc>
          <w:tcPr>
            <w:tcW w:w="500" w:type="dxa"/>
            <w:vAlign w:val="bottom"/>
          </w:tcPr>
          <w:p>
            <w:pPr>
              <w:spacing w:after="0"/>
              <w:rPr>
                <w:sz w:val="8"/>
                <w:szCs w:val="8"/>
                <w:color w:val="auto"/>
              </w:rPr>
            </w:pPr>
          </w:p>
        </w:tc>
        <w:tc>
          <w:tcPr>
            <w:tcW w:w="2440" w:type="dxa"/>
            <w:vAlign w:val="bottom"/>
            <w:gridSpan w:val="4"/>
          </w:tcPr>
          <w:p>
            <w:pPr>
              <w:jc w:val="center"/>
              <w:ind w:left="150"/>
              <w:spacing w:after="0" w:line="102" w:lineRule="exact"/>
              <w:rPr>
                <w:sz w:val="20"/>
                <w:szCs w:val="20"/>
                <w:color w:val="auto"/>
              </w:rPr>
            </w:pPr>
            <w:r>
              <w:rPr>
                <w:rFonts w:ascii="Arial" w:cs="Arial" w:eastAsia="Arial" w:hAnsi="Arial"/>
                <w:sz w:val="11"/>
                <w:szCs w:val="11"/>
                <w:b w:val="1"/>
                <w:bCs w:val="1"/>
                <w:color w:val="auto"/>
              </w:rPr>
              <w:t>Problem, Potential Problem,</w:t>
            </w:r>
          </w:p>
        </w:tc>
        <w:tc>
          <w:tcPr>
            <w:tcW w:w="220" w:type="dxa"/>
            <w:vAlign w:val="bottom"/>
          </w:tcPr>
          <w:p>
            <w:pPr>
              <w:spacing w:after="0"/>
              <w:rPr>
                <w:sz w:val="8"/>
                <w:szCs w:val="8"/>
                <w:color w:val="auto"/>
              </w:rPr>
            </w:pPr>
          </w:p>
        </w:tc>
        <w:tc>
          <w:tcPr>
            <w:tcW w:w="280" w:type="dxa"/>
            <w:vAlign w:val="bottom"/>
          </w:tcPr>
          <w:p>
            <w:pPr>
              <w:spacing w:after="0"/>
              <w:rPr>
                <w:sz w:val="8"/>
                <w:szCs w:val="8"/>
                <w:color w:val="auto"/>
              </w:rPr>
            </w:pPr>
          </w:p>
        </w:tc>
        <w:tc>
          <w:tcPr>
            <w:tcW w:w="200" w:type="dxa"/>
            <w:vAlign w:val="bottom"/>
          </w:tcPr>
          <w:p>
            <w:pPr>
              <w:spacing w:after="0"/>
              <w:rPr>
                <w:sz w:val="8"/>
                <w:szCs w:val="8"/>
                <w:color w:val="auto"/>
              </w:rPr>
            </w:pPr>
          </w:p>
        </w:tc>
        <w:tc>
          <w:tcPr>
            <w:tcW w:w="2700" w:type="dxa"/>
            <w:vAlign w:val="bottom"/>
            <w:gridSpan w:val="5"/>
          </w:tcPr>
          <w:p>
            <w:pPr>
              <w:jc w:val="center"/>
              <w:ind w:right="460"/>
              <w:spacing w:after="0" w:line="102" w:lineRule="exact"/>
              <w:rPr>
                <w:sz w:val="20"/>
                <w:szCs w:val="20"/>
                <w:color w:val="auto"/>
              </w:rPr>
            </w:pPr>
            <w:r>
              <w:rPr>
                <w:rFonts w:ascii="Arial" w:cs="Arial" w:eastAsia="Arial" w:hAnsi="Arial"/>
                <w:sz w:val="11"/>
                <w:szCs w:val="11"/>
                <w:b w:val="1"/>
                <w:bCs w:val="1"/>
                <w:color w:val="auto"/>
              </w:rPr>
              <w:t>All Other Fixed Maturity</w:t>
            </w:r>
          </w:p>
        </w:tc>
        <w:tc>
          <w:tcPr>
            <w:tcW w:w="200" w:type="dxa"/>
            <w:vAlign w:val="bottom"/>
          </w:tcPr>
          <w:p>
            <w:pPr>
              <w:spacing w:after="0"/>
              <w:rPr>
                <w:sz w:val="8"/>
                <w:szCs w:val="8"/>
                <w:color w:val="auto"/>
              </w:rPr>
            </w:pPr>
          </w:p>
        </w:tc>
        <w:tc>
          <w:tcPr>
            <w:tcW w:w="1400" w:type="dxa"/>
            <w:vAlign w:val="bottom"/>
            <w:gridSpan w:val="3"/>
            <w:vMerge w:val="restart"/>
          </w:tcPr>
          <w:p>
            <w:pPr>
              <w:jc w:val="right"/>
              <w:ind w:right="160"/>
              <w:spacing w:after="0"/>
              <w:rPr>
                <w:sz w:val="20"/>
                <w:szCs w:val="20"/>
                <w:color w:val="auto"/>
              </w:rPr>
            </w:pPr>
            <w:r>
              <w:rPr>
                <w:rFonts w:ascii="Arial" w:cs="Arial" w:eastAsia="Arial" w:hAnsi="Arial"/>
                <w:sz w:val="14"/>
                <w:szCs w:val="14"/>
                <w:b w:val="1"/>
                <w:bCs w:val="1"/>
                <w:color w:val="auto"/>
              </w:rPr>
              <w:t>Total</w:t>
            </w: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2"/>
        </w:trPr>
        <w:tc>
          <w:tcPr>
            <w:tcW w:w="24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440" w:type="dxa"/>
            <w:vAlign w:val="bottom"/>
            <w:tcBorders>
              <w:bottom w:val="single" w:sz="8" w:color="auto"/>
            </w:tcBorders>
            <w:gridSpan w:val="4"/>
          </w:tcPr>
          <w:p>
            <w:pPr>
              <w:jc w:val="center"/>
              <w:ind w:left="150"/>
              <w:spacing w:after="0"/>
              <w:rPr>
                <w:sz w:val="20"/>
                <w:szCs w:val="20"/>
                <w:color w:val="auto"/>
              </w:rPr>
            </w:pPr>
            <w:r>
              <w:rPr>
                <w:rFonts w:ascii="Arial" w:cs="Arial" w:eastAsia="Arial" w:hAnsi="Arial"/>
                <w:sz w:val="14"/>
                <w:szCs w:val="14"/>
                <w:b w:val="1"/>
                <w:bCs w:val="1"/>
                <w:color w:val="auto"/>
                <w:w w:val="94"/>
              </w:rPr>
              <w:t>and Restructured</w:t>
            </w:r>
          </w:p>
        </w:tc>
        <w:tc>
          <w:tcPr>
            <w:tcW w:w="22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gridSpan w:val="3"/>
          </w:tcPr>
          <w:p>
            <w:pPr>
              <w:jc w:val="center"/>
              <w:ind w:left="663"/>
              <w:spacing w:after="0"/>
              <w:rPr>
                <w:sz w:val="20"/>
                <w:szCs w:val="20"/>
                <w:color w:val="auto"/>
              </w:rPr>
            </w:pPr>
            <w:r>
              <w:rPr>
                <w:rFonts w:ascii="Arial" w:cs="Arial" w:eastAsia="Arial" w:hAnsi="Arial"/>
                <w:sz w:val="14"/>
                <w:szCs w:val="14"/>
                <w:b w:val="1"/>
                <w:bCs w:val="1"/>
                <w:color w:val="auto"/>
                <w:w w:val="89"/>
              </w:rPr>
              <w:t>Securities</w:t>
            </w:r>
          </w:p>
        </w:tc>
        <w:tc>
          <w:tcPr>
            <w:tcW w:w="92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3"/>
            <w:vMerge w:val="continue"/>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2460" w:type="dxa"/>
            <w:vAlign w:val="bottom"/>
          </w:tcPr>
          <w:p>
            <w:pPr>
              <w:spacing w:after="0"/>
              <w:rPr>
                <w:sz w:val="8"/>
                <w:szCs w:val="8"/>
                <w:color w:val="auto"/>
              </w:rPr>
            </w:pPr>
          </w:p>
        </w:tc>
        <w:tc>
          <w:tcPr>
            <w:tcW w:w="500" w:type="dxa"/>
            <w:vAlign w:val="bottom"/>
          </w:tcPr>
          <w:p>
            <w:pPr>
              <w:spacing w:after="0"/>
              <w:rPr>
                <w:sz w:val="8"/>
                <w:szCs w:val="8"/>
                <w:color w:val="auto"/>
              </w:rPr>
            </w:pPr>
          </w:p>
        </w:tc>
        <w:tc>
          <w:tcPr>
            <w:tcW w:w="9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Carrying</w:t>
            </w:r>
          </w:p>
        </w:tc>
        <w:tc>
          <w:tcPr>
            <w:tcW w:w="260" w:type="dxa"/>
            <w:vAlign w:val="bottom"/>
          </w:tcPr>
          <w:p>
            <w:pPr>
              <w:spacing w:after="0"/>
              <w:rPr>
                <w:sz w:val="8"/>
                <w:szCs w:val="8"/>
                <w:color w:val="auto"/>
              </w:rPr>
            </w:pPr>
          </w:p>
        </w:tc>
        <w:tc>
          <w:tcPr>
            <w:tcW w:w="280" w:type="dxa"/>
            <w:vAlign w:val="bottom"/>
          </w:tcPr>
          <w:p>
            <w:pPr>
              <w:spacing w:after="0"/>
              <w:rPr>
                <w:sz w:val="8"/>
                <w:szCs w:val="8"/>
                <w:color w:val="auto"/>
              </w:rPr>
            </w:pPr>
          </w:p>
        </w:tc>
        <w:tc>
          <w:tcPr>
            <w:tcW w:w="960" w:type="dxa"/>
            <w:vAlign w:val="bottom"/>
          </w:tcPr>
          <w:p>
            <w:pPr>
              <w:jc w:val="center"/>
              <w:ind w:left="127"/>
              <w:spacing w:after="0" w:line="102" w:lineRule="exact"/>
              <w:rPr>
                <w:sz w:val="20"/>
                <w:szCs w:val="20"/>
                <w:color w:val="auto"/>
              </w:rPr>
            </w:pPr>
            <w:r>
              <w:rPr>
                <w:rFonts w:ascii="Arial" w:cs="Arial" w:eastAsia="Arial" w:hAnsi="Arial"/>
                <w:sz w:val="11"/>
                <w:szCs w:val="11"/>
                <w:b w:val="1"/>
                <w:bCs w:val="1"/>
                <w:color w:val="auto"/>
              </w:rPr>
              <w:t>Gross</w:t>
            </w:r>
          </w:p>
        </w:tc>
        <w:tc>
          <w:tcPr>
            <w:tcW w:w="220" w:type="dxa"/>
            <w:vAlign w:val="bottom"/>
          </w:tcPr>
          <w:p>
            <w:pPr>
              <w:spacing w:after="0"/>
              <w:rPr>
                <w:sz w:val="8"/>
                <w:szCs w:val="8"/>
                <w:color w:val="auto"/>
              </w:rPr>
            </w:pPr>
          </w:p>
        </w:tc>
        <w:tc>
          <w:tcPr>
            <w:tcW w:w="28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6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7"/>
              </w:rPr>
              <w:t>Carrying</w:t>
            </w:r>
          </w:p>
        </w:tc>
        <w:tc>
          <w:tcPr>
            <w:tcW w:w="240" w:type="dxa"/>
            <w:vAlign w:val="bottom"/>
          </w:tcPr>
          <w:p>
            <w:pPr>
              <w:spacing w:after="0"/>
              <w:rPr>
                <w:sz w:val="8"/>
                <w:szCs w:val="8"/>
                <w:color w:val="auto"/>
              </w:rPr>
            </w:pPr>
          </w:p>
        </w:tc>
        <w:tc>
          <w:tcPr>
            <w:tcW w:w="920" w:type="dxa"/>
            <w:vAlign w:val="bottom"/>
          </w:tcPr>
          <w:p>
            <w:pPr>
              <w:jc w:val="center"/>
              <w:ind w:right="158"/>
              <w:spacing w:after="0" w:line="102" w:lineRule="exact"/>
              <w:rPr>
                <w:sz w:val="20"/>
                <w:szCs w:val="20"/>
                <w:color w:val="auto"/>
              </w:rPr>
            </w:pPr>
            <w:r>
              <w:rPr>
                <w:rFonts w:ascii="Arial" w:cs="Arial" w:eastAsia="Arial" w:hAnsi="Arial"/>
                <w:sz w:val="11"/>
                <w:szCs w:val="11"/>
                <w:b w:val="1"/>
                <w:bCs w:val="1"/>
                <w:color w:val="auto"/>
              </w:rPr>
              <w:t>Gross</w:t>
            </w:r>
          </w:p>
        </w:tc>
        <w:tc>
          <w:tcPr>
            <w:tcW w:w="280" w:type="dxa"/>
            <w:vAlign w:val="bottom"/>
          </w:tcPr>
          <w:p>
            <w:pPr>
              <w:spacing w:after="0"/>
              <w:rPr>
                <w:sz w:val="8"/>
                <w:szCs w:val="8"/>
                <w:color w:val="auto"/>
              </w:rPr>
            </w:pPr>
          </w:p>
        </w:tc>
        <w:tc>
          <w:tcPr>
            <w:tcW w:w="200" w:type="dxa"/>
            <w:vAlign w:val="bottom"/>
          </w:tcPr>
          <w:p>
            <w:pPr>
              <w:spacing w:after="0"/>
              <w:rPr>
                <w:sz w:val="8"/>
                <w:szCs w:val="8"/>
                <w:color w:val="auto"/>
              </w:rPr>
            </w:pPr>
          </w:p>
        </w:tc>
        <w:tc>
          <w:tcPr>
            <w:tcW w:w="960" w:type="dxa"/>
            <w:vAlign w:val="bottom"/>
            <w:vMerge w:val="restart"/>
          </w:tcPr>
          <w:p>
            <w:pPr>
              <w:jc w:val="right"/>
              <w:ind w:right="217"/>
              <w:spacing w:after="0"/>
              <w:rPr>
                <w:sz w:val="20"/>
                <w:szCs w:val="20"/>
                <w:color w:val="auto"/>
              </w:rPr>
            </w:pPr>
            <w:r>
              <w:rPr>
                <w:rFonts w:ascii="Arial" w:cs="Arial" w:eastAsia="Arial" w:hAnsi="Arial"/>
                <w:sz w:val="14"/>
                <w:szCs w:val="14"/>
                <w:b w:val="1"/>
                <w:bCs w:val="1"/>
                <w:color w:val="auto"/>
              </w:rPr>
              <w:t>Carrying</w:t>
            </w:r>
          </w:p>
        </w:tc>
        <w:tc>
          <w:tcPr>
            <w:tcW w:w="2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0" w:type="dxa"/>
            <w:vAlign w:val="bottom"/>
          </w:tcPr>
          <w:p>
            <w:pPr>
              <w:jc w:val="center"/>
              <w:ind w:right="118"/>
              <w:spacing w:after="0" w:line="102" w:lineRule="exact"/>
              <w:rPr>
                <w:sz w:val="20"/>
                <w:szCs w:val="20"/>
                <w:color w:val="auto"/>
              </w:rPr>
            </w:pPr>
            <w:r>
              <w:rPr>
                <w:rFonts w:ascii="Arial" w:cs="Arial" w:eastAsia="Arial" w:hAnsi="Arial"/>
                <w:sz w:val="11"/>
                <w:szCs w:val="11"/>
                <w:b w:val="1"/>
                <w:bCs w:val="1"/>
                <w:color w:val="auto"/>
              </w:rPr>
              <w:t>Gross</w:t>
            </w: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24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40" w:type="dxa"/>
            <w:vAlign w:val="bottom"/>
            <w:vMerge w:val="continue"/>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60" w:type="dxa"/>
            <w:vAlign w:val="bottom"/>
          </w:tcPr>
          <w:p>
            <w:pPr>
              <w:jc w:val="center"/>
              <w:ind w:left="147"/>
              <w:spacing w:after="0" w:line="135" w:lineRule="exact"/>
              <w:rPr>
                <w:sz w:val="20"/>
                <w:szCs w:val="20"/>
                <w:color w:val="auto"/>
              </w:rPr>
            </w:pPr>
            <w:r>
              <w:rPr>
                <w:rFonts w:ascii="Arial" w:cs="Arial" w:eastAsia="Arial" w:hAnsi="Arial"/>
                <w:sz w:val="14"/>
                <w:szCs w:val="14"/>
                <w:b w:val="1"/>
                <w:bCs w:val="1"/>
                <w:color w:val="auto"/>
                <w:w w:val="93"/>
              </w:rPr>
              <w:t>Unrealized</w:t>
            </w: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gridSpan w:val="2"/>
          </w:tcPr>
          <w:p>
            <w:pPr>
              <w:jc w:val="center"/>
              <w:ind w:right="520"/>
              <w:spacing w:after="0" w:line="135" w:lineRule="exact"/>
              <w:rPr>
                <w:sz w:val="20"/>
                <w:szCs w:val="20"/>
                <w:color w:val="auto"/>
              </w:rPr>
            </w:pPr>
            <w:r>
              <w:rPr>
                <w:rFonts w:ascii="Arial" w:cs="Arial" w:eastAsia="Arial" w:hAnsi="Arial"/>
                <w:sz w:val="14"/>
                <w:szCs w:val="14"/>
                <w:b w:val="1"/>
                <w:bCs w:val="1"/>
                <w:color w:val="auto"/>
                <w:w w:val="95"/>
              </w:rPr>
              <w:t>Unrealized</w:t>
            </w:r>
          </w:p>
        </w:tc>
        <w:tc>
          <w:tcPr>
            <w:tcW w:w="200" w:type="dxa"/>
            <w:vAlign w:val="bottom"/>
          </w:tcPr>
          <w:p>
            <w:pPr>
              <w:spacing w:after="0"/>
              <w:rPr>
                <w:sz w:val="11"/>
                <w:szCs w:val="11"/>
                <w:color w:val="auto"/>
              </w:rPr>
            </w:pPr>
          </w:p>
        </w:tc>
        <w:tc>
          <w:tcPr>
            <w:tcW w:w="960" w:type="dxa"/>
            <w:vAlign w:val="bottom"/>
            <w:vMerge w:val="continue"/>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93"/>
              </w:rPr>
              <w:t>Unrealized</w:t>
            </w:r>
          </w:p>
        </w:tc>
        <w:tc>
          <w:tcPr>
            <w:tcW w:w="0" w:type="dxa"/>
            <w:vAlign w:val="bottom"/>
          </w:tcPr>
          <w:p>
            <w:pPr>
              <w:spacing w:after="0"/>
              <w:rPr>
                <w:sz w:val="1"/>
                <w:szCs w:val="1"/>
                <w:color w:val="auto"/>
              </w:rPr>
            </w:pPr>
          </w:p>
        </w:tc>
      </w:tr>
      <w:tr>
        <w:trPr>
          <w:trHeight w:val="162"/>
        </w:trPr>
        <w:tc>
          <w:tcPr>
            <w:tcW w:w="24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940" w:type="dxa"/>
            <w:vAlign w:val="bottom"/>
          </w:tcPr>
          <w:p>
            <w:pPr>
              <w:jc w:val="right"/>
              <w:ind w:right="30"/>
              <w:spacing w:after="0"/>
              <w:rPr>
                <w:sz w:val="20"/>
                <w:szCs w:val="20"/>
                <w:color w:val="auto"/>
              </w:rPr>
            </w:pPr>
            <w:r>
              <w:rPr>
                <w:rFonts w:ascii="Arial" w:cs="Arial" w:eastAsia="Arial" w:hAnsi="Arial"/>
                <w:sz w:val="14"/>
                <w:szCs w:val="14"/>
                <w:b w:val="1"/>
                <w:bCs w:val="1"/>
                <w:color w:val="auto"/>
              </w:rPr>
              <w:t>Amount</w:t>
            </w: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60" w:type="dxa"/>
            <w:vAlign w:val="bottom"/>
          </w:tcPr>
          <w:p>
            <w:pPr>
              <w:jc w:val="center"/>
              <w:ind w:left="127"/>
              <w:spacing w:after="0"/>
              <w:rPr>
                <w:sz w:val="20"/>
                <w:szCs w:val="20"/>
                <w:color w:val="auto"/>
              </w:rPr>
            </w:pPr>
            <w:r>
              <w:rPr>
                <w:rFonts w:ascii="Arial" w:cs="Arial" w:eastAsia="Arial" w:hAnsi="Arial"/>
                <w:sz w:val="14"/>
                <w:szCs w:val="14"/>
                <w:b w:val="1"/>
                <w:bCs w:val="1"/>
                <w:color w:val="auto"/>
                <w:w w:val="82"/>
              </w:rPr>
              <w:t>Losses</w:t>
            </w: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6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94"/>
              </w:rPr>
              <w:t>Amount</w:t>
            </w:r>
          </w:p>
        </w:tc>
        <w:tc>
          <w:tcPr>
            <w:tcW w:w="240" w:type="dxa"/>
            <w:vAlign w:val="bottom"/>
          </w:tcPr>
          <w:p>
            <w:pPr>
              <w:spacing w:after="0"/>
              <w:rPr>
                <w:sz w:val="14"/>
                <w:szCs w:val="14"/>
                <w:color w:val="auto"/>
              </w:rPr>
            </w:pPr>
          </w:p>
        </w:tc>
        <w:tc>
          <w:tcPr>
            <w:tcW w:w="1200" w:type="dxa"/>
            <w:vAlign w:val="bottom"/>
            <w:gridSpan w:val="2"/>
          </w:tcPr>
          <w:p>
            <w:pPr>
              <w:jc w:val="center"/>
              <w:ind w:right="520"/>
              <w:spacing w:after="0"/>
              <w:rPr>
                <w:sz w:val="20"/>
                <w:szCs w:val="20"/>
                <w:color w:val="auto"/>
              </w:rPr>
            </w:pPr>
            <w:r>
              <w:rPr>
                <w:rFonts w:ascii="Arial" w:cs="Arial" w:eastAsia="Arial" w:hAnsi="Arial"/>
                <w:sz w:val="14"/>
                <w:szCs w:val="14"/>
                <w:b w:val="1"/>
                <w:bCs w:val="1"/>
                <w:color w:val="auto"/>
                <w:w w:val="82"/>
              </w:rPr>
              <w:t>Losses</w:t>
            </w:r>
          </w:p>
        </w:tc>
        <w:tc>
          <w:tcPr>
            <w:tcW w:w="200" w:type="dxa"/>
            <w:vAlign w:val="bottom"/>
          </w:tcPr>
          <w:p>
            <w:pPr>
              <w:spacing w:after="0"/>
              <w:rPr>
                <w:sz w:val="14"/>
                <w:szCs w:val="14"/>
                <w:color w:val="auto"/>
              </w:rPr>
            </w:pPr>
          </w:p>
        </w:tc>
        <w:tc>
          <w:tcPr>
            <w:tcW w:w="960" w:type="dxa"/>
            <w:vAlign w:val="bottom"/>
          </w:tcPr>
          <w:p>
            <w:pPr>
              <w:jc w:val="right"/>
              <w:ind w:right="257"/>
              <w:spacing w:after="0"/>
              <w:rPr>
                <w:sz w:val="20"/>
                <w:szCs w:val="20"/>
                <w:color w:val="auto"/>
              </w:rPr>
            </w:pPr>
            <w:r>
              <w:rPr>
                <w:rFonts w:ascii="Arial" w:cs="Arial" w:eastAsia="Arial" w:hAnsi="Arial"/>
                <w:sz w:val="14"/>
                <w:szCs w:val="14"/>
                <w:b w:val="1"/>
                <w:bCs w:val="1"/>
                <w:color w:val="auto"/>
              </w:rPr>
              <w:t>Amount</w:t>
            </w: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129"/>
        </w:trPr>
        <w:tc>
          <w:tcPr>
            <w:tcW w:w="24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500" w:type="dxa"/>
            <w:vAlign w:val="bottom"/>
            <w:tcBorders>
              <w:top w:val="single" w:sz="8" w:color="auto"/>
            </w:tcBorders>
            <w:gridSpan w:val="3"/>
          </w:tcPr>
          <w:p>
            <w:pPr>
              <w:jc w:val="center"/>
              <w:ind w:left="563"/>
              <w:spacing w:after="0" w:line="129" w:lineRule="exact"/>
              <w:rPr>
                <w:sz w:val="20"/>
                <w:szCs w:val="20"/>
                <w:color w:val="auto"/>
              </w:rPr>
            </w:pPr>
            <w:r>
              <w:rPr>
                <w:rFonts w:ascii="Arial" w:cs="Arial" w:eastAsia="Arial" w:hAnsi="Arial"/>
                <w:sz w:val="14"/>
                <w:szCs w:val="14"/>
                <w:b w:val="1"/>
                <w:bCs w:val="1"/>
                <w:color w:val="auto"/>
                <w:w w:val="94"/>
              </w:rPr>
              <w:t>(in millions)</w:t>
            </w:r>
          </w:p>
        </w:tc>
        <w:tc>
          <w:tcPr>
            <w:tcW w:w="92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460" w:type="dxa"/>
            <w:vAlign w:val="bottom"/>
            <w:shd w:val="clear" w:color="auto" w:fill="CCEEFF"/>
          </w:tcPr>
          <w:p>
            <w:pPr>
              <w:spacing w:after="0"/>
              <w:rPr>
                <w:sz w:val="20"/>
                <w:szCs w:val="20"/>
                <w:color w:val="auto"/>
              </w:rPr>
            </w:pPr>
            <w:r>
              <w:rPr>
                <w:rFonts w:ascii="Arial" w:cs="Arial" w:eastAsia="Arial" w:hAnsi="Arial"/>
                <w:sz w:val="18"/>
                <w:szCs w:val="18"/>
                <w:color w:val="auto"/>
              </w:rPr>
              <w:t>Three months or less</w:t>
            </w:r>
          </w:p>
        </w:tc>
        <w:tc>
          <w:tcPr>
            <w:tcW w:w="1440" w:type="dxa"/>
            <w:vAlign w:val="bottom"/>
            <w:gridSpan w:val="2"/>
            <w:shd w:val="clear" w:color="auto" w:fill="CCEEFF"/>
          </w:tcPr>
          <w:p>
            <w:pPr>
              <w:jc w:val="right"/>
              <w:ind w:right="770"/>
              <w:spacing w:after="0"/>
              <w:rPr>
                <w:sz w:val="20"/>
                <w:szCs w:val="20"/>
                <w:color w:val="auto"/>
              </w:rPr>
            </w:pPr>
            <w:r>
              <w:rPr>
                <w:rFonts w:ascii="Arial" w:cs="Arial" w:eastAsia="Arial" w:hAnsi="Arial"/>
                <w:sz w:val="18"/>
                <w:szCs w:val="18"/>
                <w:b w:val="1"/>
                <w:bCs w:val="1"/>
                <w:color w:val="auto"/>
              </w:rPr>
              <w:t>$</w:t>
            </w:r>
          </w:p>
        </w:tc>
        <w:tc>
          <w:tcPr>
            <w:tcW w:w="540" w:type="dxa"/>
            <w:vAlign w:val="bottom"/>
            <w:gridSpan w:val="2"/>
            <w:shd w:val="clear" w:color="auto" w:fill="CCEEFF"/>
          </w:tcPr>
          <w:p>
            <w:pPr>
              <w:ind w:left="60"/>
              <w:spacing w:after="0"/>
              <w:rPr>
                <w:sz w:val="20"/>
                <w:szCs w:val="20"/>
                <w:color w:val="auto"/>
              </w:rPr>
            </w:pPr>
            <w:r>
              <w:rPr>
                <w:rFonts w:ascii="Arial" w:cs="Arial" w:eastAsia="Arial" w:hAnsi="Arial"/>
                <w:sz w:val="18"/>
                <w:szCs w:val="18"/>
                <w:b w:val="1"/>
                <w:bCs w:val="1"/>
                <w:color w:val="auto"/>
              </w:rPr>
              <w:t>—</w:t>
            </w:r>
          </w:p>
        </w:tc>
        <w:tc>
          <w:tcPr>
            <w:tcW w:w="960" w:type="dxa"/>
            <w:vAlign w:val="bottom"/>
            <w:shd w:val="clear" w:color="auto" w:fill="CCEEFF"/>
          </w:tcPr>
          <w:p>
            <w:pPr>
              <w:jc w:val="right"/>
              <w:ind w:right="807"/>
              <w:spacing w:after="0"/>
              <w:rPr>
                <w:sz w:val="20"/>
                <w:szCs w:val="20"/>
                <w:color w:val="auto"/>
              </w:rPr>
            </w:pPr>
            <w:r>
              <w:rPr>
                <w:rFonts w:ascii="Arial" w:cs="Arial" w:eastAsia="Arial" w:hAnsi="Arial"/>
                <w:sz w:val="15"/>
                <w:szCs w:val="15"/>
                <w:b w:val="1"/>
                <w:bCs w:val="1"/>
                <w:color w:val="auto"/>
                <w:w w:val="71"/>
              </w:rPr>
              <w:t>$</w:t>
            </w:r>
          </w:p>
        </w:tc>
        <w:tc>
          <w:tcPr>
            <w:tcW w:w="220" w:type="dxa"/>
            <w:vAlign w:val="bottom"/>
            <w:shd w:val="clear" w:color="auto" w:fill="CCEEFF"/>
          </w:tcPr>
          <w:p>
            <w:pPr>
              <w:ind w:left="40"/>
              <w:spacing w:after="0"/>
              <w:rPr>
                <w:sz w:val="20"/>
                <w:szCs w:val="20"/>
                <w:color w:val="auto"/>
              </w:rPr>
            </w:pPr>
            <w:r>
              <w:rPr>
                <w:rFonts w:ascii="Arial" w:cs="Arial" w:eastAsia="Arial" w:hAnsi="Arial"/>
                <w:sz w:val="18"/>
                <w:szCs w:val="18"/>
                <w:b w:val="1"/>
                <w:bCs w:val="1"/>
                <w:color w:val="auto"/>
                <w:w w:val="88"/>
              </w:rPr>
              <w:t>—</w:t>
            </w:r>
          </w:p>
        </w:tc>
        <w:tc>
          <w:tcPr>
            <w:tcW w:w="48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4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2460" w:type="dxa"/>
            <w:vAlign w:val="bottom"/>
          </w:tcPr>
          <w:p>
            <w:pPr>
              <w:spacing w:after="0"/>
              <w:rPr>
                <w:sz w:val="20"/>
                <w:szCs w:val="20"/>
                <w:color w:val="auto"/>
              </w:rPr>
            </w:pPr>
            <w:r>
              <w:rPr>
                <w:rFonts w:ascii="Arial" w:cs="Arial" w:eastAsia="Arial" w:hAnsi="Arial"/>
                <w:sz w:val="18"/>
                <w:szCs w:val="18"/>
                <w:color w:val="auto"/>
                <w:w w:val="94"/>
              </w:rPr>
              <w:t>Greater than three to six months</w:t>
            </w:r>
          </w:p>
        </w:tc>
        <w:tc>
          <w:tcPr>
            <w:tcW w:w="5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40" w:type="dxa"/>
            <w:vAlign w:val="bottom"/>
            <w:gridSpan w:val="2"/>
          </w:tcPr>
          <w:p>
            <w:pPr>
              <w:ind w:left="60"/>
              <w:spacing w:after="0"/>
              <w:rPr>
                <w:sz w:val="20"/>
                <w:szCs w:val="20"/>
                <w:color w:val="auto"/>
              </w:rPr>
            </w:pPr>
            <w:r>
              <w:rPr>
                <w:rFonts w:ascii="Arial" w:cs="Arial" w:eastAsia="Arial" w:hAnsi="Arial"/>
                <w:sz w:val="18"/>
                <w:szCs w:val="18"/>
                <w:b w:val="1"/>
                <w:bCs w:val="1"/>
                <w:color w:val="auto"/>
              </w:rPr>
              <w:t>—</w:t>
            </w:r>
          </w:p>
        </w:tc>
        <w:tc>
          <w:tcPr>
            <w:tcW w:w="960" w:type="dxa"/>
            <w:vAlign w:val="bottom"/>
          </w:tcPr>
          <w:p>
            <w:pPr>
              <w:spacing w:after="0"/>
              <w:rPr>
                <w:sz w:val="18"/>
                <w:szCs w:val="18"/>
                <w:color w:val="auto"/>
              </w:rPr>
            </w:pPr>
          </w:p>
        </w:tc>
        <w:tc>
          <w:tcPr>
            <w:tcW w:w="220" w:type="dxa"/>
            <w:vAlign w:val="bottom"/>
          </w:tcPr>
          <w:p>
            <w:pPr>
              <w:ind w:left="40"/>
              <w:spacing w:after="0"/>
              <w:rPr>
                <w:sz w:val="20"/>
                <w:szCs w:val="20"/>
                <w:color w:val="auto"/>
              </w:rPr>
            </w:pPr>
            <w:r>
              <w:rPr>
                <w:rFonts w:ascii="Arial" w:cs="Arial" w:eastAsia="Arial" w:hAnsi="Arial"/>
                <w:sz w:val="18"/>
                <w:szCs w:val="18"/>
                <w:b w:val="1"/>
                <w:bCs w:val="1"/>
                <w:color w:val="auto"/>
                <w:w w:val="88"/>
              </w:rPr>
              <w:t>—</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2460" w:type="dxa"/>
            <w:vAlign w:val="bottom"/>
            <w:shd w:val="clear" w:color="auto" w:fill="CCEEFF"/>
          </w:tcPr>
          <w:p>
            <w:pPr>
              <w:spacing w:after="0"/>
              <w:rPr>
                <w:sz w:val="20"/>
                <w:szCs w:val="20"/>
                <w:color w:val="auto"/>
              </w:rPr>
            </w:pPr>
            <w:r>
              <w:rPr>
                <w:rFonts w:ascii="Arial" w:cs="Arial" w:eastAsia="Arial" w:hAnsi="Arial"/>
                <w:sz w:val="18"/>
                <w:szCs w:val="18"/>
                <w:color w:val="auto"/>
                <w:w w:val="97"/>
              </w:rPr>
              <w:t>Greater than six to nine months</w:t>
            </w:r>
          </w:p>
        </w:tc>
        <w:tc>
          <w:tcPr>
            <w:tcW w:w="5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540" w:type="dxa"/>
            <w:vAlign w:val="bottom"/>
            <w:gridSpan w:val="2"/>
            <w:shd w:val="clear" w:color="auto" w:fill="CCEEFF"/>
          </w:tcPr>
          <w:p>
            <w:pPr>
              <w:ind w:left="60"/>
              <w:spacing w:after="0"/>
              <w:rPr>
                <w:sz w:val="20"/>
                <w:szCs w:val="20"/>
                <w:color w:val="auto"/>
              </w:rPr>
            </w:pPr>
            <w:r>
              <w:rPr>
                <w:rFonts w:ascii="Arial" w:cs="Arial" w:eastAsia="Arial" w:hAnsi="Arial"/>
                <w:sz w:val="18"/>
                <w:szCs w:val="18"/>
                <w:b w:val="1"/>
                <w:bCs w:val="1"/>
                <w:color w:val="auto"/>
              </w:rPr>
              <w:t>—</w:t>
            </w:r>
          </w:p>
        </w:tc>
        <w:tc>
          <w:tcPr>
            <w:tcW w:w="960" w:type="dxa"/>
            <w:vAlign w:val="bottom"/>
            <w:shd w:val="clear" w:color="auto" w:fill="CCEEFF"/>
          </w:tcPr>
          <w:p>
            <w:pPr>
              <w:spacing w:after="0"/>
              <w:rPr>
                <w:sz w:val="18"/>
                <w:szCs w:val="18"/>
                <w:color w:val="auto"/>
              </w:rPr>
            </w:pPr>
          </w:p>
        </w:tc>
        <w:tc>
          <w:tcPr>
            <w:tcW w:w="220" w:type="dxa"/>
            <w:vAlign w:val="bottom"/>
            <w:shd w:val="clear" w:color="auto" w:fill="CCEEFF"/>
          </w:tcPr>
          <w:p>
            <w:pPr>
              <w:ind w:left="40"/>
              <w:spacing w:after="0"/>
              <w:rPr>
                <w:sz w:val="20"/>
                <w:szCs w:val="20"/>
                <w:color w:val="auto"/>
              </w:rPr>
            </w:pPr>
            <w:r>
              <w:rPr>
                <w:rFonts w:ascii="Arial" w:cs="Arial" w:eastAsia="Arial" w:hAnsi="Arial"/>
                <w:sz w:val="18"/>
                <w:szCs w:val="18"/>
                <w:b w:val="1"/>
                <w:bCs w:val="1"/>
                <w:color w:val="auto"/>
                <w:w w:val="88"/>
              </w:rPr>
              <w:t>—</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w:t>
            </w: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00" w:type="dxa"/>
            <w:vAlign w:val="bottom"/>
            <w:gridSpan w:val="3"/>
          </w:tcPr>
          <w:p>
            <w:pPr>
              <w:spacing w:after="0"/>
              <w:rPr>
                <w:sz w:val="20"/>
                <w:szCs w:val="20"/>
                <w:color w:val="auto"/>
              </w:rPr>
            </w:pPr>
            <w:r>
              <w:rPr>
                <w:rFonts w:ascii="Arial" w:cs="Arial" w:eastAsia="Arial" w:hAnsi="Arial"/>
                <w:sz w:val="18"/>
                <w:szCs w:val="18"/>
                <w:color w:val="auto"/>
              </w:rPr>
              <w:t>Greater than nine to twelve months</w:t>
            </w:r>
          </w:p>
        </w:tc>
        <w:tc>
          <w:tcPr>
            <w:tcW w:w="540" w:type="dxa"/>
            <w:vAlign w:val="bottom"/>
            <w:gridSpan w:val="2"/>
          </w:tcPr>
          <w:p>
            <w:pPr>
              <w:ind w:left="60"/>
              <w:spacing w:after="0"/>
              <w:rPr>
                <w:sz w:val="20"/>
                <w:szCs w:val="20"/>
                <w:color w:val="auto"/>
              </w:rPr>
            </w:pPr>
            <w:r>
              <w:rPr>
                <w:rFonts w:ascii="Arial" w:cs="Arial" w:eastAsia="Arial" w:hAnsi="Arial"/>
                <w:sz w:val="18"/>
                <w:szCs w:val="18"/>
                <w:b w:val="1"/>
                <w:bCs w:val="1"/>
                <w:color w:val="auto"/>
              </w:rPr>
              <w:t>—</w:t>
            </w:r>
          </w:p>
        </w:tc>
        <w:tc>
          <w:tcPr>
            <w:tcW w:w="960" w:type="dxa"/>
            <w:vAlign w:val="bottom"/>
          </w:tcPr>
          <w:p>
            <w:pPr>
              <w:spacing w:after="0"/>
              <w:rPr>
                <w:sz w:val="18"/>
                <w:szCs w:val="18"/>
                <w:color w:val="auto"/>
              </w:rPr>
            </w:pPr>
          </w:p>
        </w:tc>
        <w:tc>
          <w:tcPr>
            <w:tcW w:w="220" w:type="dxa"/>
            <w:vAlign w:val="bottom"/>
          </w:tcPr>
          <w:p>
            <w:pPr>
              <w:ind w:left="40"/>
              <w:spacing w:after="0"/>
              <w:rPr>
                <w:sz w:val="20"/>
                <w:szCs w:val="20"/>
                <w:color w:val="auto"/>
              </w:rPr>
            </w:pPr>
            <w:r>
              <w:rPr>
                <w:rFonts w:ascii="Arial" w:cs="Arial" w:eastAsia="Arial" w:hAnsi="Arial"/>
                <w:sz w:val="18"/>
                <w:szCs w:val="18"/>
                <w:b w:val="1"/>
                <w:bCs w:val="1"/>
                <w:color w:val="auto"/>
                <w:w w:val="88"/>
              </w:rPr>
              <w:t>—</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18"/>
                <w:szCs w:val="18"/>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2460" w:type="dxa"/>
            <w:vAlign w:val="bottom"/>
            <w:shd w:val="clear" w:color="auto" w:fill="CCEEFF"/>
          </w:tcPr>
          <w:p>
            <w:pPr>
              <w:spacing w:after="0"/>
              <w:rPr>
                <w:sz w:val="20"/>
                <w:szCs w:val="20"/>
                <w:color w:val="auto"/>
              </w:rPr>
            </w:pPr>
            <w:r>
              <w:rPr>
                <w:rFonts w:ascii="Arial" w:cs="Arial" w:eastAsia="Arial" w:hAnsi="Arial"/>
                <w:sz w:val="18"/>
                <w:szCs w:val="18"/>
                <w:color w:val="auto"/>
              </w:rPr>
              <w:t>Greater than twelve months</w:t>
            </w:r>
          </w:p>
        </w:tc>
        <w:tc>
          <w:tcPr>
            <w:tcW w:w="500" w:type="dxa"/>
            <w:vAlign w:val="bottom"/>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ind w:left="60"/>
              <w:spacing w:after="0"/>
              <w:rPr>
                <w:sz w:val="20"/>
                <w:szCs w:val="20"/>
                <w:color w:val="auto"/>
              </w:rPr>
            </w:pPr>
            <w:r>
              <w:rPr>
                <w:rFonts w:ascii="Arial" w:cs="Arial" w:eastAsia="Arial" w:hAnsi="Arial"/>
                <w:sz w:val="18"/>
                <w:szCs w:val="18"/>
                <w:b w:val="1"/>
                <w:bCs w:val="1"/>
                <w:color w:val="auto"/>
                <w:w w:val="99"/>
              </w:rPr>
              <w:t>—</w:t>
            </w:r>
          </w:p>
        </w:tc>
        <w:tc>
          <w:tcPr>
            <w:tcW w:w="280" w:type="dxa"/>
            <w:vAlign w:val="bottom"/>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8"/>
                <w:szCs w:val="18"/>
                <w:b w:val="1"/>
                <w:bCs w:val="1"/>
                <w:color w:val="auto"/>
                <w:w w:val="88"/>
              </w:rPr>
              <w:t>—</w:t>
            </w:r>
          </w:p>
        </w:tc>
        <w:tc>
          <w:tcPr>
            <w:tcW w:w="28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6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2"/>
        </w:trPr>
        <w:tc>
          <w:tcPr>
            <w:tcW w:w="2460" w:type="dxa"/>
            <w:vAlign w:val="bottom"/>
          </w:tcPr>
          <w:p>
            <w:pPr>
              <w:ind w:left="180"/>
              <w:spacing w:after="0" w:line="182" w:lineRule="exact"/>
              <w:rPr>
                <w:sz w:val="20"/>
                <w:szCs w:val="20"/>
                <w:color w:val="auto"/>
              </w:rPr>
            </w:pPr>
            <w:r>
              <w:rPr>
                <w:rFonts w:ascii="Arial" w:cs="Arial" w:eastAsia="Arial" w:hAnsi="Arial"/>
                <w:sz w:val="18"/>
                <w:szCs w:val="18"/>
                <w:color w:val="auto"/>
                <w:w w:val="94"/>
              </w:rPr>
              <w:t>Total fixed maturity securities,</w:t>
            </w:r>
          </w:p>
        </w:tc>
        <w:tc>
          <w:tcPr>
            <w:tcW w:w="500" w:type="dxa"/>
            <w:vAlign w:val="bottom"/>
            <w:vMerge w:val="restart"/>
          </w:tcPr>
          <w:p>
            <w:pPr>
              <w:spacing w:after="0"/>
              <w:rPr>
                <w:sz w:val="15"/>
                <w:szCs w:val="15"/>
                <w:color w:val="auto"/>
              </w:rPr>
            </w:pPr>
          </w:p>
        </w:tc>
        <w:tc>
          <w:tcPr>
            <w:tcW w:w="940" w:type="dxa"/>
            <w:vAlign w:val="bottom"/>
            <w:vMerge w:val="restart"/>
          </w:tcPr>
          <w:p>
            <w:pPr>
              <w:jc w:val="right"/>
              <w:ind w:right="770"/>
              <w:spacing w:after="0"/>
              <w:rPr>
                <w:sz w:val="20"/>
                <w:szCs w:val="20"/>
                <w:color w:val="auto"/>
              </w:rPr>
            </w:pPr>
            <w:r>
              <w:rPr>
                <w:rFonts w:ascii="Arial" w:cs="Arial" w:eastAsia="Arial" w:hAnsi="Arial"/>
                <w:sz w:val="18"/>
                <w:szCs w:val="18"/>
                <w:b w:val="1"/>
                <w:bCs w:val="1"/>
                <w:color w:val="auto"/>
                <w:w w:val="79"/>
              </w:rPr>
              <w:t>$</w:t>
            </w:r>
          </w:p>
        </w:tc>
        <w:tc>
          <w:tcPr>
            <w:tcW w:w="260" w:type="dxa"/>
            <w:vAlign w:val="bottom"/>
            <w:vMerge w:val="restart"/>
          </w:tcPr>
          <w:p>
            <w:pPr>
              <w:ind w:left="60"/>
              <w:spacing w:after="0"/>
              <w:rPr>
                <w:sz w:val="20"/>
                <w:szCs w:val="20"/>
                <w:color w:val="auto"/>
              </w:rPr>
            </w:pPr>
            <w:r>
              <w:rPr>
                <w:rFonts w:ascii="Arial" w:cs="Arial" w:eastAsia="Arial" w:hAnsi="Arial"/>
                <w:sz w:val="18"/>
                <w:szCs w:val="18"/>
                <w:b w:val="1"/>
                <w:bCs w:val="1"/>
                <w:color w:val="auto"/>
                <w:w w:val="99"/>
              </w:rPr>
              <w:t>—</w:t>
            </w:r>
          </w:p>
        </w:tc>
        <w:tc>
          <w:tcPr>
            <w:tcW w:w="280" w:type="dxa"/>
            <w:vAlign w:val="bottom"/>
            <w:vMerge w:val="restart"/>
          </w:tcPr>
          <w:p>
            <w:pPr>
              <w:spacing w:after="0"/>
              <w:rPr>
                <w:sz w:val="15"/>
                <w:szCs w:val="15"/>
                <w:color w:val="auto"/>
              </w:rPr>
            </w:pPr>
          </w:p>
        </w:tc>
        <w:tc>
          <w:tcPr>
            <w:tcW w:w="960" w:type="dxa"/>
            <w:vAlign w:val="bottom"/>
            <w:vMerge w:val="restart"/>
          </w:tcPr>
          <w:p>
            <w:pPr>
              <w:jc w:val="right"/>
              <w:ind w:right="807"/>
              <w:spacing w:after="0"/>
              <w:rPr>
                <w:sz w:val="20"/>
                <w:szCs w:val="20"/>
                <w:color w:val="auto"/>
              </w:rPr>
            </w:pPr>
            <w:r>
              <w:rPr>
                <w:rFonts w:ascii="Arial" w:cs="Arial" w:eastAsia="Arial" w:hAnsi="Arial"/>
                <w:sz w:val="15"/>
                <w:szCs w:val="15"/>
                <w:b w:val="1"/>
                <w:bCs w:val="1"/>
                <w:color w:val="auto"/>
                <w:w w:val="71"/>
              </w:rPr>
              <w:t>$</w:t>
            </w:r>
          </w:p>
        </w:tc>
        <w:tc>
          <w:tcPr>
            <w:tcW w:w="220" w:type="dxa"/>
            <w:vAlign w:val="bottom"/>
            <w:vMerge w:val="restart"/>
          </w:tcPr>
          <w:p>
            <w:pPr>
              <w:ind w:left="40"/>
              <w:spacing w:after="0"/>
              <w:rPr>
                <w:sz w:val="20"/>
                <w:szCs w:val="20"/>
                <w:color w:val="auto"/>
              </w:rPr>
            </w:pPr>
            <w:r>
              <w:rPr>
                <w:rFonts w:ascii="Arial" w:cs="Arial" w:eastAsia="Arial" w:hAnsi="Arial"/>
                <w:sz w:val="18"/>
                <w:szCs w:val="18"/>
                <w:b w:val="1"/>
                <w:bCs w:val="1"/>
                <w:color w:val="auto"/>
                <w:w w:val="88"/>
              </w:rPr>
              <w:t>—</w:t>
            </w:r>
          </w:p>
        </w:tc>
        <w:tc>
          <w:tcPr>
            <w:tcW w:w="280" w:type="dxa"/>
            <w:vAlign w:val="bottom"/>
            <w:vMerge w:val="restart"/>
          </w:tcPr>
          <w:p>
            <w:pPr>
              <w:spacing w:after="0"/>
              <w:rPr>
                <w:sz w:val="15"/>
                <w:szCs w:val="15"/>
                <w:color w:val="auto"/>
              </w:rPr>
            </w:pPr>
          </w:p>
        </w:tc>
        <w:tc>
          <w:tcPr>
            <w:tcW w:w="200" w:type="dxa"/>
            <w:vAlign w:val="bottom"/>
            <w:vMerge w:val="restart"/>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0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2.7</w:t>
            </w:r>
          </w:p>
        </w:tc>
        <w:tc>
          <w:tcPr>
            <w:tcW w:w="260" w:type="dxa"/>
            <w:vAlign w:val="bottom"/>
          </w:tcPr>
          <w:p>
            <w:pPr>
              <w:spacing w:after="0"/>
              <w:rPr>
                <w:sz w:val="15"/>
                <w:szCs w:val="15"/>
                <w:color w:val="auto"/>
              </w:rPr>
            </w:pPr>
          </w:p>
        </w:tc>
        <w:tc>
          <w:tcPr>
            <w:tcW w:w="240" w:type="dxa"/>
            <w:vAlign w:val="bottom"/>
            <w:vMerge w:val="restart"/>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9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1.0</w:t>
            </w:r>
          </w:p>
        </w:tc>
        <w:tc>
          <w:tcPr>
            <w:tcW w:w="280" w:type="dxa"/>
            <w:vAlign w:val="bottom"/>
          </w:tcPr>
          <w:p>
            <w:pPr>
              <w:spacing w:after="0"/>
              <w:rPr>
                <w:sz w:val="15"/>
                <w:szCs w:val="15"/>
                <w:color w:val="auto"/>
              </w:rPr>
            </w:pPr>
          </w:p>
        </w:tc>
        <w:tc>
          <w:tcPr>
            <w:tcW w:w="200" w:type="dxa"/>
            <w:vAlign w:val="bottom"/>
            <w:vMerge w:val="restart"/>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96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2.7</w:t>
            </w:r>
          </w:p>
        </w:tc>
        <w:tc>
          <w:tcPr>
            <w:tcW w:w="440" w:type="dxa"/>
            <w:vAlign w:val="bottom"/>
            <w:gridSpan w:val="2"/>
            <w:vMerge w:val="restart"/>
          </w:tcPr>
          <w:p>
            <w:pPr>
              <w:jc w:val="right"/>
              <w:ind w:right="80"/>
              <w:spacing w:after="0"/>
              <w:rPr>
                <w:sz w:val="20"/>
                <w:szCs w:val="20"/>
                <w:color w:val="auto"/>
              </w:rPr>
            </w:pPr>
            <w:r>
              <w:rPr>
                <w:rFonts w:ascii="Arial" w:cs="Arial" w:eastAsia="Arial" w:hAnsi="Arial"/>
                <w:sz w:val="18"/>
                <w:szCs w:val="18"/>
                <w:b w:val="1"/>
                <w:bCs w:val="1"/>
                <w:color w:val="auto"/>
              </w:rPr>
              <w:t>$</w:t>
            </w:r>
          </w:p>
        </w:tc>
        <w:tc>
          <w:tcPr>
            <w:tcW w:w="10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1.0</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7"/>
        </w:trPr>
        <w:tc>
          <w:tcPr>
            <w:tcW w:w="2460" w:type="dxa"/>
            <w:vAlign w:val="bottom"/>
          </w:tcPr>
          <w:p>
            <w:pPr>
              <w:ind w:left="360"/>
              <w:spacing w:after="0"/>
              <w:rPr>
                <w:sz w:val="20"/>
                <w:szCs w:val="20"/>
                <w:color w:val="auto"/>
              </w:rPr>
            </w:pPr>
            <w:r>
              <w:rPr>
                <w:rFonts w:ascii="Arial" w:cs="Arial" w:eastAsia="Arial" w:hAnsi="Arial"/>
                <w:sz w:val="18"/>
                <w:szCs w:val="18"/>
                <w:color w:val="auto"/>
              </w:rPr>
              <w:t>available-for-sale</w:t>
            </w:r>
          </w:p>
        </w:tc>
        <w:tc>
          <w:tcPr>
            <w:tcW w:w="500" w:type="dxa"/>
            <w:vAlign w:val="bottom"/>
            <w:vMerge w:val="continue"/>
          </w:tcPr>
          <w:p>
            <w:pPr>
              <w:spacing w:after="0"/>
              <w:rPr>
                <w:sz w:val="18"/>
                <w:szCs w:val="18"/>
                <w:color w:val="auto"/>
              </w:rPr>
            </w:pPr>
          </w:p>
        </w:tc>
        <w:tc>
          <w:tcPr>
            <w:tcW w:w="940" w:type="dxa"/>
            <w:vAlign w:val="bottom"/>
            <w:vMerge w:val="continue"/>
          </w:tcPr>
          <w:p>
            <w:pPr>
              <w:spacing w:after="0"/>
              <w:rPr>
                <w:sz w:val="18"/>
                <w:szCs w:val="18"/>
                <w:color w:val="auto"/>
              </w:rPr>
            </w:pPr>
          </w:p>
        </w:tc>
        <w:tc>
          <w:tcPr>
            <w:tcW w:w="260" w:type="dxa"/>
            <w:vAlign w:val="bottom"/>
            <w:vMerge w:val="continue"/>
          </w:tcPr>
          <w:p>
            <w:pPr>
              <w:spacing w:after="0"/>
              <w:rPr>
                <w:sz w:val="18"/>
                <w:szCs w:val="18"/>
                <w:color w:val="auto"/>
              </w:rPr>
            </w:pPr>
          </w:p>
        </w:tc>
        <w:tc>
          <w:tcPr>
            <w:tcW w:w="280" w:type="dxa"/>
            <w:vAlign w:val="bottom"/>
            <w:vMerge w:val="continue"/>
          </w:tcPr>
          <w:p>
            <w:pPr>
              <w:spacing w:after="0"/>
              <w:rPr>
                <w:sz w:val="18"/>
                <w:szCs w:val="18"/>
                <w:color w:val="auto"/>
              </w:rPr>
            </w:pPr>
          </w:p>
        </w:tc>
        <w:tc>
          <w:tcPr>
            <w:tcW w:w="960" w:type="dxa"/>
            <w:vAlign w:val="bottom"/>
            <w:vMerge w:val="continue"/>
          </w:tcPr>
          <w:p>
            <w:pPr>
              <w:spacing w:after="0"/>
              <w:rPr>
                <w:sz w:val="18"/>
                <w:szCs w:val="18"/>
                <w:color w:val="auto"/>
              </w:rPr>
            </w:pPr>
          </w:p>
        </w:tc>
        <w:tc>
          <w:tcPr>
            <w:tcW w:w="220" w:type="dxa"/>
            <w:vAlign w:val="bottom"/>
            <w:vMerge w:val="continue"/>
          </w:tcPr>
          <w:p>
            <w:pPr>
              <w:spacing w:after="0"/>
              <w:rPr>
                <w:sz w:val="18"/>
                <w:szCs w:val="18"/>
                <w:color w:val="auto"/>
              </w:rPr>
            </w:pPr>
          </w:p>
        </w:tc>
        <w:tc>
          <w:tcPr>
            <w:tcW w:w="280" w:type="dxa"/>
            <w:vAlign w:val="bottom"/>
            <w:vMerge w:val="continue"/>
          </w:tcPr>
          <w:p>
            <w:pPr>
              <w:spacing w:after="0"/>
              <w:rPr>
                <w:sz w:val="18"/>
                <w:szCs w:val="18"/>
                <w:color w:val="auto"/>
              </w:rPr>
            </w:pPr>
          </w:p>
        </w:tc>
        <w:tc>
          <w:tcPr>
            <w:tcW w:w="200" w:type="dxa"/>
            <w:vAlign w:val="bottom"/>
            <w:vMerge w:val="continue"/>
          </w:tcPr>
          <w:p>
            <w:pPr>
              <w:spacing w:after="0"/>
              <w:rPr>
                <w:sz w:val="18"/>
                <w:szCs w:val="18"/>
                <w:color w:val="auto"/>
              </w:rPr>
            </w:pPr>
          </w:p>
        </w:tc>
        <w:tc>
          <w:tcPr>
            <w:tcW w:w="1000" w:type="dxa"/>
            <w:vAlign w:val="bottom"/>
            <w:vMerge w:val="continue"/>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vMerge w:val="continue"/>
          </w:tcPr>
          <w:p>
            <w:pPr>
              <w:spacing w:after="0"/>
              <w:rPr>
                <w:sz w:val="18"/>
                <w:szCs w:val="18"/>
                <w:color w:val="auto"/>
              </w:rPr>
            </w:pPr>
          </w:p>
        </w:tc>
        <w:tc>
          <w:tcPr>
            <w:tcW w:w="92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vMerge w:val="continue"/>
          </w:tcPr>
          <w:p>
            <w:pPr>
              <w:spacing w:after="0"/>
              <w:rPr>
                <w:sz w:val="18"/>
                <w:szCs w:val="18"/>
                <w:color w:val="auto"/>
              </w:rPr>
            </w:pPr>
          </w:p>
        </w:tc>
        <w:tc>
          <w:tcPr>
            <w:tcW w:w="960" w:type="dxa"/>
            <w:vAlign w:val="bottom"/>
            <w:vMerge w:val="continue"/>
          </w:tcPr>
          <w:p>
            <w:pPr>
              <w:spacing w:after="0"/>
              <w:rPr>
                <w:sz w:val="18"/>
                <w:szCs w:val="18"/>
                <w:color w:val="auto"/>
              </w:rPr>
            </w:pPr>
          </w:p>
        </w:tc>
        <w:tc>
          <w:tcPr>
            <w:tcW w:w="440" w:type="dxa"/>
            <w:vAlign w:val="bottom"/>
            <w:gridSpan w:val="2"/>
            <w:vMerge w:val="continue"/>
          </w:tcPr>
          <w:p>
            <w:pPr>
              <w:spacing w:after="0"/>
              <w:rPr>
                <w:sz w:val="18"/>
                <w:szCs w:val="18"/>
                <w:color w:val="auto"/>
              </w:rPr>
            </w:pPr>
          </w:p>
        </w:tc>
        <w:tc>
          <w:tcPr>
            <w:tcW w:w="100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4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80" w:type="dxa"/>
            <w:vAlign w:val="bottom"/>
            <w:tcBorders>
              <w:top w:val="single" w:sz="8" w:color="auto"/>
              <w:bottom w:val="single" w:sz="8" w:color="auto"/>
            </w:tcBorders>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0" w:type="dxa"/>
            <w:vAlign w:val="bottom"/>
            <w:tcBorders>
              <w:top w:val="single" w:sz="8" w:color="auto"/>
              <w:bottom w:val="single" w:sz="8" w:color="auto"/>
            </w:tcBorders>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8"/>
        </w:trPr>
        <w:tc>
          <w:tcPr>
            <w:tcW w:w="24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920" w:type="dxa"/>
            <w:vAlign w:val="bottom"/>
            <w:gridSpan w:val="6"/>
          </w:tcPr>
          <w:p>
            <w:pPr>
              <w:jc w:val="center"/>
              <w:ind w:right="380"/>
              <w:spacing w:after="0"/>
              <w:rPr>
                <w:sz w:val="20"/>
                <w:szCs w:val="20"/>
                <w:color w:val="auto"/>
              </w:rPr>
            </w:pPr>
            <w:r>
              <w:rPr>
                <w:rFonts w:ascii="Arial" w:cs="Arial" w:eastAsia="Arial" w:hAnsi="Arial"/>
                <w:sz w:val="18"/>
                <w:szCs w:val="18"/>
                <w:b w:val="1"/>
                <w:bCs w:val="1"/>
                <w:color w:val="auto"/>
                <w:w w:val="84"/>
              </w:rPr>
              <w:t>U.S. Invested Assets</w:t>
            </w: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460" w:type="dxa"/>
            <w:vAlign w:val="bottom"/>
          </w:tcPr>
          <w:p>
            <w:pPr>
              <w:spacing w:after="0"/>
              <w:rPr>
                <w:sz w:val="20"/>
                <w:szCs w:val="20"/>
                <w:color w:val="auto"/>
              </w:rPr>
            </w:pPr>
          </w:p>
        </w:tc>
        <w:tc>
          <w:tcPr>
            <w:tcW w:w="6540" w:type="dxa"/>
            <w:vAlign w:val="bottom"/>
            <w:gridSpan w:val="14"/>
          </w:tcPr>
          <w:p>
            <w:pPr>
              <w:jc w:val="center"/>
              <w:spacing w:after="0"/>
              <w:rPr>
                <w:sz w:val="20"/>
                <w:szCs w:val="20"/>
                <w:color w:val="auto"/>
              </w:rPr>
            </w:pPr>
            <w:r>
              <w:rPr>
                <w:rFonts w:ascii="Arial" w:cs="Arial" w:eastAsia="Arial" w:hAnsi="Arial"/>
                <w:sz w:val="18"/>
                <w:szCs w:val="18"/>
                <w:b w:val="1"/>
                <w:bCs w:val="1"/>
                <w:color w:val="auto"/>
                <w:w w:val="88"/>
              </w:rPr>
              <w:t>Unrealized Losses on Fixed Maturity Securities Available-for-Sale by Aging Category</w:t>
            </w:r>
          </w:p>
        </w:tc>
        <w:tc>
          <w:tcPr>
            <w:tcW w:w="9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1"/>
        </w:trPr>
        <w:tc>
          <w:tcPr>
            <w:tcW w:w="24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700" w:type="dxa"/>
            <w:vAlign w:val="bottom"/>
            <w:tcBorders>
              <w:bottom w:val="single" w:sz="8" w:color="auto"/>
            </w:tcBorders>
            <w:gridSpan w:val="5"/>
          </w:tcPr>
          <w:p>
            <w:pPr>
              <w:jc w:val="center"/>
              <w:ind w:right="540"/>
              <w:spacing w:after="0"/>
              <w:rPr>
                <w:sz w:val="20"/>
                <w:szCs w:val="20"/>
                <w:color w:val="auto"/>
              </w:rPr>
            </w:pPr>
            <w:r>
              <w:rPr>
                <w:rFonts w:ascii="Arial" w:cs="Arial" w:eastAsia="Arial" w:hAnsi="Arial"/>
                <w:sz w:val="14"/>
                <w:szCs w:val="14"/>
                <w:b w:val="1"/>
                <w:bCs w:val="1"/>
                <w:color w:val="auto"/>
                <w:w w:val="91"/>
              </w:rPr>
              <w:t>December 31, 2005</w:t>
            </w:r>
          </w:p>
        </w:tc>
        <w:tc>
          <w:tcPr>
            <w:tcW w:w="20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2460" w:type="dxa"/>
            <w:vAlign w:val="bottom"/>
          </w:tcPr>
          <w:p>
            <w:pPr>
              <w:spacing w:after="0"/>
              <w:rPr>
                <w:sz w:val="8"/>
                <w:szCs w:val="8"/>
                <w:color w:val="auto"/>
              </w:rPr>
            </w:pPr>
          </w:p>
        </w:tc>
        <w:tc>
          <w:tcPr>
            <w:tcW w:w="500" w:type="dxa"/>
            <w:vAlign w:val="bottom"/>
          </w:tcPr>
          <w:p>
            <w:pPr>
              <w:spacing w:after="0"/>
              <w:rPr>
                <w:sz w:val="8"/>
                <w:szCs w:val="8"/>
                <w:color w:val="auto"/>
              </w:rPr>
            </w:pPr>
          </w:p>
        </w:tc>
        <w:tc>
          <w:tcPr>
            <w:tcW w:w="2440" w:type="dxa"/>
            <w:vAlign w:val="bottom"/>
            <w:gridSpan w:val="4"/>
          </w:tcPr>
          <w:p>
            <w:pPr>
              <w:jc w:val="center"/>
              <w:ind w:left="150"/>
              <w:spacing w:after="0" w:line="102" w:lineRule="exact"/>
              <w:rPr>
                <w:sz w:val="20"/>
                <w:szCs w:val="20"/>
                <w:color w:val="auto"/>
              </w:rPr>
            </w:pPr>
            <w:r>
              <w:rPr>
                <w:rFonts w:ascii="Arial" w:cs="Arial" w:eastAsia="Arial" w:hAnsi="Arial"/>
                <w:sz w:val="11"/>
                <w:szCs w:val="11"/>
                <w:b w:val="1"/>
                <w:bCs w:val="1"/>
                <w:color w:val="auto"/>
              </w:rPr>
              <w:t>Problem, Potential Problem,</w:t>
            </w:r>
          </w:p>
        </w:tc>
        <w:tc>
          <w:tcPr>
            <w:tcW w:w="220" w:type="dxa"/>
            <w:vAlign w:val="bottom"/>
          </w:tcPr>
          <w:p>
            <w:pPr>
              <w:spacing w:after="0"/>
              <w:rPr>
                <w:sz w:val="8"/>
                <w:szCs w:val="8"/>
                <w:color w:val="auto"/>
              </w:rPr>
            </w:pPr>
          </w:p>
        </w:tc>
        <w:tc>
          <w:tcPr>
            <w:tcW w:w="280" w:type="dxa"/>
            <w:vAlign w:val="bottom"/>
          </w:tcPr>
          <w:p>
            <w:pPr>
              <w:spacing w:after="0"/>
              <w:rPr>
                <w:sz w:val="8"/>
                <w:szCs w:val="8"/>
                <w:color w:val="auto"/>
              </w:rPr>
            </w:pPr>
          </w:p>
        </w:tc>
        <w:tc>
          <w:tcPr>
            <w:tcW w:w="200" w:type="dxa"/>
            <w:vAlign w:val="bottom"/>
          </w:tcPr>
          <w:p>
            <w:pPr>
              <w:spacing w:after="0"/>
              <w:rPr>
                <w:sz w:val="8"/>
                <w:szCs w:val="8"/>
                <w:color w:val="auto"/>
              </w:rPr>
            </w:pPr>
          </w:p>
        </w:tc>
        <w:tc>
          <w:tcPr>
            <w:tcW w:w="2700" w:type="dxa"/>
            <w:vAlign w:val="bottom"/>
            <w:gridSpan w:val="5"/>
          </w:tcPr>
          <w:p>
            <w:pPr>
              <w:jc w:val="center"/>
              <w:ind w:right="460"/>
              <w:spacing w:after="0" w:line="102" w:lineRule="exact"/>
              <w:rPr>
                <w:sz w:val="20"/>
                <w:szCs w:val="20"/>
                <w:color w:val="auto"/>
              </w:rPr>
            </w:pPr>
            <w:r>
              <w:rPr>
                <w:rFonts w:ascii="Arial" w:cs="Arial" w:eastAsia="Arial" w:hAnsi="Arial"/>
                <w:sz w:val="11"/>
                <w:szCs w:val="11"/>
                <w:b w:val="1"/>
                <w:bCs w:val="1"/>
                <w:color w:val="auto"/>
              </w:rPr>
              <w:t>All Other Fixed Maturity</w:t>
            </w:r>
          </w:p>
        </w:tc>
        <w:tc>
          <w:tcPr>
            <w:tcW w:w="200" w:type="dxa"/>
            <w:vAlign w:val="bottom"/>
          </w:tcPr>
          <w:p>
            <w:pPr>
              <w:spacing w:after="0"/>
              <w:rPr>
                <w:sz w:val="8"/>
                <w:szCs w:val="8"/>
                <w:color w:val="auto"/>
              </w:rPr>
            </w:pPr>
          </w:p>
        </w:tc>
        <w:tc>
          <w:tcPr>
            <w:tcW w:w="1400" w:type="dxa"/>
            <w:vAlign w:val="bottom"/>
            <w:gridSpan w:val="3"/>
            <w:vMerge w:val="restart"/>
          </w:tcPr>
          <w:p>
            <w:pPr>
              <w:jc w:val="right"/>
              <w:ind w:right="160"/>
              <w:spacing w:after="0"/>
              <w:rPr>
                <w:sz w:val="20"/>
                <w:szCs w:val="20"/>
                <w:color w:val="auto"/>
              </w:rPr>
            </w:pPr>
            <w:r>
              <w:rPr>
                <w:rFonts w:ascii="Arial" w:cs="Arial" w:eastAsia="Arial" w:hAnsi="Arial"/>
                <w:sz w:val="14"/>
                <w:szCs w:val="14"/>
                <w:b w:val="1"/>
                <w:bCs w:val="1"/>
                <w:color w:val="auto"/>
              </w:rPr>
              <w:t>Total</w:t>
            </w: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2"/>
        </w:trPr>
        <w:tc>
          <w:tcPr>
            <w:tcW w:w="24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440" w:type="dxa"/>
            <w:vAlign w:val="bottom"/>
            <w:tcBorders>
              <w:bottom w:val="single" w:sz="8" w:color="auto"/>
            </w:tcBorders>
            <w:gridSpan w:val="4"/>
          </w:tcPr>
          <w:p>
            <w:pPr>
              <w:jc w:val="center"/>
              <w:ind w:left="150"/>
              <w:spacing w:after="0"/>
              <w:rPr>
                <w:sz w:val="20"/>
                <w:szCs w:val="20"/>
                <w:color w:val="auto"/>
              </w:rPr>
            </w:pPr>
            <w:r>
              <w:rPr>
                <w:rFonts w:ascii="Arial" w:cs="Arial" w:eastAsia="Arial" w:hAnsi="Arial"/>
                <w:sz w:val="14"/>
                <w:szCs w:val="14"/>
                <w:b w:val="1"/>
                <w:bCs w:val="1"/>
                <w:color w:val="auto"/>
                <w:w w:val="94"/>
              </w:rPr>
              <w:t>and Restructured</w:t>
            </w:r>
          </w:p>
        </w:tc>
        <w:tc>
          <w:tcPr>
            <w:tcW w:w="22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gridSpan w:val="3"/>
          </w:tcPr>
          <w:p>
            <w:pPr>
              <w:jc w:val="center"/>
              <w:ind w:left="663"/>
              <w:spacing w:after="0"/>
              <w:rPr>
                <w:sz w:val="20"/>
                <w:szCs w:val="20"/>
                <w:color w:val="auto"/>
              </w:rPr>
            </w:pPr>
            <w:r>
              <w:rPr>
                <w:rFonts w:ascii="Arial" w:cs="Arial" w:eastAsia="Arial" w:hAnsi="Arial"/>
                <w:sz w:val="14"/>
                <w:szCs w:val="14"/>
                <w:b w:val="1"/>
                <w:bCs w:val="1"/>
                <w:color w:val="auto"/>
                <w:w w:val="89"/>
              </w:rPr>
              <w:t>Securities</w:t>
            </w:r>
          </w:p>
        </w:tc>
        <w:tc>
          <w:tcPr>
            <w:tcW w:w="92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3"/>
            <w:vMerge w:val="continue"/>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0" w:gutter="0" w:footer="0" w:header="0"/>
        </w:sectPr>
      </w:pPr>
    </w:p>
    <w:bookmarkStart w:id="54" w:name="page55"/>
    <w:bookmarkEnd w:id="5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22"/>
        </w:trPr>
        <w:tc>
          <w:tcPr>
            <w:tcW w:w="27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4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b w:val="1"/>
                <w:bCs w:val="1"/>
                <w:color w:val="auto"/>
              </w:rPr>
              <w:t>Carrying</w:t>
            </w:r>
          </w:p>
        </w:tc>
        <w:tc>
          <w:tcPr>
            <w:tcW w:w="26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1020" w:type="dxa"/>
            <w:vAlign w:val="bottom"/>
            <w:tcBorders>
              <w:top w:val="single" w:sz="8" w:color="auto"/>
            </w:tcBorders>
          </w:tcPr>
          <w:p>
            <w:pPr>
              <w:jc w:val="center"/>
              <w:ind w:right="96"/>
              <w:spacing w:after="0" w:line="122" w:lineRule="exact"/>
              <w:rPr>
                <w:sz w:val="20"/>
                <w:szCs w:val="20"/>
                <w:color w:val="auto"/>
              </w:rPr>
            </w:pPr>
            <w:r>
              <w:rPr>
                <w:rFonts w:ascii="Arial" w:cs="Arial" w:eastAsia="Arial" w:hAnsi="Arial"/>
                <w:sz w:val="14"/>
                <w:szCs w:val="14"/>
                <w:b w:val="1"/>
                <w:bCs w:val="1"/>
                <w:color w:val="auto"/>
                <w:w w:val="88"/>
              </w:rPr>
              <w:t>Gross</w:t>
            </w:r>
          </w:p>
        </w:tc>
        <w:tc>
          <w:tcPr>
            <w:tcW w:w="280" w:type="dxa"/>
            <w:vAlign w:val="bottom"/>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1260" w:type="dxa"/>
            <w:vAlign w:val="bottom"/>
            <w:tcBorders>
              <w:top w:val="single" w:sz="8" w:color="auto"/>
            </w:tcBorders>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7"/>
              </w:rPr>
              <w:t>Carrying</w:t>
            </w:r>
          </w:p>
        </w:tc>
        <w:tc>
          <w:tcPr>
            <w:tcW w:w="22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jc w:val="center"/>
              <w:ind w:right="136"/>
              <w:spacing w:after="0" w:line="122" w:lineRule="exact"/>
              <w:rPr>
                <w:sz w:val="20"/>
                <w:szCs w:val="20"/>
                <w:color w:val="auto"/>
              </w:rPr>
            </w:pPr>
            <w:r>
              <w:rPr>
                <w:rFonts w:ascii="Arial" w:cs="Arial" w:eastAsia="Arial" w:hAnsi="Arial"/>
                <w:sz w:val="14"/>
                <w:szCs w:val="14"/>
                <w:b w:val="1"/>
                <w:bCs w:val="1"/>
                <w:color w:val="auto"/>
                <w:w w:val="88"/>
              </w:rPr>
              <w:t>Gross</w:t>
            </w:r>
          </w:p>
        </w:tc>
        <w:tc>
          <w:tcPr>
            <w:tcW w:w="280" w:type="dxa"/>
            <w:vAlign w:val="bottom"/>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1240" w:type="dxa"/>
            <w:vAlign w:val="bottom"/>
            <w:tcBorders>
              <w:top w:val="single" w:sz="8" w:color="auto"/>
            </w:tcBorders>
            <w:gridSpan w:val="2"/>
            <w:vMerge w:val="restart"/>
          </w:tcPr>
          <w:p>
            <w:pPr>
              <w:jc w:val="center"/>
              <w:ind w:right="480"/>
              <w:spacing w:after="0"/>
              <w:rPr>
                <w:sz w:val="20"/>
                <w:szCs w:val="20"/>
                <w:color w:val="auto"/>
              </w:rPr>
            </w:pPr>
            <w:r>
              <w:rPr>
                <w:rFonts w:ascii="Arial" w:cs="Arial" w:eastAsia="Arial" w:hAnsi="Arial"/>
                <w:sz w:val="14"/>
                <w:szCs w:val="14"/>
                <w:b w:val="1"/>
                <w:bCs w:val="1"/>
                <w:color w:val="auto"/>
                <w:w w:val="97"/>
              </w:rPr>
              <w:t>Carrying</w:t>
            </w:r>
          </w:p>
        </w:tc>
        <w:tc>
          <w:tcPr>
            <w:tcW w:w="160" w:type="dxa"/>
            <w:vAlign w:val="bottom"/>
            <w:tcBorders>
              <w:top w:val="single" w:sz="8" w:color="auto"/>
            </w:tcBorders>
          </w:tcPr>
          <w:p>
            <w:pPr>
              <w:spacing w:after="0"/>
              <w:rPr>
                <w:sz w:val="10"/>
                <w:szCs w:val="10"/>
                <w:color w:val="auto"/>
              </w:rPr>
            </w:pPr>
          </w:p>
        </w:tc>
        <w:tc>
          <w:tcPr>
            <w:tcW w:w="1000" w:type="dxa"/>
            <w:vAlign w:val="bottom"/>
            <w:tcBorders>
              <w:top w:val="single" w:sz="8" w:color="auto"/>
            </w:tcBorders>
          </w:tcPr>
          <w:p>
            <w:pPr>
              <w:jc w:val="center"/>
              <w:ind w:right="116"/>
              <w:spacing w:after="0" w:line="122" w:lineRule="exact"/>
              <w:rPr>
                <w:sz w:val="20"/>
                <w:szCs w:val="20"/>
                <w:color w:val="auto"/>
              </w:rPr>
            </w:pPr>
            <w:r>
              <w:rPr>
                <w:rFonts w:ascii="Arial" w:cs="Arial" w:eastAsia="Arial" w:hAnsi="Arial"/>
                <w:sz w:val="14"/>
                <w:szCs w:val="14"/>
                <w:b w:val="1"/>
                <w:bCs w:val="1"/>
                <w:color w:val="auto"/>
                <w:w w:val="88"/>
              </w:rPr>
              <w:t>Gross</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27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40" w:type="dxa"/>
            <w:vAlign w:val="bottom"/>
            <w:vMerge w:val="continue"/>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tcPr>
          <w:p>
            <w:pPr>
              <w:jc w:val="center"/>
              <w:ind w:right="76"/>
              <w:spacing w:after="0" w:line="135" w:lineRule="exact"/>
              <w:rPr>
                <w:sz w:val="20"/>
                <w:szCs w:val="20"/>
                <w:color w:val="auto"/>
              </w:rPr>
            </w:pPr>
            <w:r>
              <w:rPr>
                <w:rFonts w:ascii="Arial" w:cs="Arial" w:eastAsia="Arial" w:hAnsi="Arial"/>
                <w:sz w:val="14"/>
                <w:szCs w:val="14"/>
                <w:b w:val="1"/>
                <w:bCs w:val="1"/>
                <w:color w:val="auto"/>
                <w:w w:val="93"/>
              </w:rPr>
              <w:t>Unrealized</w:t>
            </w:r>
          </w:p>
        </w:tc>
        <w:tc>
          <w:tcPr>
            <w:tcW w:w="2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220" w:type="dxa"/>
            <w:vAlign w:val="bottom"/>
          </w:tcPr>
          <w:p>
            <w:pPr>
              <w:spacing w:after="0"/>
              <w:rPr>
                <w:sz w:val="11"/>
                <w:szCs w:val="11"/>
                <w:color w:val="auto"/>
              </w:rPr>
            </w:pPr>
          </w:p>
        </w:tc>
        <w:tc>
          <w:tcPr>
            <w:tcW w:w="1220" w:type="dxa"/>
            <w:vAlign w:val="bottom"/>
            <w:gridSpan w:val="2"/>
          </w:tcPr>
          <w:p>
            <w:pPr>
              <w:jc w:val="center"/>
              <w:ind w:right="500"/>
              <w:spacing w:after="0" w:line="135" w:lineRule="exact"/>
              <w:rPr>
                <w:sz w:val="20"/>
                <w:szCs w:val="20"/>
                <w:color w:val="auto"/>
              </w:rPr>
            </w:pPr>
            <w:r>
              <w:rPr>
                <w:rFonts w:ascii="Arial" w:cs="Arial" w:eastAsia="Arial" w:hAnsi="Arial"/>
                <w:sz w:val="14"/>
                <w:szCs w:val="14"/>
                <w:b w:val="1"/>
                <w:bCs w:val="1"/>
                <w:color w:val="auto"/>
                <w:w w:val="95"/>
              </w:rPr>
              <w:t>Unrealized</w:t>
            </w:r>
          </w:p>
        </w:tc>
        <w:tc>
          <w:tcPr>
            <w:tcW w:w="200" w:type="dxa"/>
            <w:vAlign w:val="bottom"/>
          </w:tcPr>
          <w:p>
            <w:pPr>
              <w:spacing w:after="0"/>
              <w:rPr>
                <w:sz w:val="11"/>
                <w:szCs w:val="11"/>
                <w:color w:val="auto"/>
              </w:rPr>
            </w:pPr>
          </w:p>
        </w:tc>
        <w:tc>
          <w:tcPr>
            <w:tcW w:w="124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93"/>
              </w:rPr>
              <w:t>Unrealized</w:t>
            </w:r>
          </w:p>
        </w:tc>
        <w:tc>
          <w:tcPr>
            <w:tcW w:w="0" w:type="dxa"/>
            <w:vAlign w:val="bottom"/>
          </w:tcPr>
          <w:p>
            <w:pPr>
              <w:spacing w:after="0"/>
              <w:rPr>
                <w:sz w:val="1"/>
                <w:szCs w:val="1"/>
                <w:color w:val="auto"/>
              </w:rPr>
            </w:pPr>
          </w:p>
        </w:tc>
      </w:tr>
      <w:tr>
        <w:trPr>
          <w:trHeight w:val="162"/>
        </w:trPr>
        <w:tc>
          <w:tcPr>
            <w:tcW w:w="2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b w:val="1"/>
                <w:bCs w:val="1"/>
                <w:color w:val="auto"/>
              </w:rPr>
              <w:t>Amount</w:t>
            </w: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tcPr>
          <w:p>
            <w:pPr>
              <w:jc w:val="center"/>
              <w:ind w:right="96"/>
              <w:spacing w:after="0"/>
              <w:rPr>
                <w:sz w:val="20"/>
                <w:szCs w:val="20"/>
                <w:color w:val="auto"/>
              </w:rPr>
            </w:pPr>
            <w:r>
              <w:rPr>
                <w:rFonts w:ascii="Arial" w:cs="Arial" w:eastAsia="Arial" w:hAnsi="Arial"/>
                <w:sz w:val="14"/>
                <w:szCs w:val="14"/>
                <w:b w:val="1"/>
                <w:bCs w:val="1"/>
                <w:color w:val="auto"/>
                <w:w w:val="82"/>
              </w:rPr>
              <w:t>Losses</w:t>
            </w:r>
          </w:p>
        </w:tc>
        <w:tc>
          <w:tcPr>
            <w:tcW w:w="2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6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94"/>
              </w:rPr>
              <w:t>Amount</w:t>
            </w:r>
          </w:p>
        </w:tc>
        <w:tc>
          <w:tcPr>
            <w:tcW w:w="220" w:type="dxa"/>
            <w:vAlign w:val="bottom"/>
          </w:tcPr>
          <w:p>
            <w:pPr>
              <w:spacing w:after="0"/>
              <w:rPr>
                <w:sz w:val="14"/>
                <w:szCs w:val="14"/>
                <w:color w:val="auto"/>
              </w:rPr>
            </w:pPr>
          </w:p>
        </w:tc>
        <w:tc>
          <w:tcPr>
            <w:tcW w:w="122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82"/>
              </w:rPr>
              <w:t>Losses</w:t>
            </w:r>
          </w:p>
        </w:tc>
        <w:tc>
          <w:tcPr>
            <w:tcW w:w="200" w:type="dxa"/>
            <w:vAlign w:val="bottom"/>
          </w:tcPr>
          <w:p>
            <w:pPr>
              <w:spacing w:after="0"/>
              <w:rPr>
                <w:sz w:val="14"/>
                <w:szCs w:val="14"/>
                <w:color w:val="auto"/>
              </w:rPr>
            </w:pPr>
          </w:p>
        </w:tc>
        <w:tc>
          <w:tcPr>
            <w:tcW w:w="124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94"/>
              </w:rPr>
              <w:t>Amount</w:t>
            </w:r>
          </w:p>
        </w:tc>
        <w:tc>
          <w:tcPr>
            <w:tcW w:w="160" w:type="dxa"/>
            <w:vAlign w:val="bottom"/>
          </w:tcPr>
          <w:p>
            <w:pPr>
              <w:spacing w:after="0"/>
              <w:rPr>
                <w:sz w:val="14"/>
                <w:szCs w:val="1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129"/>
        </w:trPr>
        <w:tc>
          <w:tcPr>
            <w:tcW w:w="27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480" w:type="dxa"/>
            <w:vAlign w:val="bottom"/>
            <w:tcBorders>
              <w:top w:val="single" w:sz="8" w:color="auto"/>
            </w:tcBorders>
            <w:gridSpan w:val="3"/>
          </w:tcPr>
          <w:p>
            <w:pPr>
              <w:jc w:val="right"/>
              <w:spacing w:after="0" w:line="129" w:lineRule="exact"/>
              <w:rPr>
                <w:sz w:val="20"/>
                <w:szCs w:val="20"/>
                <w:color w:val="auto"/>
              </w:rPr>
            </w:pPr>
            <w:r>
              <w:rPr>
                <w:rFonts w:ascii="Arial" w:cs="Arial" w:eastAsia="Arial" w:hAnsi="Arial"/>
                <w:sz w:val="14"/>
                <w:szCs w:val="14"/>
                <w:b w:val="1"/>
                <w:bCs w:val="1"/>
                <w:color w:val="auto"/>
              </w:rPr>
              <w:t>(in millions)</w:t>
            </w:r>
          </w:p>
        </w:tc>
        <w:tc>
          <w:tcPr>
            <w:tcW w:w="94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760" w:type="dxa"/>
            <w:vAlign w:val="bottom"/>
            <w:shd w:val="clear" w:color="auto" w:fill="CCEEFF"/>
          </w:tcPr>
          <w:p>
            <w:pPr>
              <w:spacing w:after="0"/>
              <w:rPr>
                <w:sz w:val="20"/>
                <w:szCs w:val="20"/>
                <w:color w:val="auto"/>
              </w:rPr>
            </w:pPr>
            <w:r>
              <w:rPr>
                <w:rFonts w:ascii="Arial" w:cs="Arial" w:eastAsia="Arial" w:hAnsi="Arial"/>
                <w:sz w:val="18"/>
                <w:szCs w:val="18"/>
                <w:color w:val="auto"/>
              </w:rPr>
              <w:t>Three months or less</w:t>
            </w:r>
          </w:p>
        </w:tc>
        <w:tc>
          <w:tcPr>
            <w:tcW w:w="1140" w:type="dxa"/>
            <w:vAlign w:val="bottom"/>
            <w:gridSpan w:val="2"/>
            <w:shd w:val="clear" w:color="auto" w:fill="CCEEFF"/>
          </w:tcPr>
          <w:p>
            <w:pPr>
              <w:jc w:val="right"/>
              <w:ind w:right="768"/>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CEEFF"/>
          </w:tcPr>
          <w:p>
            <w:pPr>
              <w:ind w:left="840"/>
              <w:spacing w:after="0"/>
              <w:rPr>
                <w:sz w:val="20"/>
                <w:szCs w:val="20"/>
                <w:color w:val="auto"/>
              </w:rPr>
            </w:pPr>
            <w:r>
              <w:rPr>
                <w:rFonts w:ascii="Arial" w:cs="Arial" w:eastAsia="Arial" w:hAnsi="Arial"/>
                <w:sz w:val="18"/>
                <w:szCs w:val="18"/>
                <w:color w:val="auto"/>
                <w:w w:val="88"/>
              </w:rPr>
              <w:t>—</w:t>
            </w:r>
          </w:p>
        </w:tc>
        <w:tc>
          <w:tcPr>
            <w:tcW w:w="4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60" w:type="dxa"/>
            <w:vAlign w:val="bottom"/>
          </w:tcPr>
          <w:p>
            <w:pPr>
              <w:spacing w:after="0"/>
              <w:rPr>
                <w:sz w:val="20"/>
                <w:szCs w:val="20"/>
                <w:color w:val="auto"/>
              </w:rPr>
            </w:pPr>
            <w:r>
              <w:rPr>
                <w:rFonts w:ascii="Arial" w:cs="Arial" w:eastAsia="Arial" w:hAnsi="Arial"/>
                <w:sz w:val="18"/>
                <w:szCs w:val="18"/>
                <w:color w:val="auto"/>
              </w:rPr>
              <w:t>Greater than three to six months</w:t>
            </w: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4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20" w:type="dxa"/>
            <w:vAlign w:val="bottom"/>
          </w:tcPr>
          <w:p>
            <w:pPr>
              <w:ind w:left="840"/>
              <w:spacing w:after="0"/>
              <w:rPr>
                <w:sz w:val="20"/>
                <w:szCs w:val="20"/>
                <w:color w:val="auto"/>
              </w:rPr>
            </w:pPr>
            <w:r>
              <w:rPr>
                <w:rFonts w:ascii="Arial" w:cs="Arial" w:eastAsia="Arial" w:hAnsi="Arial"/>
                <w:sz w:val="18"/>
                <w:szCs w:val="18"/>
                <w:color w:val="auto"/>
                <w:w w:val="88"/>
              </w:rPr>
              <w:t>—</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760" w:type="dxa"/>
            <w:vAlign w:val="bottom"/>
            <w:shd w:val="clear" w:color="auto" w:fill="CCEEFF"/>
          </w:tcPr>
          <w:p>
            <w:pPr>
              <w:spacing w:after="0"/>
              <w:rPr>
                <w:sz w:val="20"/>
                <w:szCs w:val="20"/>
                <w:color w:val="auto"/>
              </w:rPr>
            </w:pPr>
            <w:r>
              <w:rPr>
                <w:rFonts w:ascii="Arial" w:cs="Arial" w:eastAsia="Arial" w:hAnsi="Arial"/>
                <w:sz w:val="18"/>
                <w:szCs w:val="18"/>
                <w:color w:val="auto"/>
              </w:rPr>
              <w:t>Greater than six to nine months</w:t>
            </w: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54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20" w:type="dxa"/>
            <w:vAlign w:val="bottom"/>
            <w:shd w:val="clear" w:color="auto" w:fill="CCEEFF"/>
          </w:tcPr>
          <w:p>
            <w:pPr>
              <w:ind w:left="840"/>
              <w:spacing w:after="0"/>
              <w:rPr>
                <w:sz w:val="20"/>
                <w:szCs w:val="20"/>
                <w:color w:val="auto"/>
              </w:rPr>
            </w:pPr>
            <w:r>
              <w:rPr>
                <w:rFonts w:ascii="Arial" w:cs="Arial" w:eastAsia="Arial" w:hAnsi="Arial"/>
                <w:sz w:val="18"/>
                <w:szCs w:val="18"/>
                <w:color w:val="auto"/>
                <w:w w:val="88"/>
              </w:rPr>
              <w:t>—</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760" w:type="dxa"/>
            <w:vAlign w:val="bottom"/>
          </w:tcPr>
          <w:p>
            <w:pPr>
              <w:spacing w:after="0"/>
              <w:rPr>
                <w:sz w:val="20"/>
                <w:szCs w:val="20"/>
                <w:color w:val="auto"/>
              </w:rPr>
            </w:pPr>
            <w:r>
              <w:rPr>
                <w:rFonts w:ascii="Arial" w:cs="Arial" w:eastAsia="Arial" w:hAnsi="Arial"/>
                <w:sz w:val="18"/>
                <w:szCs w:val="18"/>
                <w:color w:val="auto"/>
                <w:w w:val="97"/>
              </w:rPr>
              <w:t>Greater than nine to twelve months</w:t>
            </w: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4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20" w:type="dxa"/>
            <w:vAlign w:val="bottom"/>
          </w:tcPr>
          <w:p>
            <w:pPr>
              <w:ind w:left="840"/>
              <w:spacing w:after="0"/>
              <w:rPr>
                <w:sz w:val="20"/>
                <w:szCs w:val="20"/>
                <w:color w:val="auto"/>
              </w:rPr>
            </w:pPr>
            <w:r>
              <w:rPr>
                <w:rFonts w:ascii="Arial" w:cs="Arial" w:eastAsia="Arial" w:hAnsi="Arial"/>
                <w:sz w:val="18"/>
                <w:szCs w:val="18"/>
                <w:color w:val="auto"/>
                <w:w w:val="88"/>
              </w:rPr>
              <w:t>—</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760" w:type="dxa"/>
            <w:vAlign w:val="bottom"/>
            <w:shd w:val="clear" w:color="auto" w:fill="CCEEFF"/>
          </w:tcPr>
          <w:p>
            <w:pPr>
              <w:spacing w:after="0"/>
              <w:rPr>
                <w:sz w:val="20"/>
                <w:szCs w:val="20"/>
                <w:color w:val="auto"/>
              </w:rPr>
            </w:pPr>
            <w:r>
              <w:rPr>
                <w:rFonts w:ascii="Arial" w:cs="Arial" w:eastAsia="Arial" w:hAnsi="Arial"/>
                <w:sz w:val="18"/>
                <w:szCs w:val="18"/>
                <w:color w:val="auto"/>
              </w:rPr>
              <w:t>Greater than twelve months</w:t>
            </w:r>
          </w:p>
        </w:tc>
        <w:tc>
          <w:tcPr>
            <w:tcW w:w="200" w:type="dxa"/>
            <w:vAlign w:val="bottom"/>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w w:val="99"/>
              </w:rPr>
              <w:t>—</w:t>
            </w:r>
          </w:p>
        </w:tc>
        <w:tc>
          <w:tcPr>
            <w:tcW w:w="2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ind w:left="840"/>
              <w:spacing w:after="0"/>
              <w:rPr>
                <w:sz w:val="20"/>
                <w:szCs w:val="20"/>
                <w:color w:val="auto"/>
              </w:rPr>
            </w:pPr>
            <w:r>
              <w:rPr>
                <w:rFonts w:ascii="Arial" w:cs="Arial" w:eastAsia="Arial" w:hAnsi="Arial"/>
                <w:sz w:val="18"/>
                <w:szCs w:val="18"/>
                <w:color w:val="auto"/>
                <w:w w:val="88"/>
              </w:rPr>
              <w:t>—</w:t>
            </w:r>
          </w:p>
        </w:tc>
        <w:tc>
          <w:tcPr>
            <w:tcW w:w="28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2"/>
        </w:trPr>
        <w:tc>
          <w:tcPr>
            <w:tcW w:w="2760" w:type="dxa"/>
            <w:vAlign w:val="bottom"/>
          </w:tcPr>
          <w:p>
            <w:pPr>
              <w:ind w:left="180"/>
              <w:spacing w:after="0" w:line="182" w:lineRule="exact"/>
              <w:rPr>
                <w:sz w:val="20"/>
                <w:szCs w:val="20"/>
                <w:color w:val="auto"/>
              </w:rPr>
            </w:pPr>
            <w:r>
              <w:rPr>
                <w:rFonts w:ascii="Arial" w:cs="Arial" w:eastAsia="Arial" w:hAnsi="Arial"/>
                <w:sz w:val="18"/>
                <w:szCs w:val="18"/>
                <w:color w:val="auto"/>
              </w:rPr>
              <w:t>Total fixed maturity securities,</w:t>
            </w:r>
          </w:p>
        </w:tc>
        <w:tc>
          <w:tcPr>
            <w:tcW w:w="1140" w:type="dxa"/>
            <w:vAlign w:val="bottom"/>
            <w:gridSpan w:val="2"/>
            <w:vMerge w:val="restart"/>
          </w:tcPr>
          <w:p>
            <w:pPr>
              <w:jc w:val="right"/>
              <w:ind w:right="768"/>
              <w:spacing w:after="0"/>
              <w:rPr>
                <w:sz w:val="20"/>
                <w:szCs w:val="20"/>
                <w:color w:val="auto"/>
              </w:rPr>
            </w:pPr>
            <w:r>
              <w:rPr>
                <w:rFonts w:ascii="Arial" w:cs="Arial" w:eastAsia="Arial" w:hAnsi="Arial"/>
                <w:sz w:val="18"/>
                <w:szCs w:val="18"/>
                <w:color w:val="auto"/>
              </w:rPr>
              <w:t>$</w:t>
            </w:r>
          </w:p>
        </w:tc>
        <w:tc>
          <w:tcPr>
            <w:tcW w:w="540" w:type="dxa"/>
            <w:vAlign w:val="bottom"/>
            <w:gridSpan w:val="2"/>
            <w:vMerge w:val="restart"/>
          </w:tcPr>
          <w:p>
            <w:pPr>
              <w:ind w:left="60"/>
              <w:spacing w:after="0"/>
              <w:rPr>
                <w:sz w:val="20"/>
                <w:szCs w:val="20"/>
                <w:color w:val="auto"/>
              </w:rPr>
            </w:pPr>
            <w:r>
              <w:rPr>
                <w:rFonts w:ascii="Arial" w:cs="Arial" w:eastAsia="Arial" w:hAnsi="Arial"/>
                <w:sz w:val="18"/>
                <w:szCs w:val="18"/>
                <w:color w:val="auto"/>
              </w:rPr>
              <w:t>—</w:t>
            </w:r>
          </w:p>
        </w:tc>
        <w:tc>
          <w:tcPr>
            <w:tcW w:w="160" w:type="dxa"/>
            <w:vAlign w:val="bottom"/>
            <w:vMerge w:val="restart"/>
          </w:tcPr>
          <w:p>
            <w:pPr>
              <w:jc w:val="right"/>
              <w:ind w:right="5"/>
              <w:spacing w:after="0"/>
              <w:rPr>
                <w:sz w:val="20"/>
                <w:szCs w:val="20"/>
                <w:color w:val="auto"/>
              </w:rPr>
            </w:pPr>
            <w:r>
              <w:rPr>
                <w:rFonts w:ascii="Arial" w:cs="Arial" w:eastAsia="Arial" w:hAnsi="Arial"/>
                <w:sz w:val="15"/>
                <w:szCs w:val="15"/>
                <w:color w:val="auto"/>
                <w:w w:val="71"/>
              </w:rPr>
              <w:t>$</w:t>
            </w:r>
          </w:p>
        </w:tc>
        <w:tc>
          <w:tcPr>
            <w:tcW w:w="1020" w:type="dxa"/>
            <w:vAlign w:val="bottom"/>
            <w:vMerge w:val="restart"/>
          </w:tcPr>
          <w:p>
            <w:pPr>
              <w:ind w:left="840"/>
              <w:spacing w:after="0"/>
              <w:rPr>
                <w:sz w:val="20"/>
                <w:szCs w:val="20"/>
                <w:color w:val="auto"/>
              </w:rPr>
            </w:pPr>
            <w:r>
              <w:rPr>
                <w:rFonts w:ascii="Arial" w:cs="Arial" w:eastAsia="Arial" w:hAnsi="Arial"/>
                <w:sz w:val="18"/>
                <w:szCs w:val="18"/>
                <w:color w:val="auto"/>
                <w:w w:val="88"/>
              </w:rPr>
              <w:t>—</w:t>
            </w:r>
          </w:p>
        </w:tc>
        <w:tc>
          <w:tcPr>
            <w:tcW w:w="480" w:type="dxa"/>
            <w:vAlign w:val="bottom"/>
            <w:gridSpan w:val="2"/>
            <w:vMerge w:val="restart"/>
          </w:tcPr>
          <w:p>
            <w:pPr>
              <w:jc w:val="right"/>
              <w:ind w:right="100"/>
              <w:spacing w:after="0"/>
              <w:rPr>
                <w:sz w:val="20"/>
                <w:szCs w:val="20"/>
                <w:color w:val="auto"/>
              </w:rPr>
            </w:pPr>
            <w:r>
              <w:rPr>
                <w:rFonts w:ascii="Arial" w:cs="Arial" w:eastAsia="Arial" w:hAnsi="Arial"/>
                <w:sz w:val="18"/>
                <w:szCs w:val="18"/>
                <w:color w:val="auto"/>
              </w:rPr>
              <w:t>$</w:t>
            </w:r>
          </w:p>
        </w:tc>
        <w:tc>
          <w:tcPr>
            <w:tcW w:w="1000" w:type="dxa"/>
            <w:vAlign w:val="bottom"/>
            <w:vMerge w:val="restart"/>
          </w:tcPr>
          <w:p>
            <w:pPr>
              <w:jc w:val="right"/>
              <w:spacing w:after="0"/>
              <w:rPr>
                <w:sz w:val="20"/>
                <w:szCs w:val="20"/>
                <w:color w:val="auto"/>
              </w:rPr>
            </w:pPr>
            <w:r>
              <w:rPr>
                <w:rFonts w:ascii="Arial" w:cs="Arial" w:eastAsia="Arial" w:hAnsi="Arial"/>
                <w:sz w:val="18"/>
                <w:szCs w:val="18"/>
                <w:color w:val="auto"/>
              </w:rPr>
              <w:t>4.2</w:t>
            </w:r>
          </w:p>
        </w:tc>
        <w:tc>
          <w:tcPr>
            <w:tcW w:w="260" w:type="dxa"/>
            <w:vAlign w:val="bottom"/>
          </w:tcPr>
          <w:p>
            <w:pPr>
              <w:spacing w:after="0"/>
              <w:rPr>
                <w:sz w:val="15"/>
                <w:szCs w:val="15"/>
                <w:color w:val="auto"/>
              </w:rPr>
            </w:pPr>
          </w:p>
        </w:tc>
        <w:tc>
          <w:tcPr>
            <w:tcW w:w="220" w:type="dxa"/>
            <w:vAlign w:val="bottom"/>
            <w:vMerge w:val="restart"/>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vMerge w:val="restart"/>
          </w:tcPr>
          <w:p>
            <w:pPr>
              <w:jc w:val="right"/>
              <w:spacing w:after="0"/>
              <w:rPr>
                <w:sz w:val="20"/>
                <w:szCs w:val="20"/>
                <w:color w:val="auto"/>
              </w:rPr>
            </w:pPr>
            <w:r>
              <w:rPr>
                <w:rFonts w:ascii="Arial" w:cs="Arial" w:eastAsia="Arial" w:hAnsi="Arial"/>
                <w:sz w:val="18"/>
                <w:szCs w:val="18"/>
                <w:color w:val="auto"/>
              </w:rPr>
              <w:t>2.1</w:t>
            </w:r>
          </w:p>
        </w:tc>
        <w:tc>
          <w:tcPr>
            <w:tcW w:w="280" w:type="dxa"/>
            <w:vAlign w:val="bottom"/>
          </w:tcPr>
          <w:p>
            <w:pPr>
              <w:spacing w:after="0"/>
              <w:rPr>
                <w:sz w:val="15"/>
                <w:szCs w:val="15"/>
                <w:color w:val="auto"/>
              </w:rPr>
            </w:pPr>
          </w:p>
        </w:tc>
        <w:tc>
          <w:tcPr>
            <w:tcW w:w="200" w:type="dxa"/>
            <w:vAlign w:val="bottom"/>
            <w:vMerge w:val="restart"/>
          </w:tcPr>
          <w:p>
            <w:pPr>
              <w:jc w:val="right"/>
              <w:ind w:right="10"/>
              <w:spacing w:after="0"/>
              <w:rPr>
                <w:sz w:val="20"/>
                <w:szCs w:val="20"/>
                <w:color w:val="auto"/>
              </w:rPr>
            </w:pPr>
            <w:r>
              <w:rPr>
                <w:rFonts w:ascii="Arial" w:cs="Arial" w:eastAsia="Arial" w:hAnsi="Arial"/>
                <w:sz w:val="18"/>
                <w:szCs w:val="18"/>
                <w:color w:val="auto"/>
                <w:w w:val="79"/>
              </w:rPr>
              <w:t>$</w:t>
            </w:r>
          </w:p>
        </w:tc>
        <w:tc>
          <w:tcPr>
            <w:tcW w:w="960" w:type="dxa"/>
            <w:vAlign w:val="bottom"/>
            <w:vMerge w:val="restart"/>
          </w:tcPr>
          <w:p>
            <w:pPr>
              <w:jc w:val="right"/>
              <w:spacing w:after="0"/>
              <w:rPr>
                <w:sz w:val="20"/>
                <w:szCs w:val="20"/>
                <w:color w:val="auto"/>
              </w:rPr>
            </w:pPr>
            <w:r>
              <w:rPr>
                <w:rFonts w:ascii="Arial" w:cs="Arial" w:eastAsia="Arial" w:hAnsi="Arial"/>
                <w:sz w:val="18"/>
                <w:szCs w:val="18"/>
                <w:color w:val="auto"/>
              </w:rPr>
              <w:t>4.2</w:t>
            </w:r>
          </w:p>
        </w:tc>
        <w:tc>
          <w:tcPr>
            <w:tcW w:w="280" w:type="dxa"/>
            <w:vAlign w:val="bottom"/>
          </w:tcPr>
          <w:p>
            <w:pPr>
              <w:spacing w:after="0"/>
              <w:rPr>
                <w:sz w:val="15"/>
                <w:szCs w:val="15"/>
                <w:color w:val="auto"/>
              </w:rPr>
            </w:pPr>
          </w:p>
        </w:tc>
        <w:tc>
          <w:tcPr>
            <w:tcW w:w="160" w:type="dxa"/>
            <w:vAlign w:val="bottom"/>
            <w:vMerge w:val="restart"/>
          </w:tcPr>
          <w:p>
            <w:pPr>
              <w:jc w:val="right"/>
              <w:ind w:right="5"/>
              <w:spacing w:after="0"/>
              <w:rPr>
                <w:sz w:val="20"/>
                <w:szCs w:val="20"/>
                <w:color w:val="auto"/>
              </w:rPr>
            </w:pPr>
            <w:r>
              <w:rPr>
                <w:rFonts w:ascii="Arial" w:cs="Arial" w:eastAsia="Arial" w:hAnsi="Arial"/>
                <w:sz w:val="15"/>
                <w:szCs w:val="15"/>
                <w:color w:val="auto"/>
                <w:w w:val="71"/>
              </w:rPr>
              <w:t>$</w:t>
            </w:r>
          </w:p>
        </w:tc>
        <w:tc>
          <w:tcPr>
            <w:tcW w:w="1000" w:type="dxa"/>
            <w:vAlign w:val="bottom"/>
            <w:vMerge w:val="restart"/>
          </w:tcPr>
          <w:p>
            <w:pPr>
              <w:jc w:val="right"/>
              <w:spacing w:after="0"/>
              <w:rPr>
                <w:sz w:val="20"/>
                <w:szCs w:val="20"/>
                <w:color w:val="auto"/>
              </w:rPr>
            </w:pPr>
            <w:r>
              <w:rPr>
                <w:rFonts w:ascii="Arial" w:cs="Arial" w:eastAsia="Arial" w:hAnsi="Arial"/>
                <w:sz w:val="18"/>
                <w:szCs w:val="18"/>
                <w:color w:val="auto"/>
              </w:rPr>
              <w:t>2.1</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7"/>
        </w:trPr>
        <w:tc>
          <w:tcPr>
            <w:tcW w:w="2760" w:type="dxa"/>
            <w:vAlign w:val="bottom"/>
          </w:tcPr>
          <w:p>
            <w:pPr>
              <w:ind w:left="360"/>
              <w:spacing w:after="0"/>
              <w:rPr>
                <w:sz w:val="20"/>
                <w:szCs w:val="20"/>
                <w:color w:val="auto"/>
              </w:rPr>
            </w:pPr>
            <w:r>
              <w:rPr>
                <w:rFonts w:ascii="Arial" w:cs="Arial" w:eastAsia="Arial" w:hAnsi="Arial"/>
                <w:sz w:val="18"/>
                <w:szCs w:val="18"/>
                <w:color w:val="auto"/>
              </w:rPr>
              <w:t>available-for-sale</w:t>
            </w:r>
          </w:p>
        </w:tc>
        <w:tc>
          <w:tcPr>
            <w:tcW w:w="1140" w:type="dxa"/>
            <w:vAlign w:val="bottom"/>
            <w:gridSpan w:val="2"/>
            <w:vMerge w:val="continue"/>
          </w:tcPr>
          <w:p>
            <w:pPr>
              <w:spacing w:after="0"/>
              <w:rPr>
                <w:sz w:val="18"/>
                <w:szCs w:val="18"/>
                <w:color w:val="auto"/>
              </w:rPr>
            </w:pPr>
          </w:p>
        </w:tc>
        <w:tc>
          <w:tcPr>
            <w:tcW w:w="540" w:type="dxa"/>
            <w:vAlign w:val="bottom"/>
            <w:gridSpan w:val="2"/>
            <w:vMerge w:val="continue"/>
          </w:tcPr>
          <w:p>
            <w:pPr>
              <w:spacing w:after="0"/>
              <w:rPr>
                <w:sz w:val="18"/>
                <w:szCs w:val="18"/>
                <w:color w:val="auto"/>
              </w:rPr>
            </w:pPr>
          </w:p>
        </w:tc>
        <w:tc>
          <w:tcPr>
            <w:tcW w:w="160" w:type="dxa"/>
            <w:vAlign w:val="bottom"/>
            <w:vMerge w:val="continue"/>
          </w:tcPr>
          <w:p>
            <w:pPr>
              <w:spacing w:after="0"/>
              <w:rPr>
                <w:sz w:val="18"/>
                <w:szCs w:val="18"/>
                <w:color w:val="auto"/>
              </w:rPr>
            </w:pPr>
          </w:p>
        </w:tc>
        <w:tc>
          <w:tcPr>
            <w:tcW w:w="1020" w:type="dxa"/>
            <w:vAlign w:val="bottom"/>
            <w:vMerge w:val="continue"/>
          </w:tcPr>
          <w:p>
            <w:pPr>
              <w:spacing w:after="0"/>
              <w:rPr>
                <w:sz w:val="18"/>
                <w:szCs w:val="18"/>
                <w:color w:val="auto"/>
              </w:rPr>
            </w:pPr>
          </w:p>
        </w:tc>
        <w:tc>
          <w:tcPr>
            <w:tcW w:w="480" w:type="dxa"/>
            <w:vAlign w:val="bottom"/>
            <w:gridSpan w:val="2"/>
            <w:vMerge w:val="continue"/>
          </w:tcPr>
          <w:p>
            <w:pPr>
              <w:spacing w:after="0"/>
              <w:rPr>
                <w:sz w:val="18"/>
                <w:szCs w:val="18"/>
                <w:color w:val="auto"/>
              </w:rPr>
            </w:pPr>
          </w:p>
        </w:tc>
        <w:tc>
          <w:tcPr>
            <w:tcW w:w="1000" w:type="dxa"/>
            <w:vAlign w:val="bottom"/>
            <w:vMerge w:val="continue"/>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vMerge w:val="continue"/>
          </w:tcPr>
          <w:p>
            <w:pPr>
              <w:spacing w:after="0"/>
              <w:rPr>
                <w:sz w:val="18"/>
                <w:szCs w:val="18"/>
                <w:color w:val="auto"/>
              </w:rPr>
            </w:pPr>
          </w:p>
        </w:tc>
        <w:tc>
          <w:tcPr>
            <w:tcW w:w="9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vMerge w:val="continue"/>
          </w:tcPr>
          <w:p>
            <w:pPr>
              <w:spacing w:after="0"/>
              <w:rPr>
                <w:sz w:val="18"/>
                <w:szCs w:val="18"/>
                <w:color w:val="auto"/>
              </w:rPr>
            </w:pPr>
          </w:p>
        </w:tc>
        <w:tc>
          <w:tcPr>
            <w:tcW w:w="96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vMerge w:val="continue"/>
          </w:tcPr>
          <w:p>
            <w:pPr>
              <w:spacing w:after="0"/>
              <w:rPr>
                <w:sz w:val="18"/>
                <w:szCs w:val="18"/>
                <w:color w:val="auto"/>
              </w:rPr>
            </w:pPr>
          </w:p>
        </w:tc>
        <w:tc>
          <w:tcPr>
            <w:tcW w:w="100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7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ind w:right="200" w:firstLine="648"/>
        <w:spacing w:after="0" w:line="264" w:lineRule="auto"/>
        <w:rPr>
          <w:sz w:val="20"/>
          <w:szCs w:val="20"/>
          <w:color w:val="auto"/>
        </w:rPr>
      </w:pPr>
      <w:r>
        <w:rPr>
          <w:rFonts w:ascii="Arial" w:cs="Arial" w:eastAsia="Arial" w:hAnsi="Arial"/>
          <w:sz w:val="18"/>
          <w:szCs w:val="18"/>
          <w:color w:val="auto"/>
        </w:rPr>
        <w:t>Gross unrealized losses on fixed maturity securities where the estimated fair value has been 20% or more below amortized cost were $1.0 million as of June 30, 2006 and $2.1 million as of December 31, 2005. There were no gross unrealized losses attributed to those securities considered to be “problem”, “potential problem” or “restructured” as of June 30, 2006 and December 31, 2005.</w:t>
      </w:r>
    </w:p>
    <w:p>
      <w:pPr>
        <w:spacing w:after="0" w:line="181"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The following table presents the total carrying amount of our fixed maturity portfolio, as well as its problem, potential problem and restructured fixed maturities for the periods indicated:</w:t>
      </w:r>
    </w:p>
    <w:p>
      <w:pPr>
        <w:spacing w:after="0" w:line="16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U.S. Invested Assets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Problem, Potential Problem and Restructured Fixed Maturities at Carrying Amount</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8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96"/>
              </w:rPr>
              <w:t>June 30,</w:t>
            </w:r>
          </w:p>
        </w:tc>
        <w:tc>
          <w:tcPr>
            <w:tcW w:w="110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2"/>
              </w:rPr>
              <w:t>December 31,</w:t>
            </w:r>
          </w:p>
        </w:tc>
        <w:tc>
          <w:tcPr>
            <w:tcW w:w="2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2006</w:t>
            </w:r>
          </w:p>
        </w:tc>
        <w:tc>
          <w:tcPr>
            <w:tcW w:w="2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33"/>
              <w:spacing w:after="0"/>
              <w:rPr>
                <w:sz w:val="20"/>
                <w:szCs w:val="20"/>
                <w:color w:val="auto"/>
              </w:rPr>
            </w:pPr>
            <w:r>
              <w:rPr>
                <w:rFonts w:ascii="Arial" w:cs="Arial" w:eastAsia="Arial" w:hAnsi="Arial"/>
                <w:sz w:val="14"/>
                <w:szCs w:val="14"/>
                <w:b w:val="1"/>
                <w:bCs w:val="1"/>
                <w:color w:val="auto"/>
              </w:rPr>
              <w:t>2005</w:t>
            </w:r>
          </w:p>
        </w:tc>
        <w:tc>
          <w:tcPr>
            <w:tcW w:w="200" w:type="dxa"/>
            <w:vAlign w:val="bottom"/>
          </w:tcPr>
          <w:p>
            <w:pPr>
              <w:spacing w:after="0"/>
              <w:rPr>
                <w:sz w:val="14"/>
                <w:szCs w:val="14"/>
                <w:color w:val="auto"/>
              </w:rPr>
            </w:pPr>
          </w:p>
        </w:tc>
        <w:tc>
          <w:tcPr>
            <w:tcW w:w="2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6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80" w:type="dxa"/>
            <w:vAlign w:val="bottom"/>
            <w:gridSpan w:val="4"/>
          </w:tcPr>
          <w:p>
            <w:pPr>
              <w:jc w:val="right"/>
              <w:ind w:right="513"/>
              <w:spacing w:after="0" w:line="129" w:lineRule="exact"/>
              <w:rPr>
                <w:sz w:val="20"/>
                <w:szCs w:val="20"/>
                <w:color w:val="auto"/>
              </w:rPr>
            </w:pPr>
            <w:r>
              <w:rPr>
                <w:rFonts w:ascii="Arial" w:cs="Arial" w:eastAsia="Arial" w:hAnsi="Arial"/>
                <w:sz w:val="14"/>
                <w:szCs w:val="14"/>
                <w:b w:val="1"/>
                <w:bCs w:val="1"/>
                <w:color w:val="auto"/>
              </w:rPr>
              <w:t>($ in millions)</w:t>
            </w:r>
          </w:p>
        </w:tc>
        <w:tc>
          <w:tcPr>
            <w:tcW w:w="200" w:type="dxa"/>
            <w:vAlign w:val="bottom"/>
          </w:tcPr>
          <w:p>
            <w:pPr>
              <w:spacing w:after="0"/>
              <w:rPr>
                <w:sz w:val="11"/>
                <w:szCs w:val="11"/>
                <w:color w:val="auto"/>
              </w:rPr>
            </w:pPr>
          </w:p>
        </w:tc>
        <w:tc>
          <w:tcPr>
            <w:tcW w:w="22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6720" w:type="dxa"/>
            <w:vAlign w:val="bottom"/>
            <w:shd w:val="clear" w:color="auto" w:fill="CCEEFF"/>
          </w:tcPr>
          <w:p>
            <w:pPr>
              <w:spacing w:after="0"/>
              <w:rPr>
                <w:sz w:val="20"/>
                <w:szCs w:val="20"/>
                <w:color w:val="auto"/>
              </w:rPr>
            </w:pPr>
            <w:r>
              <w:rPr>
                <w:rFonts w:ascii="Arial" w:cs="Arial" w:eastAsia="Arial" w:hAnsi="Arial"/>
                <w:sz w:val="18"/>
                <w:szCs w:val="18"/>
                <w:color w:val="auto"/>
              </w:rPr>
              <w:t>Total fixed maturity securities (public and private)</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40,500.0</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6"/>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40,115.7</w:t>
            </w:r>
          </w:p>
        </w:tc>
        <w:tc>
          <w:tcPr>
            <w:tcW w:w="200" w:type="dxa"/>
            <w:vAlign w:val="bottom"/>
            <w:shd w:val="clear" w:color="auto" w:fill="CCEEFF"/>
          </w:tcPr>
          <w:p>
            <w:pPr>
              <w:spacing w:after="0"/>
              <w:rPr>
                <w:sz w:val="18"/>
                <w:szCs w:val="18"/>
                <w:color w:val="auto"/>
              </w:rPr>
            </w:pPr>
          </w:p>
        </w:tc>
        <w:tc>
          <w:tcPr>
            <w:tcW w:w="2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72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Problem fixed maturity securities</w:t>
            </w:r>
          </w:p>
        </w:tc>
        <w:tc>
          <w:tcPr>
            <w:tcW w:w="280" w:type="dxa"/>
            <w:vAlign w:val="bottom"/>
            <w:tcBorders>
              <w:top w:val="single" w:sz="8" w:color="CCEEFF"/>
              <w:bottom w:val="single" w:sz="8" w:color="CCEEFF"/>
            </w:tcBorders>
            <w:vMerge w:val="restart"/>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720" w:type="dxa"/>
            <w:vAlign w:val="bottom"/>
            <w:vMerge w:val="continue"/>
          </w:tcPr>
          <w:p>
            <w:pPr>
              <w:spacing w:after="0"/>
              <w:rPr>
                <w:sz w:val="17"/>
                <w:szCs w:val="17"/>
                <w:color w:val="auto"/>
              </w:rPr>
            </w:pPr>
          </w:p>
        </w:tc>
        <w:tc>
          <w:tcPr>
            <w:tcW w:w="280" w:type="dxa"/>
            <w:vAlign w:val="bottom"/>
            <w:vMerge w:val="continue"/>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7.6</w:t>
            </w:r>
          </w:p>
        </w:tc>
        <w:tc>
          <w:tcPr>
            <w:tcW w:w="220" w:type="dxa"/>
            <w:vAlign w:val="bottom"/>
          </w:tcPr>
          <w:p>
            <w:pPr>
              <w:spacing w:after="0"/>
              <w:rPr>
                <w:sz w:val="17"/>
                <w:szCs w:val="17"/>
                <w:color w:val="auto"/>
              </w:rPr>
            </w:pPr>
          </w:p>
        </w:tc>
        <w:tc>
          <w:tcPr>
            <w:tcW w:w="180" w:type="dxa"/>
            <w:vAlign w:val="bottom"/>
          </w:tcPr>
          <w:p>
            <w:pPr>
              <w:jc w:val="right"/>
              <w:ind w:right="26"/>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42.0</w:t>
            </w:r>
          </w:p>
        </w:tc>
        <w:tc>
          <w:tcPr>
            <w:tcW w:w="200" w:type="dxa"/>
            <w:vAlign w:val="bottom"/>
          </w:tcPr>
          <w:p>
            <w:pPr>
              <w:spacing w:after="0"/>
              <w:rPr>
                <w:sz w:val="17"/>
                <w:szCs w:val="17"/>
                <w:color w:val="auto"/>
              </w:rPr>
            </w:pPr>
          </w:p>
        </w:tc>
        <w:tc>
          <w:tcPr>
            <w:tcW w:w="2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720" w:type="dxa"/>
            <w:vAlign w:val="bottom"/>
            <w:shd w:val="clear" w:color="auto" w:fill="CCEEFF"/>
          </w:tcPr>
          <w:p>
            <w:pPr>
              <w:spacing w:after="0"/>
              <w:rPr>
                <w:sz w:val="20"/>
                <w:szCs w:val="20"/>
                <w:color w:val="auto"/>
              </w:rPr>
            </w:pPr>
            <w:r>
              <w:rPr>
                <w:rFonts w:ascii="Arial" w:cs="Arial" w:eastAsia="Arial" w:hAnsi="Arial"/>
                <w:sz w:val="18"/>
                <w:szCs w:val="18"/>
                <w:color w:val="auto"/>
              </w:rPr>
              <w:t>Potential problem fixed maturity securities</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56.6</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101.6</w:t>
            </w:r>
          </w:p>
        </w:tc>
        <w:tc>
          <w:tcPr>
            <w:tcW w:w="200" w:type="dxa"/>
            <w:vAlign w:val="bottom"/>
            <w:shd w:val="clear" w:color="auto" w:fill="CCEEFF"/>
          </w:tcPr>
          <w:p>
            <w:pPr>
              <w:spacing w:after="0"/>
              <w:rPr>
                <w:sz w:val="18"/>
                <w:szCs w:val="18"/>
                <w:color w:val="auto"/>
              </w:rPr>
            </w:pPr>
          </w:p>
        </w:tc>
        <w:tc>
          <w:tcPr>
            <w:tcW w:w="2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720" w:type="dxa"/>
            <w:vAlign w:val="bottom"/>
          </w:tcPr>
          <w:p>
            <w:pPr>
              <w:spacing w:after="0"/>
              <w:rPr>
                <w:sz w:val="20"/>
                <w:szCs w:val="20"/>
                <w:color w:val="auto"/>
              </w:rPr>
            </w:pPr>
            <w:r>
              <w:rPr>
                <w:rFonts w:ascii="Arial" w:cs="Arial" w:eastAsia="Arial" w:hAnsi="Arial"/>
                <w:sz w:val="18"/>
                <w:szCs w:val="18"/>
                <w:color w:val="auto"/>
              </w:rPr>
              <w:t>Restructured fixed maturity securities</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10.1</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72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problem, potential problem and restructured fixed maturity securities</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74.3</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26"/>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143.6</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2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720" w:type="dxa"/>
            <w:vAlign w:val="bottom"/>
            <w:vMerge w:val="restart"/>
          </w:tcPr>
          <w:p>
            <w:pPr>
              <w:ind w:left="180"/>
              <w:spacing w:after="0" w:line="195" w:lineRule="exact"/>
              <w:rPr>
                <w:sz w:val="20"/>
                <w:szCs w:val="20"/>
                <w:color w:val="auto"/>
              </w:rPr>
            </w:pPr>
            <w:r>
              <w:rPr>
                <w:rFonts w:ascii="Arial" w:cs="Arial" w:eastAsia="Arial" w:hAnsi="Arial"/>
                <w:sz w:val="18"/>
                <w:szCs w:val="18"/>
                <w:color w:val="auto"/>
                <w:w w:val="94"/>
              </w:rPr>
              <w:t>Total problem, potential problem and restructured fixed maturity securities as a percent</w:t>
            </w:r>
          </w:p>
        </w:tc>
        <w:tc>
          <w:tcPr>
            <w:tcW w:w="2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6720" w:type="dxa"/>
            <w:vAlign w:val="bottom"/>
            <w:vMerge w:val="continue"/>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vMerge w:val="restart"/>
          </w:tcPr>
          <w:p>
            <w:pPr>
              <w:jc w:val="right"/>
              <w:ind w:right="40"/>
              <w:spacing w:after="0"/>
              <w:rPr>
                <w:sz w:val="20"/>
                <w:szCs w:val="20"/>
                <w:color w:val="auto"/>
              </w:rPr>
            </w:pPr>
            <w:r>
              <w:rPr>
                <w:rFonts w:ascii="Arial" w:cs="Arial" w:eastAsia="Arial" w:hAnsi="Arial"/>
                <w:sz w:val="18"/>
                <w:szCs w:val="18"/>
                <w:b w:val="1"/>
                <w:bCs w:val="1"/>
                <w:color w:val="auto"/>
              </w:rPr>
              <w:t>0%</w:t>
            </w:r>
          </w:p>
        </w:tc>
        <w:tc>
          <w:tcPr>
            <w:tcW w:w="1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2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6720" w:type="dxa"/>
            <w:vAlign w:val="bottom"/>
          </w:tcPr>
          <w:p>
            <w:pPr>
              <w:ind w:left="360"/>
              <w:spacing w:after="0"/>
              <w:rPr>
                <w:sz w:val="20"/>
                <w:szCs w:val="20"/>
                <w:color w:val="auto"/>
              </w:rPr>
            </w:pPr>
            <w:r>
              <w:rPr>
                <w:rFonts w:ascii="Arial" w:cs="Arial" w:eastAsia="Arial" w:hAnsi="Arial"/>
                <w:sz w:val="18"/>
                <w:szCs w:val="18"/>
                <w:color w:val="auto"/>
              </w:rPr>
              <w:t>of total fixed maturity securities</w:t>
            </w:r>
          </w:p>
        </w:tc>
        <w:tc>
          <w:tcPr>
            <w:tcW w:w="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gridSpan w:val="2"/>
            <w:vMerge w:val="continue"/>
          </w:tcPr>
          <w:p>
            <w:pPr>
              <w:spacing w:after="0"/>
              <w:rPr>
                <w:sz w:val="20"/>
                <w:szCs w:val="20"/>
                <w:color w:val="auto"/>
              </w:rPr>
            </w:pPr>
          </w:p>
        </w:tc>
        <w:tc>
          <w:tcPr>
            <w:tcW w:w="180" w:type="dxa"/>
            <w:vAlign w:val="bottom"/>
          </w:tcPr>
          <w:p>
            <w:pPr>
              <w:spacing w:after="0"/>
              <w:rPr>
                <w:sz w:val="20"/>
                <w:szCs w:val="20"/>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0%</w:t>
            </w:r>
          </w:p>
        </w:tc>
        <w:tc>
          <w:tcPr>
            <w:tcW w:w="2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702"/>
        </w:trPr>
        <w:tc>
          <w:tcPr>
            <w:tcW w:w="6720" w:type="dxa"/>
            <w:vAlign w:val="bottom"/>
          </w:tcPr>
          <w:p>
            <w:pPr>
              <w:ind w:left="5620"/>
              <w:spacing w:after="0"/>
              <w:rPr>
                <w:sz w:val="20"/>
                <w:szCs w:val="20"/>
                <w:color w:val="auto"/>
              </w:rPr>
            </w:pPr>
            <w:r>
              <w:rPr>
                <w:rFonts w:ascii="Arial" w:cs="Arial" w:eastAsia="Arial" w:hAnsi="Arial"/>
                <w:sz w:val="18"/>
                <w:szCs w:val="18"/>
                <w:color w:val="auto"/>
              </w:rPr>
              <w:t>78</w:t>
            </w: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672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76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72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22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Mortgage Loans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Mortgage loans consist primarily of commercial mortgage loans on real estate. At June 30, 2006, commercial mortgage loans aggregated to</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$9,963.8 million. Commercial mortgage loans on real estate are generally reported at cost adjusted for amortization of premiums and accrual of discounts,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computed using the interest method, and net of valuation allowances. Commercial mortgage loans held for sale are carried at the lower of cost or fair value, less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cost to sell, and reported as mortgage loans in the statements of financial position.</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Commercial mortgages play an important role in our investment strategy by:</w:t>
      </w:r>
    </w:p>
    <w:p>
      <w:pPr>
        <w:spacing w:after="0" w:line="225" w:lineRule="exact"/>
        <w:rPr>
          <w:sz w:val="20"/>
          <w:szCs w:val="20"/>
          <w:color w:val="auto"/>
        </w:rPr>
      </w:pPr>
    </w:p>
    <w:p>
      <w:pPr>
        <w:ind w:left="260" w:hanging="252"/>
        <w:spacing w:after="0"/>
        <w:tabs>
          <w:tab w:leader="none" w:pos="2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providing strong risk-adjusted relative value in comparison to other investment alternatives;</w:t>
      </w:r>
    </w:p>
    <w:p>
      <w:pPr>
        <w:spacing w:after="0" w:line="225" w:lineRule="exact"/>
        <w:rPr>
          <w:rFonts w:ascii="Arial" w:cs="Arial" w:eastAsia="Arial" w:hAnsi="Arial"/>
          <w:sz w:val="18"/>
          <w:szCs w:val="18"/>
          <w:color w:val="auto"/>
        </w:rPr>
      </w:pPr>
    </w:p>
    <w:p>
      <w:pPr>
        <w:ind w:left="260" w:hanging="252"/>
        <w:spacing w:after="0"/>
        <w:tabs>
          <w:tab w:leader="none" w:pos="2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enhancing total returns; and</w:t>
      </w:r>
    </w:p>
    <w:p>
      <w:pPr>
        <w:spacing w:after="0" w:line="225" w:lineRule="exact"/>
        <w:rPr>
          <w:rFonts w:ascii="Arial" w:cs="Arial" w:eastAsia="Arial" w:hAnsi="Arial"/>
          <w:sz w:val="18"/>
          <w:szCs w:val="18"/>
          <w:color w:val="auto"/>
        </w:rPr>
      </w:pPr>
    </w:p>
    <w:p>
      <w:pPr>
        <w:ind w:left="260" w:hanging="252"/>
        <w:spacing w:after="0"/>
        <w:tabs>
          <w:tab w:leader="none" w:pos="2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providing strategic portfolio diversification.</w:t>
      </w:r>
    </w:p>
    <w:p>
      <w:pPr>
        <w:spacing w:after="0" w:line="225" w:lineRule="exact"/>
        <w:rPr>
          <w:sz w:val="20"/>
          <w:szCs w:val="20"/>
          <w:color w:val="auto"/>
        </w:rPr>
      </w:pPr>
    </w:p>
    <w:p>
      <w:pPr>
        <w:ind w:right="640" w:firstLine="648"/>
        <w:spacing w:after="0" w:line="308" w:lineRule="auto"/>
        <w:rPr>
          <w:sz w:val="20"/>
          <w:szCs w:val="20"/>
          <w:color w:val="auto"/>
        </w:rPr>
      </w:pPr>
      <w:r>
        <w:rPr>
          <w:rFonts w:ascii="Arial" w:cs="Arial" w:eastAsia="Arial" w:hAnsi="Arial"/>
          <w:sz w:val="17"/>
          <w:szCs w:val="17"/>
          <w:color w:val="auto"/>
        </w:rPr>
        <w:t>As a result, we have focused on constructing a solid, high quality portfolio of mortgages. Our portfolio is generally comprised of mortgages with conservative loan-to-value ratios, high debt service coverages and general purpose property types with a strong credit tenancy.</w:t>
      </w:r>
    </w:p>
    <w:p>
      <w:pPr>
        <w:spacing w:after="0" w:line="147"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Our commercial loan portfolio consists of primarily non-recourse, fixed rate mortgages on fully or near fully leased properties. The mortgage portfolio is comprised of general-purpose industrial properties, manufacturing office properties and credit oriented retail properties.</w:t>
      </w:r>
    </w:p>
    <w:p>
      <w:pPr>
        <w:spacing w:after="0" w:line="170" w:lineRule="exact"/>
        <w:rPr>
          <w:sz w:val="20"/>
          <w:szCs w:val="20"/>
          <w:color w:val="auto"/>
        </w:rPr>
      </w:pPr>
    </w:p>
    <w:p>
      <w:pPr>
        <w:ind w:right="180" w:firstLine="648"/>
        <w:spacing w:after="0" w:line="273" w:lineRule="auto"/>
        <w:rPr>
          <w:sz w:val="20"/>
          <w:szCs w:val="20"/>
          <w:color w:val="auto"/>
        </w:rPr>
      </w:pPr>
      <w:r>
        <w:rPr>
          <w:rFonts w:ascii="Arial" w:cs="Arial" w:eastAsia="Arial" w:hAnsi="Arial"/>
          <w:sz w:val="17"/>
          <w:szCs w:val="17"/>
          <w:color w:val="auto"/>
        </w:rPr>
        <w:t>California accounted for 18% of our commercial mortgage loan portfolio as of June 30, 2006. We are, therefore, exposed to potential losses resulting from the risk of catastrophes, such as earthquakes, that may affect the region. Like other lenders, we generally do not require earthquake insurance for properties on which we make commercial mortgage loans. With respect to California properties, however, we obtain an engineering report specific to each property. The report assesses the building’s design specifications, whether it has been upgraded to meet seismic building codes and the maximum loss that is likely to result from a variety of different seismic events. We also obtain a report that assesses, by building and geographic fault lines, the amount of loss our commercial mortgage loan portfolio might suffer under a variety of seismic events.</w:t>
      </w:r>
    </w:p>
    <w:p>
      <w:pPr>
        <w:spacing w:after="0" w:line="178" w:lineRule="exact"/>
        <w:rPr>
          <w:sz w:val="20"/>
          <w:szCs w:val="20"/>
          <w:color w:val="auto"/>
        </w:rPr>
      </w:pPr>
    </w:p>
    <w:p>
      <w:pPr>
        <w:ind w:right="160" w:firstLine="648"/>
        <w:spacing w:after="0" w:line="340" w:lineRule="auto"/>
        <w:rPr>
          <w:sz w:val="20"/>
          <w:szCs w:val="20"/>
          <w:color w:val="auto"/>
        </w:rPr>
      </w:pPr>
      <w:r>
        <w:rPr>
          <w:rFonts w:ascii="Arial" w:cs="Arial" w:eastAsia="Arial" w:hAnsi="Arial"/>
          <w:sz w:val="15"/>
          <w:szCs w:val="15"/>
          <w:color w:val="auto"/>
        </w:rPr>
        <w:t>Our commercial loan portfolio is highly diversified by borrower. As of June 30, 2006, 37% of the U.S. commercial mortgage loan portfolio was comprised of mortgage loans with principal balances of less than $10.0 million. The total number of commercial mortgage loans outstanding as of June 30, 2006 and December 31, 2005 was 1,264 and 1,309, respectively. The average loan size of our commercial mortgage portfolio was $7.9 million as of June 30, 2006.</w:t>
      </w:r>
    </w:p>
    <w:p>
      <w:pPr>
        <w:spacing w:after="0" w:line="131" w:lineRule="exact"/>
        <w:rPr>
          <w:sz w:val="20"/>
          <w:szCs w:val="20"/>
          <w:color w:val="auto"/>
        </w:rPr>
      </w:pPr>
    </w:p>
    <w:p>
      <w:pPr>
        <w:ind w:right="240" w:firstLine="648"/>
        <w:spacing w:after="0" w:line="257" w:lineRule="auto"/>
        <w:rPr>
          <w:sz w:val="20"/>
          <w:szCs w:val="20"/>
          <w:color w:val="auto"/>
        </w:rPr>
      </w:pPr>
      <w:r>
        <w:rPr>
          <w:rFonts w:ascii="Arial" w:cs="Arial" w:eastAsia="Arial" w:hAnsi="Arial"/>
          <w:sz w:val="18"/>
          <w:szCs w:val="18"/>
          <w:color w:val="auto"/>
        </w:rPr>
        <w:t>We actively monitor and manage our commercial mortgage loan portfolio. Substantially all loans within the portfolio are analyzed regularly and are internally rated, based on a proprietary risk rating cash flow model, in order to monitor the financial quality of these assets. Based on ongoing monitoring, mortgage loans with a likelihood of becoming delinquent are identified and placed on an internal “watch list”. Among criteria which would indicate a potential problem are: imbalances in ratios of loan to value or contract rents to debt service, major tenant vacancies or bankruptcies, borrower sponsorship problems, late payments, delinquent taxes and loan relief/restructuring requests.</w:t>
      </w:r>
    </w:p>
    <w:p>
      <w:pPr>
        <w:sectPr>
          <w:pgSz w:w="11900" w:h="16838" w:orient="portrait"/>
          <w:cols w:equalWidth="0" w:num="1">
            <w:col w:w="11460"/>
          </w:cols>
          <w:pgMar w:left="240" w:top="120" w:right="199" w:bottom="0" w:gutter="0" w:footer="0" w:header="0"/>
        </w:sectPr>
      </w:pPr>
    </w:p>
    <w:bookmarkStart w:id="55" w:name="page56"/>
    <w:bookmarkEnd w:id="55"/>
    <w:p>
      <w:pPr>
        <w:ind w:firstLine="648"/>
        <w:spacing w:after="0" w:line="254" w:lineRule="auto"/>
        <w:rPr>
          <w:sz w:val="20"/>
          <w:szCs w:val="20"/>
          <w:color w:val="auto"/>
        </w:rPr>
      </w:pPr>
      <w:r>
        <w:rPr>
          <w:rFonts w:ascii="Arial" w:cs="Arial" w:eastAsia="Arial" w:hAnsi="Arial"/>
          <w:sz w:val="18"/>
          <w:szCs w:val="18"/>
          <w:color w:val="auto"/>
        </w:rPr>
        <w:t>We review our mortgage loan portfolio and analyze the need for a valuation allowance for any loan which is delinquent for 60 days or more, in process of foreclosure, restructured, on the “watch list”, or which currently has a valuation allowance. We categorize loans, which are delinquent, loans in process of foreclosure, and loans to borrowers in bankruptcy as “problem” loans. Potential problem loans are loans placed on an internal “watch list” for which management has concerns as to the ability of the borrower to comply with the present loan payment terms and which may result in the loan becoming a problem or being restructured. The decision whether to classify a performing loan as a potential problem involves significant subjective judgments by management as to the likely future economic conditions and developments with respect to the borrower. We categorize loans for which the original terms of the mortgages have been modified or for which interest or principal payments have been deferred as “restructured” loans. We also consider matured loans that are refinanced at below market rates as restructured.</w:t>
      </w:r>
    </w:p>
    <w:p>
      <w:pPr>
        <w:spacing w:after="0" w:line="192" w:lineRule="exact"/>
        <w:rPr>
          <w:sz w:val="20"/>
          <w:szCs w:val="20"/>
          <w:color w:val="auto"/>
        </w:rPr>
      </w:pPr>
    </w:p>
    <w:p>
      <w:pPr>
        <w:ind w:right="200" w:firstLine="648"/>
        <w:spacing w:after="0" w:line="264" w:lineRule="auto"/>
        <w:rPr>
          <w:sz w:val="20"/>
          <w:szCs w:val="20"/>
          <w:color w:val="auto"/>
        </w:rPr>
      </w:pPr>
      <w:r>
        <w:rPr>
          <w:rFonts w:ascii="Arial" w:cs="Arial" w:eastAsia="Arial" w:hAnsi="Arial"/>
          <w:sz w:val="18"/>
          <w:szCs w:val="18"/>
          <w:color w:val="auto"/>
        </w:rPr>
        <w:t>The valuation allowance for commercial mortgage loans includes a loan specific allowance for impaired loans and a provision for losses based on past loss experience believed to be adequate to absorb estimated probable credit losses. The changes in this valuation allowance are reported as a net realized/unrealized capital loss on our consolidated statements of operations.</w:t>
      </w: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right="120" w:firstLine="648"/>
        <w:spacing w:after="0" w:line="273" w:lineRule="auto"/>
        <w:rPr>
          <w:sz w:val="20"/>
          <w:szCs w:val="20"/>
          <w:color w:val="auto"/>
        </w:rPr>
      </w:pPr>
      <w:r>
        <w:rPr>
          <w:rFonts w:ascii="Arial" w:cs="Arial" w:eastAsia="Arial" w:hAnsi="Arial"/>
          <w:sz w:val="17"/>
          <w:szCs w:val="17"/>
          <w:color w:val="auto"/>
        </w:rPr>
        <w:t>Commercial mortgage loans on real estate are considered impaired when, based on current information and events, it is probable that we will be unable to collect all amounts due according to contractual terms of the loan agreement. When we determine that a loan is impaired, a valuation allowance is established or a direct write-down of the loan is recorded for the difference between the carrying amount of the mortgage loan and the estimated value. Estimated value is based on either the present value of the expected future cash flows discounted at the loan’s effective interest rate, the loan’s observable market price or fair value of the collateral. When a valuation allowance is established, subsequent recoveries are charged to the valuation allowance and subsequent losses may be charged to the valuation allowance or as a direct write-down of the loan.</w:t>
      </w:r>
    </w:p>
    <w:p>
      <w:pPr>
        <w:spacing w:after="0" w:line="178" w:lineRule="exact"/>
        <w:rPr>
          <w:sz w:val="20"/>
          <w:szCs w:val="20"/>
          <w:color w:val="auto"/>
        </w:rPr>
      </w:pPr>
    </w:p>
    <w:p>
      <w:pPr>
        <w:ind w:right="240" w:firstLine="648"/>
        <w:spacing w:after="0" w:line="290" w:lineRule="auto"/>
        <w:rPr>
          <w:sz w:val="20"/>
          <w:szCs w:val="20"/>
          <w:color w:val="auto"/>
        </w:rPr>
      </w:pPr>
      <w:r>
        <w:rPr>
          <w:rFonts w:ascii="Arial" w:cs="Arial" w:eastAsia="Arial" w:hAnsi="Arial"/>
          <w:sz w:val="16"/>
          <w:szCs w:val="16"/>
          <w:color w:val="auto"/>
        </w:rPr>
        <w:t>The determination of the calculation and the adequacy of the mortgage loan loss provision based on past experience and mortgage impairments is subjective. Our periodic evaluation and assessment of the adequacy of the provision for losses and the need for mortgage impairments is based on known and inherent risks in the portfolio, adverse situations that may affect the borrower’s ability to repay, the estimated value of the underlying collateral, composition of the loan portfolio, current economic conditions, loss experience and other relevant factors. The current portfolio statistics and past loss experience produced a provision for the Principal Life general account totaling $32.2 million. The evaluation of our impaired loan component of the allowance is subjective, as it requires estimating the amounts and timing of future cash flows expected to be received on impaired loans. Our financial position is sensitive to changes in estimated cash flows from mortgages, the value of the collateral, and changes in the economic environment in general. Decreases in the valuation allowance aggregated to $0.2 million for the six months ended June 30, 2006, and $9.2 million for the year ended December 31, 2005.</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represents our commercial mortgage valuation allowance for the periods indicated:</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2220" w:type="dxa"/>
            <w:vAlign w:val="bottom"/>
            <w:gridSpan w:val="2"/>
          </w:tcPr>
          <w:p>
            <w:pPr>
              <w:jc w:val="right"/>
              <w:ind w:right="290"/>
              <w:spacing w:after="0"/>
              <w:rPr>
                <w:sz w:val="20"/>
                <w:szCs w:val="20"/>
                <w:color w:val="auto"/>
              </w:rPr>
            </w:pPr>
            <w:r>
              <w:rPr>
                <w:rFonts w:ascii="Arial" w:cs="Arial" w:eastAsia="Arial" w:hAnsi="Arial"/>
                <w:sz w:val="18"/>
                <w:szCs w:val="18"/>
                <w:b w:val="1"/>
                <w:bCs w:val="1"/>
                <w:color w:val="auto"/>
              </w:rPr>
              <w:t>U.S. Invested Assets</w:t>
            </w: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80" w:type="dxa"/>
            <w:vAlign w:val="bottom"/>
          </w:tcPr>
          <w:p>
            <w:pPr>
              <w:spacing w:after="0"/>
              <w:rPr>
                <w:sz w:val="18"/>
                <w:szCs w:val="18"/>
                <w:color w:val="auto"/>
              </w:rPr>
            </w:pPr>
          </w:p>
        </w:tc>
      </w:tr>
      <w:tr>
        <w:trPr>
          <w:trHeight w:val="234"/>
        </w:trPr>
        <w:tc>
          <w:tcPr>
            <w:tcW w:w="7800" w:type="dxa"/>
            <w:vAlign w:val="bottom"/>
            <w:gridSpan w:val="5"/>
          </w:tcPr>
          <w:p>
            <w:pPr>
              <w:ind w:left="4060"/>
              <w:spacing w:after="0"/>
              <w:rPr>
                <w:sz w:val="20"/>
                <w:szCs w:val="20"/>
                <w:color w:val="auto"/>
              </w:rPr>
            </w:pPr>
            <w:r>
              <w:rPr>
                <w:rFonts w:ascii="Arial" w:cs="Arial" w:eastAsia="Arial" w:hAnsi="Arial"/>
                <w:sz w:val="18"/>
                <w:szCs w:val="18"/>
                <w:b w:val="1"/>
                <w:bCs w:val="1"/>
                <w:color w:val="auto"/>
              </w:rPr>
              <w:t>Commercial Mortgage Valuation Allowance</w:t>
            </w:r>
          </w:p>
        </w:tc>
        <w:tc>
          <w:tcPr>
            <w:tcW w:w="2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80" w:type="dxa"/>
            <w:vAlign w:val="bottom"/>
          </w:tcPr>
          <w:p>
            <w:pPr>
              <w:spacing w:after="0"/>
              <w:rPr>
                <w:sz w:val="20"/>
                <w:szCs w:val="20"/>
                <w:color w:val="auto"/>
              </w:rPr>
            </w:pPr>
          </w:p>
        </w:tc>
      </w:tr>
      <w:tr>
        <w:trPr>
          <w:trHeight w:val="324"/>
        </w:trPr>
        <w:tc>
          <w:tcPr>
            <w:tcW w:w="462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6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w w:val="96"/>
              </w:rPr>
              <w:t>June 30,</w:t>
            </w:r>
          </w:p>
        </w:tc>
        <w:tc>
          <w:tcPr>
            <w:tcW w:w="1080" w:type="dxa"/>
            <w:vAlign w:val="bottom"/>
            <w:gridSpan w:val="3"/>
          </w:tcPr>
          <w:p>
            <w:pPr>
              <w:ind w:left="20"/>
              <w:spacing w:after="0"/>
              <w:rPr>
                <w:sz w:val="20"/>
                <w:szCs w:val="20"/>
                <w:color w:val="auto"/>
              </w:rPr>
            </w:pPr>
            <w:r>
              <w:rPr>
                <w:rFonts w:ascii="Arial" w:cs="Arial" w:eastAsia="Arial" w:hAnsi="Arial"/>
                <w:sz w:val="14"/>
                <w:szCs w:val="14"/>
                <w:b w:val="1"/>
                <w:bCs w:val="1"/>
                <w:color w:val="auto"/>
              </w:rPr>
              <w:t>December 31,</w:t>
            </w:r>
          </w:p>
        </w:tc>
      </w:tr>
      <w:tr>
        <w:trPr>
          <w:trHeight w:val="162"/>
        </w:trPr>
        <w:tc>
          <w:tcPr>
            <w:tcW w:w="462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217"/>
              <w:spacing w:after="0"/>
              <w:rPr>
                <w:sz w:val="20"/>
                <w:szCs w:val="20"/>
                <w:color w:val="auto"/>
              </w:rPr>
            </w:pPr>
            <w:r>
              <w:rPr>
                <w:rFonts w:ascii="Arial" w:cs="Arial" w:eastAsia="Arial" w:hAnsi="Arial"/>
                <w:sz w:val="14"/>
                <w:szCs w:val="14"/>
                <w:b w:val="1"/>
                <w:bCs w:val="1"/>
                <w:color w:val="auto"/>
              </w:rPr>
              <w:t>2006</w:t>
            </w:r>
          </w:p>
        </w:tc>
        <w:tc>
          <w:tcPr>
            <w:tcW w:w="2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233"/>
              <w:spacing w:after="0"/>
              <w:rPr>
                <w:sz w:val="20"/>
                <w:szCs w:val="20"/>
                <w:color w:val="auto"/>
              </w:rPr>
            </w:pPr>
            <w:r>
              <w:rPr>
                <w:rFonts w:ascii="Arial" w:cs="Arial" w:eastAsia="Arial" w:hAnsi="Arial"/>
                <w:sz w:val="14"/>
                <w:szCs w:val="14"/>
                <w:b w:val="1"/>
                <w:bCs w:val="1"/>
                <w:color w:val="auto"/>
              </w:rPr>
              <w:t>2005</w:t>
            </w:r>
          </w:p>
        </w:tc>
        <w:tc>
          <w:tcPr>
            <w:tcW w:w="180" w:type="dxa"/>
            <w:vAlign w:val="bottom"/>
          </w:tcPr>
          <w:p>
            <w:pPr>
              <w:spacing w:after="0"/>
              <w:rPr>
                <w:sz w:val="14"/>
                <w:szCs w:val="14"/>
                <w:color w:val="auto"/>
              </w:rPr>
            </w:pPr>
          </w:p>
        </w:tc>
      </w:tr>
      <w:tr>
        <w:trPr>
          <w:trHeight w:val="129"/>
        </w:trPr>
        <w:tc>
          <w:tcPr>
            <w:tcW w:w="4620" w:type="dxa"/>
            <w:vAlign w:val="bottom"/>
          </w:tcPr>
          <w:p>
            <w:pPr>
              <w:spacing w:after="0"/>
              <w:rPr>
                <w:sz w:val="11"/>
                <w:szCs w:val="11"/>
                <w:color w:val="auto"/>
              </w:rPr>
            </w:pPr>
          </w:p>
        </w:tc>
        <w:tc>
          <w:tcPr>
            <w:tcW w:w="2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60" w:type="dxa"/>
            <w:vAlign w:val="bottom"/>
            <w:gridSpan w:val="4"/>
          </w:tcPr>
          <w:p>
            <w:pPr>
              <w:jc w:val="right"/>
              <w:ind w:right="493"/>
              <w:spacing w:after="0" w:line="129" w:lineRule="exact"/>
              <w:rPr>
                <w:sz w:val="20"/>
                <w:szCs w:val="20"/>
                <w:color w:val="auto"/>
              </w:rPr>
            </w:pPr>
            <w:r>
              <w:rPr>
                <w:rFonts w:ascii="Arial" w:cs="Arial" w:eastAsia="Arial" w:hAnsi="Arial"/>
                <w:sz w:val="14"/>
                <w:szCs w:val="14"/>
                <w:b w:val="1"/>
                <w:bCs w:val="1"/>
                <w:color w:val="auto"/>
              </w:rPr>
              <w:t>($ in millions)</w:t>
            </w:r>
          </w:p>
        </w:tc>
        <w:tc>
          <w:tcPr>
            <w:tcW w:w="180" w:type="dxa"/>
            <w:vAlign w:val="bottom"/>
          </w:tcPr>
          <w:p>
            <w:pPr>
              <w:spacing w:after="0"/>
              <w:rPr>
                <w:sz w:val="11"/>
                <w:szCs w:val="1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Beginning balance</w:t>
            </w:r>
          </w:p>
        </w:tc>
        <w:tc>
          <w:tcPr>
            <w:tcW w:w="22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33.2</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42.4</w:t>
            </w:r>
          </w:p>
        </w:tc>
        <w:tc>
          <w:tcPr>
            <w:tcW w:w="180" w:type="dxa"/>
            <w:vAlign w:val="bottom"/>
            <w:shd w:val="clear" w:color="auto" w:fill="CCEEFF"/>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Provision</w:t>
            </w:r>
          </w:p>
        </w:tc>
        <w:tc>
          <w:tcPr>
            <w:tcW w:w="2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2.1</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6.7</w:t>
            </w:r>
          </w:p>
        </w:tc>
        <w:tc>
          <w:tcPr>
            <w:tcW w:w="180" w:type="dxa"/>
            <w:vAlign w:val="bottom"/>
          </w:tcPr>
          <w:p>
            <w:pPr>
              <w:spacing w:after="0"/>
              <w:rPr>
                <w:sz w:val="18"/>
                <w:szCs w:val="18"/>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Release</w:t>
            </w:r>
          </w:p>
        </w:tc>
        <w:tc>
          <w:tcPr>
            <w:tcW w:w="20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(2.3)</w:t>
            </w: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(15.9)</w:t>
            </w:r>
          </w:p>
        </w:tc>
      </w:tr>
      <w:tr>
        <w:trPr>
          <w:trHeight w:val="250"/>
        </w:trPr>
        <w:tc>
          <w:tcPr>
            <w:tcW w:w="46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Ending balance</w:t>
            </w:r>
          </w:p>
        </w:tc>
        <w:tc>
          <w:tcPr>
            <w:tcW w:w="208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33.0</w:t>
            </w:r>
          </w:p>
        </w:tc>
        <w:tc>
          <w:tcPr>
            <w:tcW w:w="22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33.2</w:t>
            </w:r>
          </w:p>
        </w:tc>
        <w:tc>
          <w:tcPr>
            <w:tcW w:w="180" w:type="dxa"/>
            <w:vAlign w:val="bottom"/>
            <w:tcBorders>
              <w:bottom w:val="single" w:sz="8" w:color="CCEEFF"/>
            </w:tcBorders>
          </w:tcPr>
          <w:p>
            <w:pPr>
              <w:spacing w:after="0"/>
              <w:rPr>
                <w:sz w:val="21"/>
                <w:szCs w:val="21"/>
                <w:color w:val="auto"/>
              </w:rPr>
            </w:pPr>
          </w:p>
        </w:tc>
      </w:tr>
      <w:tr>
        <w:trPr>
          <w:trHeight w:val="197"/>
        </w:trPr>
        <w:tc>
          <w:tcPr>
            <w:tcW w:w="4620" w:type="dxa"/>
            <w:vAlign w:val="bottom"/>
            <w:shd w:val="clear" w:color="auto" w:fill="CCEEFF"/>
          </w:tcPr>
          <w:p>
            <w:pPr>
              <w:spacing w:after="0" w:line="190" w:lineRule="exact"/>
              <w:rPr>
                <w:sz w:val="20"/>
                <w:szCs w:val="20"/>
                <w:color w:val="auto"/>
              </w:rPr>
            </w:pPr>
            <w:r>
              <w:rPr>
                <w:rFonts w:ascii="Arial" w:cs="Arial" w:eastAsia="Arial" w:hAnsi="Arial"/>
                <w:sz w:val="18"/>
                <w:szCs w:val="18"/>
                <w:color w:val="auto"/>
                <w:w w:val="97"/>
              </w:rPr>
              <w:t>Valuation allowance as % of carrying value before reserves</w:t>
            </w:r>
          </w:p>
        </w:tc>
        <w:tc>
          <w:tcPr>
            <w:tcW w:w="20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40"/>
              <w:spacing w:after="0" w:line="196" w:lineRule="exact"/>
              <w:rPr>
                <w:sz w:val="20"/>
                <w:szCs w:val="20"/>
                <w:color w:val="auto"/>
              </w:rPr>
            </w:pPr>
            <w:r>
              <w:rPr>
                <w:rFonts w:ascii="Arial" w:cs="Arial" w:eastAsia="Arial" w:hAnsi="Arial"/>
                <w:sz w:val="18"/>
                <w:szCs w:val="18"/>
                <w:b w:val="1"/>
                <w:bCs w:val="1"/>
                <w:color w:val="auto"/>
              </w:rPr>
              <w:t>1%</w:t>
            </w:r>
          </w:p>
        </w:tc>
        <w:tc>
          <w:tcPr>
            <w:tcW w:w="20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40"/>
              <w:spacing w:after="0" w:line="196" w:lineRule="exact"/>
              <w:rPr>
                <w:sz w:val="20"/>
                <w:szCs w:val="20"/>
                <w:color w:val="auto"/>
              </w:rPr>
            </w:pPr>
            <w:r>
              <w:rPr>
                <w:rFonts w:ascii="Arial" w:cs="Arial" w:eastAsia="Arial" w:hAnsi="Arial"/>
                <w:sz w:val="18"/>
                <w:szCs w:val="18"/>
                <w:color w:val="auto"/>
              </w:rPr>
              <w:t>1%</w:t>
            </w:r>
          </w:p>
        </w:tc>
      </w:tr>
    </w:tbl>
    <w:p>
      <w:pPr>
        <w:spacing w:after="0" w:line="256"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The following table presents the carrying amounts of problem, potential problem and restructured commercial mortgages relative to the carrying amount of all commercial mortgages for the periods indicated:</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U.S. Invested Assets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Problem, Potential Problem and Restructured Commercial Mortgages at Carrying Amount</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w w:val="96"/>
              </w:rPr>
              <w:t>June 30,</w:t>
            </w:r>
          </w:p>
        </w:tc>
        <w:tc>
          <w:tcPr>
            <w:tcW w:w="20" w:type="dxa"/>
            <w:vAlign w:val="bottom"/>
          </w:tcPr>
          <w:p>
            <w:pPr>
              <w:spacing w:after="0"/>
              <w:rPr>
                <w:sz w:val="14"/>
                <w:szCs w:val="14"/>
                <w:color w:val="auto"/>
              </w:rPr>
            </w:pPr>
          </w:p>
        </w:tc>
        <w:tc>
          <w:tcPr>
            <w:tcW w:w="1060" w:type="dxa"/>
            <w:vAlign w:val="bottom"/>
            <w:gridSpan w:val="3"/>
          </w:tcPr>
          <w:p>
            <w:pPr>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62"/>
        </w:trPr>
        <w:tc>
          <w:tcPr>
            <w:tcW w:w="6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216"/>
              <w:spacing w:after="0"/>
              <w:rPr>
                <w:sz w:val="20"/>
                <w:szCs w:val="20"/>
                <w:color w:val="auto"/>
              </w:rPr>
            </w:pPr>
            <w:r>
              <w:rPr>
                <w:rFonts w:ascii="Arial" w:cs="Arial" w:eastAsia="Arial" w:hAnsi="Arial"/>
                <w:sz w:val="14"/>
                <w:szCs w:val="14"/>
                <w:b w:val="1"/>
                <w:bCs w:val="1"/>
                <w:color w:val="auto"/>
              </w:rPr>
              <w:t>2006</w:t>
            </w:r>
          </w:p>
        </w:tc>
        <w:tc>
          <w:tcPr>
            <w:tcW w:w="2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213"/>
              <w:spacing w:after="0"/>
              <w:rPr>
                <w:sz w:val="20"/>
                <w:szCs w:val="20"/>
                <w:color w:val="auto"/>
              </w:rPr>
            </w:pPr>
            <w:r>
              <w:rPr>
                <w:rFonts w:ascii="Arial" w:cs="Arial" w:eastAsia="Arial" w:hAnsi="Arial"/>
                <w:sz w:val="14"/>
                <w:szCs w:val="14"/>
                <w:b w:val="1"/>
                <w:bCs w:val="1"/>
                <w:color w:val="auto"/>
              </w:rPr>
              <w:t>2005</w:t>
            </w: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6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40" w:type="dxa"/>
            <w:vAlign w:val="bottom"/>
            <w:gridSpan w:val="5"/>
          </w:tcPr>
          <w:p>
            <w:pPr>
              <w:jc w:val="right"/>
              <w:ind w:right="473"/>
              <w:spacing w:after="0" w:line="129" w:lineRule="exact"/>
              <w:rPr>
                <w:sz w:val="20"/>
                <w:szCs w:val="20"/>
                <w:color w:val="auto"/>
              </w:rPr>
            </w:pPr>
            <w:r>
              <w:rPr>
                <w:rFonts w:ascii="Arial" w:cs="Arial" w:eastAsia="Arial" w:hAnsi="Arial"/>
                <w:sz w:val="14"/>
                <w:szCs w:val="14"/>
                <w:b w:val="1"/>
                <w:bCs w:val="1"/>
                <w:color w:val="auto"/>
              </w:rPr>
              <w:t>($ in millions)</w:t>
            </w:r>
          </w:p>
        </w:tc>
        <w:tc>
          <w:tcPr>
            <w:tcW w:w="1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Total commercial mortgages</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9,963.8</w:t>
            </w:r>
          </w:p>
        </w:tc>
        <w:tc>
          <w:tcPr>
            <w:tcW w:w="2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9,890.</w:t>
            </w:r>
            <w:r>
              <w:rPr>
                <w:rFonts w:ascii="Arial" w:cs="Arial" w:eastAsia="Arial" w:hAnsi="Arial"/>
                <w:sz w:val="18"/>
                <w:szCs w:val="18"/>
                <w:u w:val="single" w:color="auto"/>
                <w:color w:val="auto"/>
              </w:rPr>
              <w:t>7</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54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Problem commercial mortgages(1)</w:t>
            </w:r>
          </w:p>
        </w:tc>
        <w:tc>
          <w:tcPr>
            <w:tcW w:w="200" w:type="dxa"/>
            <w:vAlign w:val="bottom"/>
            <w:tcBorders>
              <w:top w:val="single" w:sz="8" w:color="CCEEFF"/>
              <w:bottom w:val="single" w:sz="8" w:color="CCEEFF"/>
            </w:tcBorders>
            <w:vMerge w:val="restart"/>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CCEEFF"/>
            </w:tcBorders>
            <w:vMerge w:val="restart"/>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540" w:type="dxa"/>
            <w:vAlign w:val="bottom"/>
            <w:vMerge w:val="continue"/>
          </w:tcPr>
          <w:p>
            <w:pPr>
              <w:spacing w:after="0"/>
              <w:rPr>
                <w:sz w:val="17"/>
                <w:szCs w:val="17"/>
                <w:color w:val="auto"/>
              </w:rPr>
            </w:pPr>
          </w:p>
        </w:tc>
        <w:tc>
          <w:tcPr>
            <w:tcW w:w="200" w:type="dxa"/>
            <w:vAlign w:val="bottom"/>
            <w:vMerge w:val="continue"/>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74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10.6</w:t>
            </w:r>
          </w:p>
        </w:tc>
        <w:tc>
          <w:tcPr>
            <w:tcW w:w="200" w:type="dxa"/>
            <w:vAlign w:val="bottom"/>
          </w:tcPr>
          <w:p>
            <w:pPr>
              <w:spacing w:after="0"/>
              <w:rPr>
                <w:sz w:val="17"/>
                <w:szCs w:val="17"/>
                <w:color w:val="auto"/>
              </w:rPr>
            </w:pPr>
          </w:p>
        </w:tc>
        <w:tc>
          <w:tcPr>
            <w:tcW w:w="20" w:type="dxa"/>
            <w:vAlign w:val="bottom"/>
            <w:vMerge w:val="continue"/>
          </w:tcPr>
          <w:p>
            <w:pPr>
              <w:spacing w:after="0"/>
              <w:rPr>
                <w:sz w:val="17"/>
                <w:szCs w:val="17"/>
                <w:color w:val="auto"/>
              </w:rPr>
            </w:pPr>
          </w:p>
        </w:tc>
        <w:tc>
          <w:tcPr>
            <w:tcW w:w="180" w:type="dxa"/>
            <w:vAlign w:val="bottom"/>
          </w:tcPr>
          <w:p>
            <w:pPr>
              <w:spacing w:after="0" w:line="196" w:lineRule="exact"/>
              <w:rPr>
                <w:sz w:val="20"/>
                <w:szCs w:val="20"/>
                <w:color w:val="auto"/>
              </w:rPr>
            </w:pPr>
            <w:r>
              <w:rPr>
                <w:rFonts w:ascii="Arial" w:cs="Arial" w:eastAsia="Arial" w:hAnsi="Arial"/>
                <w:sz w:val="18"/>
                <w:szCs w:val="18"/>
                <w:color w:val="auto"/>
              </w:rPr>
              <w:t>$</w:t>
            </w:r>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10.4</w:t>
            </w: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Potential problem commercial mortgages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9.1</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Restructured commercial mortgages</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23.2</w:t>
            </w:r>
          </w:p>
        </w:tc>
        <w:tc>
          <w:tcPr>
            <w:tcW w:w="20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65.1</w:t>
            </w:r>
          </w:p>
        </w:tc>
        <w:tc>
          <w:tcPr>
            <w:tcW w:w="1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5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problem, potential problem and restructured commercial mortgages</w:t>
            </w:r>
          </w:p>
        </w:tc>
        <w:tc>
          <w:tcPr>
            <w:tcW w:w="2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42.9</w:t>
            </w:r>
          </w:p>
        </w:tc>
        <w:tc>
          <w:tcPr>
            <w:tcW w:w="200" w:type="dxa"/>
            <w:vAlign w:val="bottom"/>
            <w:tcBorders>
              <w:bottom w:val="single" w:sz="8" w:color="CCEEFF"/>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85.7</w:t>
            </w:r>
          </w:p>
        </w:tc>
        <w:tc>
          <w:tcPr>
            <w:tcW w:w="18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540" w:type="dxa"/>
            <w:vAlign w:val="bottom"/>
            <w:vMerge w:val="restart"/>
          </w:tcPr>
          <w:p>
            <w:pPr>
              <w:ind w:left="180"/>
              <w:spacing w:after="0" w:line="195" w:lineRule="exact"/>
              <w:rPr>
                <w:sz w:val="20"/>
                <w:szCs w:val="20"/>
                <w:color w:val="auto"/>
              </w:rPr>
            </w:pPr>
            <w:r>
              <w:rPr>
                <w:rFonts w:ascii="Arial" w:cs="Arial" w:eastAsia="Arial" w:hAnsi="Arial"/>
                <w:sz w:val="18"/>
                <w:szCs w:val="18"/>
                <w:color w:val="auto"/>
                <w:w w:val="92"/>
              </w:rPr>
              <w:t>Total problem, potential problem and restructured commercial mortgages as a percent</w:t>
            </w: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6540" w:type="dxa"/>
            <w:vAlign w:val="bottom"/>
            <w:vMerge w:val="continue"/>
          </w:tcPr>
          <w:p>
            <w:pPr>
              <w:spacing w:after="0"/>
              <w:rPr>
                <w:sz w:val="13"/>
                <w:szCs w:val="13"/>
                <w:color w:val="auto"/>
              </w:rPr>
            </w:pP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gridSpan w:val="2"/>
            <w:vMerge w:val="restart"/>
          </w:tcPr>
          <w:p>
            <w:pPr>
              <w:jc w:val="right"/>
              <w:ind w:right="20"/>
              <w:spacing w:after="0"/>
              <w:rPr>
                <w:sz w:val="20"/>
                <w:szCs w:val="20"/>
                <w:color w:val="auto"/>
              </w:rPr>
            </w:pPr>
            <w:r>
              <w:rPr>
                <w:rFonts w:ascii="Arial" w:cs="Arial" w:eastAsia="Arial" w:hAnsi="Arial"/>
                <w:sz w:val="18"/>
                <w:szCs w:val="18"/>
                <w:b w:val="1"/>
                <w:bCs w:val="1"/>
                <w:color w:val="auto"/>
              </w:rPr>
              <w:t>1%</w:t>
            </w: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6540" w:type="dxa"/>
            <w:vAlign w:val="bottom"/>
          </w:tcPr>
          <w:p>
            <w:pPr>
              <w:ind w:left="360"/>
              <w:spacing w:after="0"/>
              <w:rPr>
                <w:sz w:val="20"/>
                <w:szCs w:val="20"/>
                <w:color w:val="auto"/>
              </w:rPr>
            </w:pPr>
            <w:r>
              <w:rPr>
                <w:rFonts w:ascii="Arial" w:cs="Arial" w:eastAsia="Arial" w:hAnsi="Arial"/>
                <w:sz w:val="18"/>
                <w:szCs w:val="18"/>
                <w:color w:val="auto"/>
              </w:rPr>
              <w:t>of total commercial mortgages</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40" w:type="dxa"/>
            <w:vAlign w:val="bottom"/>
            <w:gridSpan w:val="2"/>
            <w:vMerge w:val="continue"/>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171450</wp:posOffset>
            </wp:positionV>
            <wp:extent cx="138938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357" w:lineRule="exact"/>
        <w:rPr>
          <w:sz w:val="20"/>
          <w:szCs w:val="20"/>
          <w:color w:val="auto"/>
        </w:rPr>
      </w:pPr>
    </w:p>
    <w:p>
      <w:pPr>
        <w:ind w:left="360" w:right="160" w:hanging="352"/>
        <w:spacing w:after="0" w:line="277" w:lineRule="auto"/>
        <w:tabs>
          <w:tab w:leader="none" w:pos="385" w:val="left"/>
        </w:tabs>
        <w:numPr>
          <w:ilvl w:val="0"/>
          <w:numId w:val="30"/>
        </w:numPr>
        <w:rPr>
          <w:rFonts w:ascii="Arial" w:cs="Arial" w:eastAsia="Arial" w:hAnsi="Arial"/>
          <w:sz w:val="18"/>
          <w:szCs w:val="18"/>
          <w:color w:val="auto"/>
        </w:rPr>
      </w:pPr>
      <w:r>
        <w:rPr>
          <w:rFonts w:ascii="Arial" w:cs="Arial" w:eastAsia="Arial" w:hAnsi="Arial"/>
          <w:sz w:val="18"/>
          <w:szCs w:val="18"/>
          <w:color w:val="auto"/>
        </w:rPr>
        <w:t>Problem commercial mortgages include mortgage loans in foreclosure of $10.5 million as of June 30, 2006. This is the same mortgage loan that was in foreclosure as of December 31, 2005.</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Real Estate</w:t>
      </w:r>
    </w:p>
    <w:p>
      <w:pPr>
        <w:spacing w:after="0" w:line="225" w:lineRule="exact"/>
        <w:rPr>
          <w:sz w:val="20"/>
          <w:szCs w:val="20"/>
          <w:color w:val="auto"/>
        </w:rPr>
      </w:pPr>
    </w:p>
    <w:p>
      <w:pPr>
        <w:ind w:right="20" w:firstLine="648"/>
        <w:spacing w:after="0" w:line="340" w:lineRule="auto"/>
        <w:rPr>
          <w:sz w:val="20"/>
          <w:szCs w:val="20"/>
          <w:color w:val="auto"/>
        </w:rPr>
      </w:pPr>
      <w:r>
        <w:rPr>
          <w:rFonts w:ascii="Arial" w:cs="Arial" w:eastAsia="Arial" w:hAnsi="Arial"/>
          <w:sz w:val="15"/>
          <w:szCs w:val="15"/>
          <w:color w:val="auto"/>
        </w:rPr>
        <w:t>We hold commercial equity real estate as part of our investment portfolio. As of June 30, 2006, and December 31, 2005, the carrying amount of equity real estate investment was $984.9 million and $987.7 million, or 2% and 2%, of U.S. invested assets, respectively. Our commercial equity real estate is held in the form of wholly owned real estate, real estate acquired upon foreclosure of commercial mortgage loans, and majority owned interests in real estate joint ventures.</w:t>
      </w:r>
    </w:p>
    <w:p>
      <w:pPr>
        <w:sectPr>
          <w:pgSz w:w="11900" w:h="16838" w:orient="portrait"/>
          <w:cols w:equalWidth="0" w:num="1">
            <w:col w:w="11420"/>
          </w:cols>
          <w:pgMar w:left="240" w:top="125" w:right="239" w:bottom="87" w:gutter="0" w:footer="0" w:header="0"/>
        </w:sectPr>
      </w:pPr>
    </w:p>
    <w:bookmarkStart w:id="56" w:name="page57"/>
    <w:bookmarkEnd w:id="56"/>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660"/>
        <w:spacing w:after="0"/>
        <w:rPr>
          <w:sz w:val="20"/>
          <w:szCs w:val="20"/>
          <w:color w:val="auto"/>
        </w:rPr>
      </w:pPr>
      <w:r>
        <w:rPr>
          <w:rFonts w:ascii="Arial" w:cs="Arial" w:eastAsia="Arial" w:hAnsi="Arial"/>
          <w:sz w:val="17"/>
          <w:szCs w:val="17"/>
          <w:color w:val="auto"/>
        </w:rPr>
        <w:t>Equity real estate is categorized as either “real estate held for investment” or “real estate held for sale”. Real estate held for investment totaled</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$843.0 million as of June 30, 2006, and $853.9 million as of December 31, 2005. The carrying value of real estate held for investment is generally adjusted for</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impairment whenever events or changes in circumstances indicate that the carrying amount of the asset may not be recoverable. Such impairment adjustments are</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recorded as realized investment losses and accordingly, are reflected in our consolidated results of operations. For the years ended June 30, 2006 and December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31, 2005, there were no such impairment adjustments.</w:t>
      </w:r>
    </w:p>
    <w:p>
      <w:pPr>
        <w:spacing w:after="0" w:line="211" w:lineRule="exact"/>
        <w:rPr>
          <w:sz w:val="20"/>
          <w:szCs w:val="20"/>
          <w:color w:val="auto"/>
        </w:rPr>
      </w:pPr>
    </w:p>
    <w:p>
      <w:pPr>
        <w:ind w:right="180" w:firstLine="648"/>
        <w:spacing w:after="0" w:line="279" w:lineRule="auto"/>
        <w:rPr>
          <w:sz w:val="20"/>
          <w:szCs w:val="20"/>
          <w:color w:val="auto"/>
        </w:rPr>
      </w:pPr>
      <w:r>
        <w:rPr>
          <w:rFonts w:ascii="Arial" w:cs="Arial" w:eastAsia="Arial" w:hAnsi="Arial"/>
          <w:sz w:val="17"/>
          <w:szCs w:val="17"/>
          <w:color w:val="auto"/>
        </w:rPr>
        <w:t>The carrying amount of real estate held for sale as of June 30, 2006, and December 31, 2005, was $141.9 million and $133.8 million, net of valuation allowances of $4.2 million and $4.2 million, respectively. Once we identify a real estate property to be sold and commence a plan for marketing the property, we classify the property as held for sale. We establish a valuation allowance subject to periodic revisions, if necessary, to adjust the carrying value of the property to reflect the lower of its current carrying value or the fair value, less associated selling costs.</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5"/>
          <w:szCs w:val="15"/>
          <w:color w:val="auto"/>
        </w:rPr>
        <w:t>We use research, both internal and external, to recommend appropriate product and geographic allocations and changes to the equity real estate portfolio.</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We monitor product, geographic and industry diversification separately and together to determine the most appropriate mix.</w:t>
      </w:r>
    </w:p>
    <w:p>
      <w:pPr>
        <w:spacing w:after="0" w:line="211"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Equity real estate is distributed across geographic regions of the country with larger concentrations in the South Atlantic, Pacific, and West South Central regions of the United States as of June 30, 2006. By property type, there is a concentration in office buildings and industrial sites that represented approximately 68% of the equity real estate portfolio as of June 30, 2006.</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Investments</w:t>
      </w:r>
    </w:p>
    <w:p>
      <w:pPr>
        <w:spacing w:after="0" w:line="229" w:lineRule="exact"/>
        <w:rPr>
          <w:sz w:val="20"/>
          <w:szCs w:val="20"/>
          <w:color w:val="auto"/>
        </w:rPr>
      </w:pPr>
    </w:p>
    <w:p>
      <w:pPr>
        <w:ind w:right="360" w:firstLine="648"/>
        <w:spacing w:after="0" w:line="264" w:lineRule="auto"/>
        <w:rPr>
          <w:sz w:val="20"/>
          <w:szCs w:val="20"/>
          <w:color w:val="auto"/>
        </w:rPr>
      </w:pPr>
      <w:r>
        <w:rPr>
          <w:rFonts w:ascii="Arial" w:cs="Arial" w:eastAsia="Arial" w:hAnsi="Arial"/>
          <w:sz w:val="18"/>
          <w:szCs w:val="18"/>
          <w:color w:val="auto"/>
        </w:rPr>
        <w:t>Our other investments totaled $1,010.5 million as of June 30, 2006, compared to $755.3 million as of December 31, 2005. Derivatives accounted for $723.8 million in other investments as of June 30, 2006. The remaining invested assets include equity method investments, which include properties owned jointly with venture partners and operated by the partners.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Investment Operations</w:t>
      </w:r>
    </w:p>
    <w:p>
      <w:pPr>
        <w:spacing w:after="0" w:line="229" w:lineRule="exact"/>
        <w:rPr>
          <w:sz w:val="20"/>
          <w:szCs w:val="20"/>
          <w:color w:val="auto"/>
        </w:rPr>
      </w:pPr>
    </w:p>
    <w:p>
      <w:pPr>
        <w:ind w:right="260" w:firstLine="648"/>
        <w:spacing w:after="0" w:line="286" w:lineRule="auto"/>
        <w:rPr>
          <w:sz w:val="20"/>
          <w:szCs w:val="20"/>
          <w:color w:val="auto"/>
        </w:rPr>
      </w:pPr>
      <w:r>
        <w:rPr>
          <w:rFonts w:ascii="Arial" w:cs="Arial" w:eastAsia="Arial" w:hAnsi="Arial"/>
          <w:sz w:val="17"/>
          <w:szCs w:val="17"/>
          <w:color w:val="auto"/>
        </w:rPr>
        <w:t>As of June 30, 2006, our international investment operations consist of the investments of Principal International comprised of $3.0 billion in invested assets. Principal Global Investors advises each Principal International affiliate on investment policies and strategies that are consistent with the products they offer. Due to the regulatory constraints in each country, each company maintains its own investment policies.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Overall Composition of International Invested Assets</w:t>
      </w:r>
    </w:p>
    <w:p>
      <w:pPr>
        <w:spacing w:after="0" w:line="229"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As shown in the following table, the major categories of international invested assets as of June 30, 2006, and December 31, 2005, were fixed maturity securities and residential mortgage loans:</w:t>
      </w:r>
    </w:p>
    <w:p>
      <w:pPr>
        <w:spacing w:after="0" w:line="16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International Invested Assets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80" w:type="dxa"/>
            <w:vAlign w:val="bottom"/>
            <w:gridSpan w:val="3"/>
          </w:tcPr>
          <w:p>
            <w:pPr>
              <w:ind w:left="1000"/>
              <w:spacing w:after="0"/>
              <w:rPr>
                <w:sz w:val="20"/>
                <w:szCs w:val="20"/>
                <w:color w:val="auto"/>
              </w:rPr>
            </w:pPr>
            <w:r>
              <w:rPr>
                <w:rFonts w:ascii="Arial" w:cs="Arial" w:eastAsia="Arial" w:hAnsi="Arial"/>
                <w:sz w:val="14"/>
                <w:szCs w:val="14"/>
                <w:b w:val="1"/>
                <w:bCs w:val="1"/>
                <w:color w:val="auto"/>
                <w:w w:val="94"/>
              </w:rPr>
              <w:t>June 30, 2006</w:t>
            </w:r>
          </w:p>
        </w:tc>
        <w:tc>
          <w:tcPr>
            <w:tcW w:w="7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0" w:type="dxa"/>
            <w:vAlign w:val="bottom"/>
            <w:gridSpan w:val="4"/>
          </w:tcPr>
          <w:p>
            <w:pPr>
              <w:jc w:val="right"/>
              <w:ind w:right="1180"/>
              <w:spacing w:after="0"/>
              <w:rPr>
                <w:sz w:val="20"/>
                <w:szCs w:val="20"/>
                <w:color w:val="auto"/>
              </w:rPr>
            </w:pPr>
            <w:r>
              <w:rPr>
                <w:rFonts w:ascii="Arial" w:cs="Arial" w:eastAsia="Arial" w:hAnsi="Arial"/>
                <w:sz w:val="14"/>
                <w:szCs w:val="14"/>
                <w:b w:val="1"/>
                <w:bCs w:val="1"/>
                <w:color w:val="auto"/>
              </w:rPr>
              <w:t>December 31, 2005</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4720" w:type="dxa"/>
            <w:vAlign w:val="bottom"/>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1880" w:type="dxa"/>
            <w:vAlign w:val="bottom"/>
            <w:tcBorders>
              <w:top w:val="single" w:sz="8" w:color="auto"/>
              <w:bottom w:val="single" w:sz="8" w:color="auto"/>
            </w:tcBorders>
            <w:gridSpan w:val="3"/>
          </w:tcPr>
          <w:p>
            <w:pPr>
              <w:ind w:left="20"/>
              <w:spacing w:after="0" w:line="129" w:lineRule="exact"/>
              <w:rPr>
                <w:sz w:val="20"/>
                <w:szCs w:val="20"/>
                <w:color w:val="auto"/>
              </w:rPr>
            </w:pPr>
            <w:r>
              <w:rPr>
                <w:rFonts w:ascii="Arial" w:cs="Arial" w:eastAsia="Arial" w:hAnsi="Arial"/>
                <w:sz w:val="14"/>
                <w:szCs w:val="14"/>
                <w:b w:val="1"/>
                <w:bCs w:val="1"/>
                <w:color w:val="auto"/>
              </w:rPr>
              <w:t>Carrying Amount</w:t>
            </w:r>
          </w:p>
        </w:tc>
        <w:tc>
          <w:tcPr>
            <w:tcW w:w="740" w:type="dxa"/>
            <w:vAlign w:val="bottom"/>
            <w:tcBorders>
              <w:top w:val="single" w:sz="8" w:color="auto"/>
              <w:bottom w:val="single" w:sz="8" w:color="auto"/>
            </w:tcBorders>
          </w:tcPr>
          <w:p>
            <w:pPr>
              <w:ind w:left="40"/>
              <w:spacing w:after="0" w:line="129" w:lineRule="exact"/>
              <w:rPr>
                <w:sz w:val="20"/>
                <w:szCs w:val="20"/>
                <w:color w:val="auto"/>
              </w:rPr>
            </w:pPr>
            <w:r>
              <w:rPr>
                <w:rFonts w:ascii="Arial" w:cs="Arial" w:eastAsia="Arial" w:hAnsi="Arial"/>
                <w:sz w:val="14"/>
                <w:szCs w:val="14"/>
                <w:b w:val="1"/>
                <w:bCs w:val="1"/>
                <w:color w:val="auto"/>
              </w:rPr>
              <w:t>% of Total</w:t>
            </w:r>
          </w:p>
        </w:tc>
        <w:tc>
          <w:tcPr>
            <w:tcW w:w="320" w:type="dxa"/>
            <w:vAlign w:val="bottom"/>
            <w:tcBorders>
              <w:top w:val="single" w:sz="8" w:color="auto"/>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1300" w:type="dxa"/>
            <w:vAlign w:val="bottom"/>
            <w:tcBorders>
              <w:top w:val="single" w:sz="8" w:color="auto"/>
              <w:bottom w:val="single" w:sz="8" w:color="auto"/>
            </w:tcBorders>
          </w:tcPr>
          <w:p>
            <w:pPr>
              <w:jc w:val="right"/>
              <w:ind w:right="73"/>
              <w:spacing w:after="0" w:line="129" w:lineRule="exact"/>
              <w:rPr>
                <w:sz w:val="20"/>
                <w:szCs w:val="20"/>
                <w:color w:val="auto"/>
              </w:rPr>
            </w:pPr>
            <w:r>
              <w:rPr>
                <w:rFonts w:ascii="Arial" w:cs="Arial" w:eastAsia="Arial" w:hAnsi="Arial"/>
                <w:sz w:val="14"/>
                <w:szCs w:val="14"/>
                <w:b w:val="1"/>
                <w:bCs w:val="1"/>
                <w:color w:val="auto"/>
                <w:w w:val="97"/>
              </w:rPr>
              <w:t>Carrying Amount</w:t>
            </w:r>
          </w:p>
        </w:tc>
        <w:tc>
          <w:tcPr>
            <w:tcW w:w="260" w:type="dxa"/>
            <w:vAlign w:val="bottom"/>
            <w:tcBorders>
              <w:top w:val="single" w:sz="8" w:color="auto"/>
              <w:bottom w:val="single" w:sz="8" w:color="auto"/>
            </w:tcBorders>
          </w:tcPr>
          <w:p>
            <w:pPr>
              <w:spacing w:after="0"/>
              <w:rPr>
                <w:sz w:val="11"/>
                <w:szCs w:val="11"/>
                <w:color w:val="auto"/>
              </w:rPr>
            </w:pPr>
          </w:p>
        </w:tc>
        <w:tc>
          <w:tcPr>
            <w:tcW w:w="1420" w:type="dxa"/>
            <w:vAlign w:val="bottom"/>
            <w:tcBorders>
              <w:top w:val="single" w:sz="8" w:color="auto"/>
              <w:bottom w:val="single" w:sz="8" w:color="auto"/>
            </w:tcBorders>
          </w:tcPr>
          <w:p>
            <w:pPr>
              <w:jc w:val="right"/>
              <w:ind w:right="294"/>
              <w:spacing w:after="0" w:line="129" w:lineRule="exact"/>
              <w:rPr>
                <w:sz w:val="20"/>
                <w:szCs w:val="20"/>
                <w:color w:val="auto"/>
              </w:rPr>
            </w:pPr>
            <w:r>
              <w:rPr>
                <w:rFonts w:ascii="Arial" w:cs="Arial" w:eastAsia="Arial" w:hAnsi="Arial"/>
                <w:sz w:val="14"/>
                <w:szCs w:val="14"/>
                <w:b w:val="1"/>
                <w:bCs w:val="1"/>
                <w:color w:val="auto"/>
              </w:rPr>
              <w:t>% of Total</w:t>
            </w: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4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60" w:type="dxa"/>
            <w:vAlign w:val="bottom"/>
            <w:gridSpan w:val="4"/>
          </w:tcPr>
          <w:p>
            <w:pPr>
              <w:jc w:val="right"/>
              <w:ind w:right="1053"/>
              <w:spacing w:after="0" w:line="129" w:lineRule="exact"/>
              <w:rPr>
                <w:sz w:val="20"/>
                <w:szCs w:val="20"/>
                <w:color w:val="auto"/>
              </w:rPr>
            </w:pPr>
            <w:r>
              <w:rPr>
                <w:rFonts w:ascii="Arial" w:cs="Arial" w:eastAsia="Arial" w:hAnsi="Arial"/>
                <w:sz w:val="14"/>
                <w:szCs w:val="14"/>
                <w:b w:val="1"/>
                <w:bCs w:val="1"/>
                <w:color w:val="auto"/>
                <w:w w:val="99"/>
              </w:rPr>
              <w:t>($ in millions)</w:t>
            </w:r>
          </w:p>
        </w:tc>
        <w:tc>
          <w:tcPr>
            <w:tcW w:w="26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Fixed maturity securities</w:t>
            </w: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ind w:left="180"/>
              <w:spacing w:after="0"/>
              <w:rPr>
                <w:sz w:val="20"/>
                <w:szCs w:val="20"/>
                <w:color w:val="auto"/>
              </w:rPr>
            </w:pPr>
            <w:r>
              <w:rPr>
                <w:rFonts w:ascii="Arial" w:cs="Arial" w:eastAsia="Arial" w:hAnsi="Arial"/>
                <w:sz w:val="18"/>
                <w:szCs w:val="18"/>
                <w:color w:val="auto"/>
              </w:rPr>
              <w:t>Public</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2,045.4</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60" w:type="dxa"/>
            <w:vAlign w:val="bottom"/>
            <w:gridSpan w:val="3"/>
          </w:tcPr>
          <w:p>
            <w:pPr>
              <w:jc w:val="right"/>
              <w:spacing w:after="0"/>
              <w:rPr>
                <w:sz w:val="20"/>
                <w:szCs w:val="20"/>
                <w:color w:val="auto"/>
              </w:rPr>
            </w:pPr>
            <w:r>
              <w:rPr>
                <w:rFonts w:ascii="Arial" w:cs="Arial" w:eastAsia="Arial" w:hAnsi="Arial"/>
                <w:sz w:val="18"/>
                <w:szCs w:val="18"/>
                <w:b w:val="1"/>
                <w:bCs w:val="1"/>
                <w:color w:val="auto"/>
              </w:rPr>
              <w:t xml:space="preserve">69%  </w:t>
            </w:r>
            <w:r>
              <w:rPr>
                <w:rFonts w:ascii="Arial" w:cs="Arial" w:eastAsia="Arial" w:hAnsi="Arial"/>
                <w:sz w:val="18"/>
                <w:szCs w:val="18"/>
                <w:color w:val="auto"/>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2,114.1</w:t>
            </w:r>
          </w:p>
        </w:tc>
        <w:tc>
          <w:tcPr>
            <w:tcW w:w="1900" w:type="dxa"/>
            <w:vAlign w:val="bottom"/>
            <w:gridSpan w:val="3"/>
          </w:tcPr>
          <w:p>
            <w:pPr>
              <w:jc w:val="right"/>
              <w:ind w:right="60"/>
              <w:spacing w:after="0"/>
              <w:rPr>
                <w:sz w:val="20"/>
                <w:szCs w:val="20"/>
                <w:color w:val="auto"/>
              </w:rPr>
            </w:pPr>
            <w:r>
              <w:rPr>
                <w:rFonts w:ascii="Arial" w:cs="Arial" w:eastAsia="Arial" w:hAnsi="Arial"/>
                <w:sz w:val="18"/>
                <w:szCs w:val="18"/>
                <w:color w:val="auto"/>
              </w:rPr>
              <w:t>69%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Private</w:t>
            </w:r>
          </w:p>
        </w:tc>
        <w:tc>
          <w:tcPr>
            <w:tcW w:w="120" w:type="dxa"/>
            <w:vAlign w:val="bottom"/>
            <w:shd w:val="clear" w:color="auto" w:fill="CCEEFF"/>
          </w:tcPr>
          <w:p>
            <w:pPr>
              <w:spacing w:after="0"/>
              <w:rPr>
                <w:sz w:val="18"/>
                <w:szCs w:val="18"/>
                <w:color w:val="auto"/>
              </w:rPr>
            </w:pPr>
          </w:p>
        </w:tc>
        <w:tc>
          <w:tcPr>
            <w:tcW w:w="188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b w:val="1"/>
                <w:bCs w:val="1"/>
                <w:color w:val="auto"/>
              </w:rPr>
              <w:t>—</w:t>
            </w:r>
          </w:p>
        </w:tc>
        <w:tc>
          <w:tcPr>
            <w:tcW w:w="74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365"/>
              <w:spacing w:after="0"/>
              <w:rPr>
                <w:sz w:val="20"/>
                <w:szCs w:val="20"/>
                <w:color w:val="auto"/>
              </w:rPr>
            </w:pPr>
            <w:r>
              <w:rPr>
                <w:rFonts w:ascii="Arial" w:cs="Arial" w:eastAsia="Arial" w:hAnsi="Arial"/>
                <w:sz w:val="18"/>
                <w:szCs w:val="18"/>
                <w:b w:val="1"/>
                <w:bCs w:val="1"/>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26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spacing w:after="0"/>
              <w:rPr>
                <w:sz w:val="20"/>
                <w:szCs w:val="20"/>
                <w:color w:val="auto"/>
              </w:rPr>
            </w:pPr>
            <w:r>
              <w:rPr>
                <w:rFonts w:ascii="Arial" w:cs="Arial" w:eastAsia="Arial" w:hAnsi="Arial"/>
                <w:sz w:val="18"/>
                <w:szCs w:val="18"/>
                <w:color w:val="auto"/>
              </w:rPr>
              <w:t>Equity securities</w:t>
            </w: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49.6</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b w:val="1"/>
                <w:bCs w:val="1"/>
                <w:color w:val="auto"/>
              </w:rPr>
              <w:t>2</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50.7</w:t>
            </w:r>
          </w:p>
        </w:tc>
        <w:tc>
          <w:tcPr>
            <w:tcW w:w="1680" w:type="dxa"/>
            <w:vAlign w:val="bottom"/>
            <w:gridSpan w:val="2"/>
          </w:tcPr>
          <w:p>
            <w:pPr>
              <w:jc w:val="right"/>
              <w:spacing w:after="0"/>
              <w:rPr>
                <w:sz w:val="20"/>
                <w:szCs w:val="20"/>
                <w:color w:val="auto"/>
              </w:rPr>
            </w:pPr>
            <w:r>
              <w:rPr>
                <w:rFonts w:ascii="Arial" w:cs="Arial" w:eastAsia="Arial" w:hAnsi="Arial"/>
                <w:sz w:val="18"/>
                <w:szCs w:val="18"/>
                <w:color w:val="auto"/>
              </w:rPr>
              <w:t>2</w:t>
            </w: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Mortgage loans</w:t>
            </w: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Pr>
          <w:p>
            <w:pPr>
              <w:ind w:left="180"/>
              <w:spacing w:after="0"/>
              <w:rPr>
                <w:sz w:val="20"/>
                <w:szCs w:val="20"/>
                <w:color w:val="auto"/>
              </w:rPr>
            </w:pPr>
            <w:r>
              <w:rPr>
                <w:rFonts w:ascii="Arial" w:cs="Arial" w:eastAsia="Arial" w:hAnsi="Arial"/>
                <w:sz w:val="18"/>
                <w:szCs w:val="18"/>
                <w:color w:val="auto"/>
              </w:rPr>
              <w:t>Residential</w:t>
            </w: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512.1</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b w:val="1"/>
                <w:bCs w:val="1"/>
                <w:color w:val="auto"/>
              </w:rPr>
              <w:t>17</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505.1</w:t>
            </w:r>
          </w:p>
        </w:tc>
        <w:tc>
          <w:tcPr>
            <w:tcW w:w="1680" w:type="dxa"/>
            <w:vAlign w:val="bottom"/>
            <w:gridSpan w:val="2"/>
          </w:tcPr>
          <w:p>
            <w:pPr>
              <w:jc w:val="right"/>
              <w:spacing w:after="0"/>
              <w:rPr>
                <w:sz w:val="20"/>
                <w:szCs w:val="20"/>
                <w:color w:val="auto"/>
              </w:rPr>
            </w:pPr>
            <w:r>
              <w:rPr>
                <w:rFonts w:ascii="Arial" w:cs="Arial" w:eastAsia="Arial" w:hAnsi="Arial"/>
                <w:sz w:val="18"/>
                <w:szCs w:val="18"/>
                <w:color w:val="auto"/>
              </w:rPr>
              <w:t>17</w:t>
            </w: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Real estate held for investment</w:t>
            </w: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12.3</w:t>
            </w: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365"/>
              <w:spacing w:after="0"/>
              <w:rPr>
                <w:sz w:val="20"/>
                <w:szCs w:val="20"/>
                <w:color w:val="auto"/>
              </w:rPr>
            </w:pPr>
            <w:r>
              <w:rPr>
                <w:rFonts w:ascii="Arial" w:cs="Arial" w:eastAsia="Arial" w:hAnsi="Arial"/>
                <w:sz w:val="18"/>
                <w:szCs w:val="18"/>
                <w:b w:val="1"/>
                <w:bCs w:val="1"/>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w:t>
            </w:r>
          </w:p>
        </w:tc>
        <w:tc>
          <w:tcPr>
            <w:tcW w:w="26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Other investments</w:t>
            </w:r>
          </w:p>
        </w:tc>
        <w:tc>
          <w:tcPr>
            <w:tcW w:w="12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358.3</w:t>
            </w:r>
          </w:p>
        </w:tc>
        <w:tc>
          <w:tcPr>
            <w:tcW w:w="260" w:type="dxa"/>
            <w:vAlign w:val="bottom"/>
            <w:tcBorders>
              <w:bottom w:val="single" w:sz="8" w:color="CCEEFF"/>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w:t>
            </w:r>
          </w:p>
        </w:tc>
        <w:tc>
          <w:tcPr>
            <w:tcW w:w="3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358.2</w:t>
            </w:r>
          </w:p>
        </w:tc>
        <w:tc>
          <w:tcPr>
            <w:tcW w:w="260" w:type="dxa"/>
            <w:vAlign w:val="bottom"/>
            <w:tcBorders>
              <w:bottom w:val="single" w:sz="8" w:color="CCEEFF"/>
            </w:tcBorders>
          </w:tcPr>
          <w:p>
            <w:pPr>
              <w:spacing w:after="0"/>
              <w:rPr>
                <w:sz w:val="18"/>
                <w:szCs w:val="18"/>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22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7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invested assets</w:t>
            </w: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2,977.7</w:t>
            </w: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100%</w:t>
            </w:r>
          </w:p>
        </w:tc>
        <w:tc>
          <w:tcPr>
            <w:tcW w:w="10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3,040.4</w:t>
            </w:r>
          </w:p>
        </w:tc>
        <w:tc>
          <w:tcPr>
            <w:tcW w:w="26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72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Cash and cash equivalents</w:t>
            </w:r>
          </w:p>
        </w:tc>
        <w:tc>
          <w:tcPr>
            <w:tcW w:w="120" w:type="dxa"/>
            <w:vAlign w:val="bottom"/>
            <w:tcBorders>
              <w:top w:val="single" w:sz="8" w:color="CCEEFF"/>
            </w:tcBorders>
          </w:tcPr>
          <w:p>
            <w:pPr>
              <w:spacing w:after="0" w:line="20" w:lineRule="exact"/>
              <w:rPr>
                <w:sz w:val="1"/>
                <w:szCs w:val="1"/>
                <w:color w:val="auto"/>
              </w:rPr>
            </w:pPr>
          </w:p>
        </w:tc>
        <w:tc>
          <w:tcPr>
            <w:tcW w:w="1280" w:type="dxa"/>
            <w:vAlign w:val="bottom"/>
            <w:tcBorders>
              <w:top w:val="single" w:sz="8" w:color="CCEEFF"/>
              <w:bottom w:val="single" w:sz="8" w:color="CCEEFF"/>
            </w:tcBorders>
            <w:vMerge w:val="restart"/>
          </w:tcPr>
          <w:p>
            <w:pPr>
              <w:jc w:val="right"/>
              <w:spacing w:after="0"/>
              <w:rPr>
                <w:sz w:val="20"/>
                <w:szCs w:val="20"/>
                <w:color w:val="auto"/>
              </w:rPr>
            </w:pPr>
            <w:r>
              <w:rPr>
                <w:rFonts w:ascii="Arial" w:cs="Arial" w:eastAsia="Arial" w:hAnsi="Arial"/>
                <w:sz w:val="18"/>
                <w:szCs w:val="18"/>
                <w:b w:val="1"/>
                <w:bCs w:val="1"/>
                <w:color w:val="auto"/>
              </w:rPr>
              <w:t>62.2</w:t>
            </w:r>
          </w:p>
        </w:tc>
        <w:tc>
          <w:tcPr>
            <w:tcW w:w="2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bottom w:val="single" w:sz="8" w:color="CCEEFF"/>
            </w:tcBorders>
            <w:vMerge w:val="restart"/>
          </w:tcPr>
          <w:p>
            <w:pPr>
              <w:jc w:val="right"/>
              <w:spacing w:after="0"/>
              <w:rPr>
                <w:sz w:val="20"/>
                <w:szCs w:val="20"/>
                <w:color w:val="auto"/>
              </w:rPr>
            </w:pPr>
            <w:r>
              <w:rPr>
                <w:rFonts w:ascii="Arial" w:cs="Arial" w:eastAsia="Arial" w:hAnsi="Arial"/>
                <w:sz w:val="18"/>
                <w:szCs w:val="18"/>
                <w:color w:val="auto"/>
              </w:rPr>
              <w:t>56.2</w:t>
            </w:r>
          </w:p>
        </w:tc>
        <w:tc>
          <w:tcPr>
            <w:tcW w:w="260" w:type="dxa"/>
            <w:vAlign w:val="bottom"/>
            <w:tcBorders>
              <w:top w:val="single" w:sz="8" w:color="CCEEFF"/>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4720" w:type="dxa"/>
            <w:vAlign w:val="bottom"/>
            <w:tcBorders>
              <w:bottom w:val="single" w:sz="8" w:color="CCEEFF"/>
            </w:tcBorders>
            <w:vMerge w:val="continue"/>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vMerge w:val="continue"/>
          </w:tcPr>
          <w:p>
            <w:pPr>
              <w:spacing w:after="0"/>
              <w:rPr>
                <w:sz w:val="14"/>
                <w:szCs w:val="14"/>
                <w:color w:val="auto"/>
              </w:rPr>
            </w:pPr>
          </w:p>
        </w:tc>
        <w:tc>
          <w:tcPr>
            <w:tcW w:w="260" w:type="dxa"/>
            <w:vAlign w:val="bottom"/>
            <w:tcBorders>
              <w:bottom w:val="single" w:sz="8" w:color="CCEEFF"/>
            </w:tcBorders>
          </w:tcPr>
          <w:p>
            <w:pPr>
              <w:spacing w:after="0"/>
              <w:rPr>
                <w:sz w:val="14"/>
                <w:szCs w:val="14"/>
                <w:color w:val="auto"/>
              </w:rPr>
            </w:pPr>
          </w:p>
        </w:tc>
        <w:tc>
          <w:tcPr>
            <w:tcW w:w="340" w:type="dxa"/>
            <w:vAlign w:val="bottom"/>
            <w:tcBorders>
              <w:bottom w:val="single" w:sz="8" w:color="CCEEFF"/>
            </w:tcBorders>
          </w:tcPr>
          <w:p>
            <w:pPr>
              <w:spacing w:after="0"/>
              <w:rPr>
                <w:sz w:val="14"/>
                <w:szCs w:val="14"/>
                <w:color w:val="auto"/>
              </w:rPr>
            </w:pPr>
          </w:p>
        </w:tc>
        <w:tc>
          <w:tcPr>
            <w:tcW w:w="740" w:type="dxa"/>
            <w:vAlign w:val="bottom"/>
            <w:tcBorders>
              <w:bottom w:val="single" w:sz="8" w:color="CCEEFF"/>
            </w:tcBorders>
          </w:tcPr>
          <w:p>
            <w:pPr>
              <w:spacing w:after="0"/>
              <w:rPr>
                <w:sz w:val="14"/>
                <w:szCs w:val="14"/>
                <w:color w:val="auto"/>
              </w:rPr>
            </w:pPr>
          </w:p>
        </w:tc>
        <w:tc>
          <w:tcPr>
            <w:tcW w:w="320" w:type="dxa"/>
            <w:vAlign w:val="bottom"/>
            <w:tcBorders>
              <w:bottom w:val="single" w:sz="8" w:color="CCEEFF"/>
            </w:tcBorders>
          </w:tcPr>
          <w:p>
            <w:pPr>
              <w:spacing w:after="0"/>
              <w:rPr>
                <w:sz w:val="14"/>
                <w:szCs w:val="14"/>
                <w:color w:val="auto"/>
              </w:rPr>
            </w:pPr>
          </w:p>
        </w:tc>
        <w:tc>
          <w:tcPr>
            <w:tcW w:w="34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vMerge w:val="continue"/>
          </w:tcPr>
          <w:p>
            <w:pPr>
              <w:spacing w:after="0"/>
              <w:rPr>
                <w:sz w:val="14"/>
                <w:szCs w:val="14"/>
                <w:color w:val="auto"/>
              </w:rPr>
            </w:pPr>
          </w:p>
        </w:tc>
        <w:tc>
          <w:tcPr>
            <w:tcW w:w="260" w:type="dxa"/>
            <w:vAlign w:val="bottom"/>
            <w:tcBorders>
              <w:bottom w:val="single" w:sz="8" w:color="CCEEFF"/>
            </w:tcBorders>
          </w:tcPr>
          <w:p>
            <w:pPr>
              <w:spacing w:after="0"/>
              <w:rPr>
                <w:sz w:val="14"/>
                <w:szCs w:val="14"/>
                <w:color w:val="auto"/>
              </w:rPr>
            </w:pPr>
          </w:p>
        </w:tc>
        <w:tc>
          <w:tcPr>
            <w:tcW w:w="1420" w:type="dxa"/>
            <w:vAlign w:val="bottom"/>
            <w:tcBorders>
              <w:bottom w:val="single" w:sz="8" w:color="CCEEFF"/>
            </w:tcBorders>
          </w:tcPr>
          <w:p>
            <w:pPr>
              <w:spacing w:after="0"/>
              <w:rPr>
                <w:sz w:val="14"/>
                <w:szCs w:val="14"/>
                <w:color w:val="auto"/>
              </w:rPr>
            </w:pPr>
          </w:p>
        </w:tc>
        <w:tc>
          <w:tcPr>
            <w:tcW w:w="220" w:type="dxa"/>
            <w:vAlign w:val="bottom"/>
            <w:tcBorders>
              <w:bottom w:val="single" w:sz="8" w:color="CCEEFF"/>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7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invested assets and cash</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3,039.9</w:t>
            </w:r>
          </w:p>
        </w:tc>
        <w:tc>
          <w:tcPr>
            <w:tcW w:w="260" w:type="dxa"/>
            <w:vAlign w:val="bottom"/>
            <w:tcBorders>
              <w:bottom w:val="single" w:sz="8" w:color="CCEEFF"/>
            </w:tcBorders>
            <w:shd w:val="clear" w:color="auto" w:fill="CCEEFF"/>
          </w:tcPr>
          <w:p>
            <w:pPr>
              <w:spacing w:after="0"/>
              <w:rPr>
                <w:sz w:val="18"/>
                <w:szCs w:val="18"/>
                <w:color w:val="auto"/>
              </w:rPr>
            </w:pPr>
          </w:p>
        </w:tc>
        <w:tc>
          <w:tcPr>
            <w:tcW w:w="340" w:type="dxa"/>
            <w:vAlign w:val="bottom"/>
            <w:tcBorders>
              <w:bottom w:val="single" w:sz="8" w:color="CCEEFF"/>
            </w:tcBorders>
            <w:shd w:val="clear" w:color="auto" w:fill="CCEEFF"/>
          </w:tcPr>
          <w:p>
            <w:pPr>
              <w:spacing w:after="0"/>
              <w:rPr>
                <w:sz w:val="18"/>
                <w:szCs w:val="18"/>
                <w:color w:val="auto"/>
              </w:rPr>
            </w:pPr>
          </w:p>
        </w:tc>
        <w:tc>
          <w:tcPr>
            <w:tcW w:w="74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CCEEFF"/>
            </w:tcBorders>
            <w:shd w:val="clear" w:color="auto" w:fill="CCEEFF"/>
          </w:tcPr>
          <w:p>
            <w:pPr>
              <w:spacing w:after="0"/>
              <w:rPr>
                <w:sz w:val="18"/>
                <w:szCs w:val="18"/>
                <w:color w:val="auto"/>
              </w:rPr>
            </w:pPr>
          </w:p>
        </w:tc>
        <w:tc>
          <w:tcPr>
            <w:tcW w:w="3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3,096.6</w:t>
            </w:r>
          </w:p>
        </w:tc>
        <w:tc>
          <w:tcPr>
            <w:tcW w:w="260" w:type="dxa"/>
            <w:vAlign w:val="bottom"/>
            <w:tcBorders>
              <w:bottom w:val="single" w:sz="8" w:color="CCEEFF"/>
            </w:tcBorders>
            <w:shd w:val="clear" w:color="auto" w:fill="CCEEFF"/>
          </w:tcPr>
          <w:p>
            <w:pPr>
              <w:spacing w:after="0"/>
              <w:rPr>
                <w:sz w:val="18"/>
                <w:szCs w:val="18"/>
                <w:color w:val="auto"/>
              </w:rPr>
            </w:pPr>
          </w:p>
        </w:tc>
        <w:tc>
          <w:tcPr>
            <w:tcW w:w="142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7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83"/>
        </w:trPr>
        <w:tc>
          <w:tcPr>
            <w:tcW w:w="4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80" w:type="dxa"/>
            <w:vAlign w:val="bottom"/>
          </w:tcPr>
          <w:p>
            <w:pPr>
              <w:jc w:val="right"/>
              <w:ind w:right="233"/>
              <w:spacing w:after="0"/>
              <w:rPr>
                <w:sz w:val="20"/>
                <w:szCs w:val="20"/>
                <w:color w:val="auto"/>
              </w:rPr>
            </w:pPr>
            <w:r>
              <w:rPr>
                <w:rFonts w:ascii="Arial" w:cs="Arial" w:eastAsia="Arial" w:hAnsi="Arial"/>
                <w:sz w:val="18"/>
                <w:szCs w:val="18"/>
                <w:color w:val="auto"/>
              </w:rPr>
              <w:t>81</w:t>
            </w: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472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28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340" w:type="dxa"/>
            <w:vAlign w:val="bottom"/>
            <w:tcBorders>
              <w:bottom w:val="single" w:sz="8" w:color="010101"/>
            </w:tcBorders>
          </w:tcPr>
          <w:p>
            <w:pPr>
              <w:spacing w:after="0"/>
              <w:rPr>
                <w:sz w:val="24"/>
                <w:szCs w:val="24"/>
                <w:color w:val="auto"/>
              </w:rPr>
            </w:pPr>
          </w:p>
        </w:tc>
        <w:tc>
          <w:tcPr>
            <w:tcW w:w="740" w:type="dxa"/>
            <w:vAlign w:val="bottom"/>
            <w:tcBorders>
              <w:bottom w:val="single" w:sz="8" w:color="010101"/>
            </w:tcBorders>
          </w:tcPr>
          <w:p>
            <w:pPr>
              <w:spacing w:after="0"/>
              <w:rPr>
                <w:sz w:val="24"/>
                <w:szCs w:val="24"/>
                <w:color w:val="auto"/>
              </w:rPr>
            </w:pPr>
          </w:p>
        </w:tc>
        <w:tc>
          <w:tcPr>
            <w:tcW w:w="320" w:type="dxa"/>
            <w:vAlign w:val="bottom"/>
            <w:tcBorders>
              <w:bottom w:val="single" w:sz="8" w:color="010101"/>
            </w:tcBorders>
          </w:tcPr>
          <w:p>
            <w:pPr>
              <w:spacing w:after="0"/>
              <w:rPr>
                <w:sz w:val="24"/>
                <w:szCs w:val="24"/>
                <w:color w:val="auto"/>
              </w:rPr>
            </w:pPr>
          </w:p>
        </w:tc>
        <w:tc>
          <w:tcPr>
            <w:tcW w:w="34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130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142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Risk Exposures and Risk Management</w:t>
      </w:r>
    </w:p>
    <w:p>
      <w:pPr>
        <w:spacing w:after="0" w:line="229"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Market risk is the risk that we will incur losses due to adverse fluctuations in market rates and prices. Our primary market risk exposure is to changes in interest rates, although we also have exposures to changes in equity prices and foreign currency exchange rates.</w:t>
      </w:r>
    </w:p>
    <w:p>
      <w:pPr>
        <w:spacing w:after="0" w:line="170"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The active management of market risk is an integral part of our operations. We manage our overall market risk exposure within established risk tolerance ranges by using the following approaches:</w:t>
      </w:r>
    </w:p>
    <w:p>
      <w:pPr>
        <w:spacing w:after="0" w:line="170" w:lineRule="exact"/>
        <w:rPr>
          <w:sz w:val="20"/>
          <w:szCs w:val="20"/>
          <w:color w:val="auto"/>
        </w:rPr>
      </w:pPr>
    </w:p>
    <w:p>
      <w:pPr>
        <w:ind w:left="260" w:hanging="252"/>
        <w:spacing w:after="0"/>
        <w:tabs>
          <w:tab w:leader="none" w:pos="2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rebalance our existing asset or liability portfolios;</w:t>
      </w:r>
    </w:p>
    <w:p>
      <w:pPr>
        <w:spacing w:after="0" w:line="225" w:lineRule="exact"/>
        <w:rPr>
          <w:rFonts w:ascii="Arial" w:cs="Arial" w:eastAsia="Arial" w:hAnsi="Arial"/>
          <w:sz w:val="18"/>
          <w:szCs w:val="18"/>
          <w:color w:val="auto"/>
        </w:rPr>
      </w:pPr>
    </w:p>
    <w:p>
      <w:pPr>
        <w:ind w:left="260" w:hanging="252"/>
        <w:spacing w:after="0"/>
        <w:tabs>
          <w:tab w:leader="none" w:pos="2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control the risk structure of newly acquired assets and liabilities; or</w:t>
      </w:r>
    </w:p>
    <w:p>
      <w:pPr>
        <w:sectPr>
          <w:pgSz w:w="11900" w:h="16847" w:orient="portrait"/>
          <w:cols w:equalWidth="0" w:num="1">
            <w:col w:w="11460"/>
          </w:cols>
          <w:pgMar w:left="240" w:top="125" w:right="199" w:bottom="0" w:gutter="0" w:footer="0" w:header="0"/>
        </w:sectPr>
      </w:pPr>
    </w:p>
    <w:bookmarkStart w:id="57" w:name="page58"/>
    <w:bookmarkEnd w:id="57"/>
    <w:p>
      <w:pPr>
        <w:spacing w:after="0" w:line="83" w:lineRule="exact"/>
        <w:rPr>
          <w:sz w:val="20"/>
          <w:szCs w:val="20"/>
          <w:color w:val="auto"/>
        </w:rPr>
      </w:pPr>
    </w:p>
    <w:p>
      <w:pPr>
        <w:ind w:left="260" w:hanging="252"/>
        <w:spacing w:after="0"/>
        <w:tabs>
          <w:tab w:leader="none" w:pos="2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use derivative instruments to modify the market risk characteristics of existing assets or liabilities or assets expected to be purchased.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Risk</w:t>
      </w:r>
    </w:p>
    <w:p>
      <w:pPr>
        <w:spacing w:after="0" w:line="229" w:lineRule="exact"/>
        <w:rPr>
          <w:sz w:val="20"/>
          <w:szCs w:val="20"/>
          <w:color w:val="auto"/>
        </w:rPr>
      </w:pPr>
    </w:p>
    <w:p>
      <w:pPr>
        <w:ind w:right="40" w:firstLine="648"/>
        <w:spacing w:after="0" w:line="297" w:lineRule="auto"/>
        <w:rPr>
          <w:sz w:val="20"/>
          <w:szCs w:val="20"/>
          <w:color w:val="auto"/>
        </w:rPr>
      </w:pPr>
      <w:r>
        <w:rPr>
          <w:rFonts w:ascii="Arial" w:cs="Arial" w:eastAsia="Arial" w:hAnsi="Arial"/>
          <w:sz w:val="16"/>
          <w:szCs w:val="16"/>
          <w:color w:val="auto"/>
        </w:rPr>
        <w:t>Interest rate risk is the risk that we will incur economic losses due to adverse changes in interest rates. One source of interest rate risk is the inherent difficulty in obtaining assets that mature or have their rate reset at the exact same time as the liabilities they support. Assets may have to be reinvested or sold in the future to meet the liability cashflows in unknown interest rate environments. Also, there may be timing differences between when new liabilities are priced and when assets are purchased or procured that can cause fluctuations in profitability if interest rates move materially in the interim. A third source of interest rate risk is the prepayment options embedded within asset and liability contracts that can alter the cash flow profiles from what was originally expected.</w:t>
      </w:r>
    </w:p>
    <w:p>
      <w:pPr>
        <w:spacing w:after="0" w:line="158" w:lineRule="exact"/>
        <w:rPr>
          <w:sz w:val="20"/>
          <w:szCs w:val="20"/>
          <w:color w:val="auto"/>
        </w:rPr>
      </w:pPr>
    </w:p>
    <w:p>
      <w:pPr>
        <w:ind w:right="300" w:firstLine="648"/>
        <w:spacing w:after="0" w:line="259" w:lineRule="auto"/>
        <w:rPr>
          <w:sz w:val="20"/>
          <w:szCs w:val="20"/>
          <w:color w:val="auto"/>
        </w:rPr>
      </w:pPr>
      <w:r>
        <w:rPr>
          <w:rFonts w:ascii="Arial" w:cs="Arial" w:eastAsia="Arial" w:hAnsi="Arial"/>
          <w:sz w:val="18"/>
          <w:szCs w:val="18"/>
          <w:color w:val="auto"/>
        </w:rPr>
        <w:t>One of the measures we use to quantify our exposure to interest rate risk is duration. To calculate duration, we project asset and liability cashflows. These cash flows are discounted to a net present value basis using a spot yield curve, which is a blend of the spot yield curves for each of the asset types in the portfolio. Duration is calculated by re-calculating these cashflows, re-determining the net present value based upon an alternative level of interest rates, and determining the percentage change in fair value.</w:t>
      </w:r>
    </w:p>
    <w:p>
      <w:pPr>
        <w:spacing w:after="0" w:line="187" w:lineRule="exact"/>
        <w:rPr>
          <w:sz w:val="20"/>
          <w:szCs w:val="20"/>
          <w:color w:val="auto"/>
        </w:rPr>
      </w:pPr>
    </w:p>
    <w:p>
      <w:pPr>
        <w:ind w:right="60" w:firstLine="648"/>
        <w:spacing w:after="0" w:line="276" w:lineRule="auto"/>
        <w:rPr>
          <w:sz w:val="20"/>
          <w:szCs w:val="20"/>
          <w:color w:val="auto"/>
        </w:rPr>
      </w:pPr>
      <w:r>
        <w:rPr>
          <w:rFonts w:ascii="Arial" w:cs="Arial" w:eastAsia="Arial" w:hAnsi="Arial"/>
          <w:sz w:val="17"/>
          <w:szCs w:val="17"/>
          <w:color w:val="auto"/>
        </w:rPr>
        <w:t>We manage interest rate risks in a number of ways. Differences in durations between assets and liabilities are measured and kept within acceptable tolerances. Derivatives are also commonly used to mitigate interest rate risk due to cashflow mismatches and timing differences. Prepayment risk is controlled by limiting our exposure to investments that are prepayable without penalty prior to maturity at the option of the issuer. We also require additional yield on these investments to compensate for the risk the issuer will exercise such option. Prepayment risk is also controlled by limiting the sales of liabilities with features such as puts or other options that can be exercised against the company at inopportune times.</w:t>
      </w:r>
    </w:p>
    <w:p>
      <w:pPr>
        <w:spacing w:after="0" w:line="169" w:lineRule="exact"/>
        <w:rPr>
          <w:sz w:val="20"/>
          <w:szCs w:val="20"/>
          <w:color w:val="auto"/>
        </w:rPr>
      </w:pPr>
    </w:p>
    <w:p>
      <w:pPr>
        <w:ind w:right="280"/>
        <w:spacing w:after="0" w:line="289" w:lineRule="auto"/>
        <w:rPr>
          <w:sz w:val="20"/>
          <w:szCs w:val="20"/>
          <w:color w:val="auto"/>
        </w:rPr>
      </w:pPr>
      <w:r>
        <w:rPr>
          <w:rFonts w:ascii="Arial" w:cs="Arial" w:eastAsia="Arial" w:hAnsi="Arial"/>
          <w:sz w:val="17"/>
          <w:szCs w:val="17"/>
          <w:b w:val="1"/>
          <w:bCs w:val="1"/>
          <w:color w:val="auto"/>
        </w:rPr>
        <w:t xml:space="preserve">Duration-Managed. </w:t>
      </w:r>
      <w:r>
        <w:rPr>
          <w:rFonts w:ascii="Arial" w:cs="Arial" w:eastAsia="Arial" w:hAnsi="Arial"/>
          <w:sz w:val="17"/>
          <w:szCs w:val="17"/>
          <w:color w:val="auto"/>
        </w:rPr>
        <w:t>Our exposure to interest rate risk stems largely from our substantial holdings of guaranteed fixed rate liabilities in our U.S. Asset</w:t>
      </w:r>
      <w:r>
        <w:rPr>
          <w:rFonts w:ascii="Arial" w:cs="Arial" w:eastAsia="Arial" w:hAnsi="Arial"/>
          <w:sz w:val="17"/>
          <w:szCs w:val="17"/>
          <w:b w:val="1"/>
          <w:bCs w:val="1"/>
          <w:color w:val="auto"/>
        </w:rPr>
        <w:t xml:space="preserve"> </w:t>
      </w:r>
      <w:r>
        <w:rPr>
          <w:rFonts w:ascii="Arial" w:cs="Arial" w:eastAsia="Arial" w:hAnsi="Arial"/>
          <w:sz w:val="17"/>
          <w:szCs w:val="17"/>
          <w:color w:val="auto"/>
        </w:rPr>
        <w:t>Management and Accumulation segment. We actively manage the duration of assets and liabilities in these products by minimizing the difference between the two. We have established a maximum tolerance for this difference and seek to stay within this tolerance.</w:t>
      </w:r>
    </w:p>
    <w:p>
      <w:pPr>
        <w:spacing w:after="0" w:line="162"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As of June 30, 2006, the difference between the asset and liability durations on our primary duration managed portfolio was +.02. This duration gap indicates that, as of this date, the sensitivity of the fair value of our assets to interest rate movements is greater than that of the fair value of our liabilities. Our goal is to minimize the duration gap. Currently, our guidelines indicate that total duration gaps between the asset and liability portfolios should be within +/-0.25. The value of the assets in this portfolio was $31,350.2 million as of June 30, 2006.</w:t>
      </w:r>
    </w:p>
    <w:p>
      <w:pPr>
        <w:spacing w:after="0" w:line="183" w:lineRule="exact"/>
        <w:rPr>
          <w:sz w:val="20"/>
          <w:szCs w:val="20"/>
          <w:color w:val="auto"/>
        </w:rPr>
      </w:pPr>
    </w:p>
    <w:p>
      <w:pPr>
        <w:ind w:right="60"/>
        <w:spacing w:after="0" w:line="298" w:lineRule="auto"/>
        <w:rPr>
          <w:sz w:val="20"/>
          <w:szCs w:val="20"/>
          <w:color w:val="auto"/>
        </w:rPr>
      </w:pPr>
      <w:r>
        <w:rPr>
          <w:rFonts w:ascii="Arial" w:cs="Arial" w:eastAsia="Arial" w:hAnsi="Arial"/>
          <w:sz w:val="16"/>
          <w:szCs w:val="16"/>
          <w:b w:val="1"/>
          <w:bCs w:val="1"/>
          <w:color w:val="auto"/>
        </w:rPr>
        <w:t xml:space="preserve">Duration-Monitored. </w:t>
      </w:r>
      <w:r>
        <w:rPr>
          <w:rFonts w:ascii="Arial" w:cs="Arial" w:eastAsia="Arial" w:hAnsi="Arial"/>
          <w:sz w:val="16"/>
          <w:szCs w:val="16"/>
          <w:color w:val="auto"/>
        </w:rPr>
        <w:t>For products such as whole life insurance and term life insurance that are less sensitive to interest rate risk, and for other products such as</w:t>
      </w:r>
      <w:r>
        <w:rPr>
          <w:rFonts w:ascii="Arial" w:cs="Arial" w:eastAsia="Arial" w:hAnsi="Arial"/>
          <w:sz w:val="16"/>
          <w:szCs w:val="16"/>
          <w:b w:val="1"/>
          <w:bCs w:val="1"/>
          <w:color w:val="auto"/>
        </w:rPr>
        <w:t xml:space="preserve"> </w:t>
      </w:r>
      <w:r>
        <w:rPr>
          <w:rFonts w:ascii="Arial" w:cs="Arial" w:eastAsia="Arial" w:hAnsi="Arial"/>
          <w:sz w:val="16"/>
          <w:szCs w:val="16"/>
          <w:color w:val="auto"/>
        </w:rPr>
        <w:t>individual single premium deferred annuities, we manage interest rate risk based on a modeling process that considers the target average life, maturities, crediting rates and assumptions of policyholder behavior. As of June 30, 2006, the weighted-average difference between the asset and liability durations on these portfolios was +.40. This duration gap indicates that, as of this date, the sensitivity of the fair value of our assets to interest rate movements is greater than that of the fair value of our liabilities. We attempt to monitor this duration gap consistent with our overall risk/reward tolerances.</w:t>
      </w: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Arial" w:cs="Arial" w:eastAsia="Arial" w:hAnsi="Arial"/>
          <w:sz w:val="18"/>
          <w:szCs w:val="18"/>
          <w:color w:val="auto"/>
        </w:rPr>
        <w:t>The value of the assets in these portfolios was $15,466.0 million as of June 30, 2006.</w:t>
      </w:r>
    </w:p>
    <w:p>
      <w:pPr>
        <w:spacing w:after="0" w:line="221" w:lineRule="exact"/>
        <w:rPr>
          <w:sz w:val="20"/>
          <w:szCs w:val="20"/>
          <w:color w:val="auto"/>
        </w:rPr>
      </w:pPr>
    </w:p>
    <w:p>
      <w:pPr>
        <w:ind w:right="200"/>
        <w:spacing w:after="0" w:line="261" w:lineRule="auto"/>
        <w:rPr>
          <w:sz w:val="20"/>
          <w:szCs w:val="20"/>
          <w:color w:val="auto"/>
        </w:rPr>
      </w:pPr>
      <w:r>
        <w:rPr>
          <w:rFonts w:ascii="Arial" w:cs="Arial" w:eastAsia="Arial" w:hAnsi="Arial"/>
          <w:sz w:val="18"/>
          <w:szCs w:val="18"/>
          <w:b w:val="1"/>
          <w:bCs w:val="1"/>
          <w:color w:val="auto"/>
        </w:rPr>
        <w:t xml:space="preserve">Non Duration-Managed. </w:t>
      </w:r>
      <w:r>
        <w:rPr>
          <w:rFonts w:ascii="Arial" w:cs="Arial" w:eastAsia="Arial" w:hAnsi="Arial"/>
          <w:sz w:val="18"/>
          <w:szCs w:val="18"/>
          <w:color w:val="auto"/>
        </w:rPr>
        <w:t>We also have a block of participating general account pension business that passes most of the actual investment performance of the</w:t>
      </w:r>
      <w:r>
        <w:rPr>
          <w:rFonts w:ascii="Arial" w:cs="Arial" w:eastAsia="Arial" w:hAnsi="Arial"/>
          <w:sz w:val="18"/>
          <w:szCs w:val="18"/>
          <w:b w:val="1"/>
          <w:bCs w:val="1"/>
          <w:color w:val="auto"/>
        </w:rPr>
        <w:t xml:space="preserve"> </w:t>
      </w:r>
      <w:r>
        <w:rPr>
          <w:rFonts w:ascii="Arial" w:cs="Arial" w:eastAsia="Arial" w:hAnsi="Arial"/>
          <w:sz w:val="18"/>
          <w:szCs w:val="18"/>
          <w:color w:val="auto"/>
        </w:rPr>
        <w:t>assets to the customer. The investment strategy of this block is to maximize investment return to the customer on a “best efforts” basis, and there is little or no attempt to manage the duration of this portfolio since there is little or no interest rate risk. The value of the assets in these portfolios was $3,996.8 million as of June 30, 2006.</w:t>
      </w:r>
    </w:p>
    <w:p>
      <w:pPr>
        <w:spacing w:after="0" w:line="184" w:lineRule="exact"/>
        <w:rPr>
          <w:sz w:val="20"/>
          <w:szCs w:val="20"/>
          <w:color w:val="auto"/>
        </w:rPr>
      </w:pPr>
    </w:p>
    <w:p>
      <w:pPr>
        <w:jc w:val="both"/>
        <w:ind w:right="140" w:firstLine="648"/>
        <w:spacing w:after="0" w:line="259" w:lineRule="auto"/>
        <w:rPr>
          <w:sz w:val="20"/>
          <w:szCs w:val="20"/>
          <w:color w:val="auto"/>
        </w:rPr>
      </w:pPr>
      <w:r>
        <w:rPr>
          <w:rFonts w:ascii="Arial" w:cs="Arial" w:eastAsia="Arial" w:hAnsi="Arial"/>
          <w:sz w:val="18"/>
          <w:szCs w:val="18"/>
          <w:color w:val="auto"/>
        </w:rPr>
        <w:t>Using the assumptions and data in effect as of June 30, 2006, we estimate that a 100 basis point immediate, parallel increase in interest rates decreases the net fair value of our portfolio by approximately $68.1 million. The following table details the estimated changes by risk management strategy. The table also gives the weighted-average duration of the asset portfolio for each category, and the net duration gap (i.e. the weighted-average difference between the asset and liability durations).</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June 30, 2006</w:t>
            </w:r>
          </w:p>
        </w:tc>
        <w:tc>
          <w:tcPr>
            <w:tcW w:w="34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5360" w:type="dxa"/>
            <w:vAlign w:val="bottom"/>
          </w:tcPr>
          <w:p>
            <w:pPr>
              <w:spacing w:after="0"/>
              <w:rPr>
                <w:sz w:val="8"/>
                <w:szCs w:val="8"/>
                <w:color w:val="auto"/>
              </w:rPr>
            </w:pPr>
          </w:p>
        </w:tc>
        <w:tc>
          <w:tcPr>
            <w:tcW w:w="2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80" w:type="dxa"/>
            <w:vAlign w:val="bottom"/>
            <w:vMerge w:val="restart"/>
          </w:tcPr>
          <w:p>
            <w:pPr>
              <w:jc w:val="right"/>
              <w:ind w:right="298"/>
              <w:spacing w:after="0"/>
              <w:rPr>
                <w:sz w:val="20"/>
                <w:szCs w:val="20"/>
                <w:color w:val="auto"/>
              </w:rPr>
            </w:pPr>
            <w:r>
              <w:rPr>
                <w:rFonts w:ascii="Arial" w:cs="Arial" w:eastAsia="Arial" w:hAnsi="Arial"/>
                <w:sz w:val="14"/>
                <w:szCs w:val="14"/>
                <w:b w:val="1"/>
                <w:bCs w:val="1"/>
                <w:color w:val="auto"/>
              </w:rPr>
              <w:t>Value of</w:t>
            </w:r>
          </w:p>
        </w:tc>
        <w:tc>
          <w:tcPr>
            <w:tcW w:w="280" w:type="dxa"/>
            <w:vAlign w:val="bottom"/>
          </w:tcPr>
          <w:p>
            <w:pPr>
              <w:spacing w:after="0"/>
              <w:rPr>
                <w:sz w:val="8"/>
                <w:szCs w:val="8"/>
                <w:color w:val="auto"/>
              </w:rPr>
            </w:pPr>
          </w:p>
        </w:tc>
        <w:tc>
          <w:tcPr>
            <w:tcW w:w="880" w:type="dxa"/>
            <w:vAlign w:val="bottom"/>
            <w:vMerge w:val="restart"/>
          </w:tcPr>
          <w:p>
            <w:pPr>
              <w:ind w:left="320"/>
              <w:spacing w:after="0"/>
              <w:rPr>
                <w:sz w:val="20"/>
                <w:szCs w:val="20"/>
                <w:color w:val="auto"/>
              </w:rPr>
            </w:pPr>
            <w:r>
              <w:rPr>
                <w:rFonts w:ascii="Arial" w:cs="Arial" w:eastAsia="Arial" w:hAnsi="Arial"/>
                <w:sz w:val="14"/>
                <w:szCs w:val="14"/>
                <w:b w:val="1"/>
                <w:bCs w:val="1"/>
                <w:color w:val="auto"/>
                <w:w w:val="93"/>
              </w:rPr>
              <w:t>Duration</w:t>
            </w:r>
          </w:p>
        </w:tc>
        <w:tc>
          <w:tcPr>
            <w:tcW w:w="320" w:type="dxa"/>
            <w:vAlign w:val="bottom"/>
          </w:tcPr>
          <w:p>
            <w:pPr>
              <w:spacing w:after="0"/>
              <w:rPr>
                <w:sz w:val="8"/>
                <w:szCs w:val="8"/>
                <w:color w:val="auto"/>
              </w:rPr>
            </w:pPr>
          </w:p>
        </w:tc>
        <w:tc>
          <w:tcPr>
            <w:tcW w:w="280" w:type="dxa"/>
            <w:vAlign w:val="bottom"/>
          </w:tcPr>
          <w:p>
            <w:pPr>
              <w:spacing w:after="0"/>
              <w:rPr>
                <w:sz w:val="8"/>
                <w:szCs w:val="8"/>
                <w:color w:val="auto"/>
              </w:rPr>
            </w:pPr>
          </w:p>
        </w:tc>
        <w:tc>
          <w:tcPr>
            <w:tcW w:w="880" w:type="dxa"/>
            <w:vAlign w:val="bottom"/>
          </w:tcPr>
          <w:p>
            <w:pPr>
              <w:jc w:val="center"/>
              <w:ind w:left="253"/>
              <w:spacing w:after="0" w:line="102" w:lineRule="exact"/>
              <w:rPr>
                <w:sz w:val="20"/>
                <w:szCs w:val="20"/>
                <w:color w:val="auto"/>
              </w:rPr>
            </w:pPr>
            <w:r>
              <w:rPr>
                <w:rFonts w:ascii="Arial" w:cs="Arial" w:eastAsia="Arial" w:hAnsi="Arial"/>
                <w:sz w:val="11"/>
                <w:szCs w:val="11"/>
                <w:b w:val="1"/>
                <w:bCs w:val="1"/>
                <w:color w:val="auto"/>
              </w:rPr>
              <w:t>Net</w:t>
            </w:r>
          </w:p>
        </w:tc>
        <w:tc>
          <w:tcPr>
            <w:tcW w:w="34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60" w:type="dxa"/>
            <w:vAlign w:val="bottom"/>
          </w:tcPr>
          <w:p>
            <w:pPr>
              <w:jc w:val="center"/>
              <w:ind w:right="81"/>
              <w:spacing w:after="0" w:line="102" w:lineRule="exact"/>
              <w:rPr>
                <w:sz w:val="20"/>
                <w:szCs w:val="20"/>
                <w:color w:val="auto"/>
              </w:rPr>
            </w:pPr>
            <w:r>
              <w:rPr>
                <w:rFonts w:ascii="Arial" w:cs="Arial" w:eastAsia="Arial" w:hAnsi="Arial"/>
                <w:sz w:val="11"/>
                <w:szCs w:val="11"/>
                <w:b w:val="1"/>
                <w:bCs w:val="1"/>
                <w:color w:val="auto"/>
              </w:rPr>
              <w:t>Net</w:t>
            </w: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56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Risk Management Strategy</w:t>
            </w:r>
          </w:p>
        </w:tc>
        <w:tc>
          <w:tcPr>
            <w:tcW w:w="160" w:type="dxa"/>
            <w:vAlign w:val="bottom"/>
          </w:tcPr>
          <w:p>
            <w:pPr>
              <w:spacing w:after="0"/>
              <w:rPr>
                <w:sz w:val="11"/>
                <w:szCs w:val="11"/>
                <w:color w:val="auto"/>
              </w:rPr>
            </w:pPr>
          </w:p>
        </w:tc>
        <w:tc>
          <w:tcPr>
            <w:tcW w:w="1080" w:type="dxa"/>
            <w:vAlign w:val="bottom"/>
            <w:vMerge w:val="continue"/>
          </w:tcPr>
          <w:p>
            <w:pPr>
              <w:spacing w:after="0"/>
              <w:rPr>
                <w:sz w:val="11"/>
                <w:szCs w:val="11"/>
                <w:color w:val="auto"/>
              </w:rPr>
            </w:pPr>
          </w:p>
        </w:tc>
        <w:tc>
          <w:tcPr>
            <w:tcW w:w="280" w:type="dxa"/>
            <w:vAlign w:val="bottom"/>
          </w:tcPr>
          <w:p>
            <w:pPr>
              <w:spacing w:after="0"/>
              <w:rPr>
                <w:sz w:val="11"/>
                <w:szCs w:val="11"/>
                <w:color w:val="auto"/>
              </w:rPr>
            </w:pPr>
          </w:p>
        </w:tc>
        <w:tc>
          <w:tcPr>
            <w:tcW w:w="880" w:type="dxa"/>
            <w:vAlign w:val="bottom"/>
            <w:vMerge w:val="continue"/>
          </w:tcPr>
          <w:p>
            <w:pPr>
              <w:spacing w:after="0"/>
              <w:rPr>
                <w:sz w:val="11"/>
                <w:szCs w:val="11"/>
                <w:color w:val="auto"/>
              </w:rPr>
            </w:pPr>
          </w:p>
        </w:tc>
        <w:tc>
          <w:tcPr>
            <w:tcW w:w="3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80" w:type="dxa"/>
            <w:vAlign w:val="bottom"/>
          </w:tcPr>
          <w:p>
            <w:pPr>
              <w:jc w:val="center"/>
              <w:ind w:left="253"/>
              <w:spacing w:after="0" w:line="135" w:lineRule="exact"/>
              <w:rPr>
                <w:sz w:val="20"/>
                <w:szCs w:val="20"/>
                <w:color w:val="auto"/>
              </w:rPr>
            </w:pPr>
            <w:r>
              <w:rPr>
                <w:rFonts w:ascii="Arial" w:cs="Arial" w:eastAsia="Arial" w:hAnsi="Arial"/>
                <w:sz w:val="14"/>
                <w:szCs w:val="14"/>
                <w:b w:val="1"/>
                <w:bCs w:val="1"/>
                <w:color w:val="auto"/>
                <w:w w:val="97"/>
              </w:rPr>
              <w:t>Duration</w:t>
            </w:r>
          </w:p>
        </w:tc>
        <w:tc>
          <w:tcPr>
            <w:tcW w:w="3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40" w:type="dxa"/>
            <w:vAlign w:val="bottom"/>
            <w:gridSpan w:val="2"/>
          </w:tcPr>
          <w:p>
            <w:pPr>
              <w:jc w:val="center"/>
              <w:ind w:right="180"/>
              <w:spacing w:after="0" w:line="135" w:lineRule="exact"/>
              <w:rPr>
                <w:sz w:val="20"/>
                <w:szCs w:val="20"/>
                <w:color w:val="auto"/>
              </w:rPr>
            </w:pPr>
            <w:r>
              <w:rPr>
                <w:rFonts w:ascii="Arial" w:cs="Arial" w:eastAsia="Arial" w:hAnsi="Arial"/>
                <w:sz w:val="14"/>
                <w:szCs w:val="14"/>
                <w:b w:val="1"/>
                <w:bCs w:val="1"/>
                <w:color w:val="auto"/>
                <w:w w:val="95"/>
              </w:rPr>
              <w:t>Fair Value</w:t>
            </w:r>
          </w:p>
        </w:tc>
        <w:tc>
          <w:tcPr>
            <w:tcW w:w="0" w:type="dxa"/>
            <w:vAlign w:val="bottom"/>
          </w:tcPr>
          <w:p>
            <w:pPr>
              <w:spacing w:after="0"/>
              <w:rPr>
                <w:sz w:val="1"/>
                <w:szCs w:val="1"/>
                <w:color w:val="auto"/>
              </w:rPr>
            </w:pPr>
          </w:p>
        </w:tc>
      </w:tr>
      <w:tr>
        <w:trPr>
          <w:trHeight w:val="162"/>
        </w:trPr>
        <w:tc>
          <w:tcPr>
            <w:tcW w:w="564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jc w:val="right"/>
              <w:ind w:right="178"/>
              <w:spacing w:after="0"/>
              <w:rPr>
                <w:sz w:val="20"/>
                <w:szCs w:val="20"/>
                <w:color w:val="auto"/>
              </w:rPr>
            </w:pPr>
            <w:r>
              <w:rPr>
                <w:rFonts w:ascii="Arial" w:cs="Arial" w:eastAsia="Arial" w:hAnsi="Arial"/>
                <w:sz w:val="14"/>
                <w:szCs w:val="14"/>
                <w:b w:val="1"/>
                <w:bCs w:val="1"/>
                <w:color w:val="auto"/>
                <w:w w:val="96"/>
              </w:rPr>
              <w:t>Total Assets</w:t>
            </w:r>
          </w:p>
        </w:tc>
        <w:tc>
          <w:tcPr>
            <w:tcW w:w="280" w:type="dxa"/>
            <w:vAlign w:val="bottom"/>
          </w:tcPr>
          <w:p>
            <w:pPr>
              <w:spacing w:after="0"/>
              <w:rPr>
                <w:sz w:val="14"/>
                <w:szCs w:val="14"/>
                <w:color w:val="auto"/>
              </w:rPr>
            </w:pPr>
          </w:p>
        </w:tc>
        <w:tc>
          <w:tcPr>
            <w:tcW w:w="880" w:type="dxa"/>
            <w:vAlign w:val="bottom"/>
          </w:tcPr>
          <w:p>
            <w:pPr>
              <w:ind w:left="320"/>
              <w:spacing w:after="0"/>
              <w:rPr>
                <w:sz w:val="20"/>
                <w:szCs w:val="20"/>
                <w:color w:val="auto"/>
              </w:rPr>
            </w:pPr>
            <w:r>
              <w:rPr>
                <w:rFonts w:ascii="Arial" w:cs="Arial" w:eastAsia="Arial" w:hAnsi="Arial"/>
                <w:sz w:val="14"/>
                <w:szCs w:val="14"/>
                <w:b w:val="1"/>
                <w:bCs w:val="1"/>
                <w:color w:val="auto"/>
                <w:w w:val="85"/>
              </w:rPr>
              <w:t>of Assets</w:t>
            </w:r>
          </w:p>
        </w:tc>
        <w:tc>
          <w:tcPr>
            <w:tcW w:w="3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80" w:type="dxa"/>
            <w:vAlign w:val="bottom"/>
          </w:tcPr>
          <w:p>
            <w:pPr>
              <w:jc w:val="center"/>
              <w:ind w:left="253"/>
              <w:spacing w:after="0"/>
              <w:rPr>
                <w:sz w:val="20"/>
                <w:szCs w:val="20"/>
                <w:color w:val="auto"/>
              </w:rPr>
            </w:pPr>
            <w:r>
              <w:rPr>
                <w:rFonts w:ascii="Arial" w:cs="Arial" w:eastAsia="Arial" w:hAnsi="Arial"/>
                <w:sz w:val="14"/>
                <w:szCs w:val="14"/>
                <w:b w:val="1"/>
                <w:bCs w:val="1"/>
                <w:color w:val="auto"/>
              </w:rPr>
              <w:t>Gap</w:t>
            </w:r>
          </w:p>
        </w:tc>
        <w:tc>
          <w:tcPr>
            <w:tcW w:w="3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3"/>
              </w:rPr>
              <w:t>Change</w:t>
            </w:r>
          </w:p>
        </w:tc>
        <w:tc>
          <w:tcPr>
            <w:tcW w:w="0" w:type="dxa"/>
            <w:vAlign w:val="bottom"/>
          </w:tcPr>
          <w:p>
            <w:pPr>
              <w:spacing w:after="0"/>
              <w:rPr>
                <w:sz w:val="1"/>
                <w:szCs w:val="1"/>
                <w:color w:val="auto"/>
              </w:rPr>
            </w:pPr>
          </w:p>
        </w:tc>
      </w:tr>
      <w:tr>
        <w:trPr>
          <w:trHeight w:val="129"/>
        </w:trPr>
        <w:tc>
          <w:tcPr>
            <w:tcW w:w="5360" w:type="dxa"/>
            <w:vAlign w:val="bottom"/>
            <w:tcBorders>
              <w:top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jc w:val="right"/>
              <w:ind w:right="178"/>
              <w:spacing w:after="0" w:line="129" w:lineRule="exact"/>
              <w:rPr>
                <w:sz w:val="20"/>
                <w:szCs w:val="20"/>
                <w:color w:val="auto"/>
              </w:rPr>
            </w:pPr>
            <w:r>
              <w:rPr>
                <w:rFonts w:ascii="Arial" w:cs="Arial" w:eastAsia="Arial" w:hAnsi="Arial"/>
                <w:sz w:val="14"/>
                <w:szCs w:val="14"/>
                <w:b w:val="1"/>
                <w:bCs w:val="1"/>
                <w:color w:val="auto"/>
              </w:rPr>
              <w:t>(in millions)</w:t>
            </w:r>
          </w:p>
        </w:tc>
        <w:tc>
          <w:tcPr>
            <w:tcW w:w="280" w:type="dxa"/>
            <w:vAlign w:val="bottom"/>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320" w:type="dxa"/>
            <w:vAlign w:val="bottom"/>
            <w:tcBorders>
              <w:top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jc w:val="center"/>
              <w:ind w:right="81"/>
              <w:spacing w:after="0" w:line="129" w:lineRule="exact"/>
              <w:rPr>
                <w:sz w:val="20"/>
                <w:szCs w:val="20"/>
                <w:color w:val="auto"/>
              </w:rPr>
            </w:pPr>
            <w:r>
              <w:rPr>
                <w:rFonts w:ascii="Arial" w:cs="Arial" w:eastAsia="Arial" w:hAnsi="Arial"/>
                <w:sz w:val="14"/>
                <w:szCs w:val="14"/>
                <w:b w:val="1"/>
                <w:bCs w:val="1"/>
                <w:color w:val="auto"/>
                <w:w w:val="94"/>
              </w:rPr>
              <w:t>(in millions)</w:t>
            </w: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Primary duration-managed</w:t>
            </w: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31,350.2</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5"/>
              </w:rPr>
              <w:t>3.75</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.02</w:t>
            </w:r>
          </w:p>
        </w:tc>
        <w:tc>
          <w:tcPr>
            <w:tcW w:w="26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(6.3)</w:t>
            </w:r>
          </w:p>
        </w:tc>
        <w:tc>
          <w:tcPr>
            <w:tcW w:w="0" w:type="dxa"/>
            <w:vAlign w:val="bottom"/>
          </w:tcPr>
          <w:p>
            <w:pPr>
              <w:spacing w:after="0"/>
              <w:rPr>
                <w:sz w:val="1"/>
                <w:szCs w:val="1"/>
                <w:color w:val="auto"/>
              </w:rPr>
            </w:pPr>
          </w:p>
        </w:tc>
      </w:tr>
      <w:tr>
        <w:trPr>
          <w:trHeight w:val="216"/>
        </w:trPr>
        <w:tc>
          <w:tcPr>
            <w:tcW w:w="5640" w:type="dxa"/>
            <w:vAlign w:val="bottom"/>
            <w:gridSpan w:val="2"/>
          </w:tcPr>
          <w:p>
            <w:pPr>
              <w:spacing w:after="0"/>
              <w:rPr>
                <w:sz w:val="20"/>
                <w:szCs w:val="20"/>
                <w:color w:val="auto"/>
              </w:rPr>
            </w:pPr>
            <w:r>
              <w:rPr>
                <w:rFonts w:ascii="Arial" w:cs="Arial" w:eastAsia="Arial" w:hAnsi="Arial"/>
                <w:sz w:val="18"/>
                <w:szCs w:val="18"/>
                <w:color w:val="auto"/>
              </w:rPr>
              <w:t>Duration-monitored</w:t>
            </w:r>
          </w:p>
        </w:tc>
        <w:tc>
          <w:tcPr>
            <w:tcW w:w="16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15,466.0</w:t>
            </w:r>
          </w:p>
        </w:tc>
        <w:tc>
          <w:tcPr>
            <w:tcW w:w="2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b w:val="1"/>
                <w:bCs w:val="1"/>
                <w:color w:val="auto"/>
                <w:w w:val="85"/>
              </w:rPr>
              <w:t>4.99</w:t>
            </w:r>
          </w:p>
        </w:tc>
        <w:tc>
          <w:tcPr>
            <w:tcW w:w="2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Arial" w:cs="Arial" w:eastAsia="Arial" w:hAnsi="Arial"/>
                <w:sz w:val="18"/>
                <w:szCs w:val="18"/>
                <w:b w:val="1"/>
                <w:bCs w:val="1"/>
                <w:color w:val="auto"/>
              </w:rPr>
              <w:t>.40</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spacing w:after="0"/>
              <w:rPr>
                <w:sz w:val="20"/>
                <w:szCs w:val="20"/>
                <w:color w:val="auto"/>
              </w:rPr>
            </w:pPr>
            <w:r>
              <w:rPr>
                <w:rFonts w:ascii="Arial" w:cs="Arial" w:eastAsia="Arial" w:hAnsi="Arial"/>
                <w:sz w:val="18"/>
                <w:szCs w:val="18"/>
                <w:b w:val="1"/>
                <w:bCs w:val="1"/>
                <w:color w:val="auto"/>
              </w:rPr>
              <w:t>(61.8)</w:t>
            </w:r>
          </w:p>
        </w:tc>
        <w:tc>
          <w:tcPr>
            <w:tcW w:w="0" w:type="dxa"/>
            <w:vAlign w:val="bottom"/>
          </w:tcPr>
          <w:p>
            <w:pPr>
              <w:spacing w:after="0"/>
              <w:rPr>
                <w:sz w:val="1"/>
                <w:szCs w:val="1"/>
                <w:color w:val="auto"/>
              </w:rPr>
            </w:pPr>
          </w:p>
        </w:tc>
      </w:tr>
      <w:tr>
        <w:trPr>
          <w:trHeight w:val="216"/>
        </w:trPr>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Non duration-managed</w:t>
            </w: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3,996.8</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5"/>
              </w:rPr>
              <w:t>5.28</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w w:val="96"/>
              </w:rPr>
              <w:t>N/A</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N/A</w:t>
            </w:r>
          </w:p>
        </w:tc>
        <w:tc>
          <w:tcPr>
            <w:tcW w:w="0" w:type="dxa"/>
            <w:vAlign w:val="bottom"/>
          </w:tcPr>
          <w:p>
            <w:pPr>
              <w:spacing w:after="0"/>
              <w:rPr>
                <w:sz w:val="1"/>
                <w:szCs w:val="1"/>
                <w:color w:val="auto"/>
              </w:rPr>
            </w:pPr>
          </w:p>
        </w:tc>
      </w:tr>
      <w:tr>
        <w:trPr>
          <w:trHeight w:val="223"/>
        </w:trPr>
        <w:tc>
          <w:tcPr>
            <w:tcW w:w="5640" w:type="dxa"/>
            <w:vAlign w:val="bottom"/>
            <w:gridSpan w:val="2"/>
          </w:tcPr>
          <w:p>
            <w:pPr>
              <w:ind w:left="180"/>
              <w:spacing w:after="0"/>
              <w:rPr>
                <w:sz w:val="20"/>
                <w:szCs w:val="20"/>
                <w:color w:val="auto"/>
              </w:rPr>
            </w:pPr>
            <w:r>
              <w:rPr>
                <w:rFonts w:ascii="Arial" w:cs="Arial" w:eastAsia="Arial" w:hAnsi="Arial"/>
                <w:sz w:val="18"/>
                <w:szCs w:val="18"/>
                <w:color w:val="auto"/>
              </w:rPr>
              <w:t>Total</w:t>
            </w: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50,813.0</w:t>
            </w:r>
          </w:p>
        </w:tc>
        <w:tc>
          <w:tcPr>
            <w:tcW w:w="2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(68.1</w:t>
            </w:r>
          </w:p>
        </w:tc>
        <w:tc>
          <w:tcPr>
            <w:tcW w:w="80" w:type="dxa"/>
            <w:vAlign w:val="bottom"/>
          </w:tcPr>
          <w:p>
            <w:pPr>
              <w:jc w:val="right"/>
              <w:spacing w:after="0"/>
              <w:rPr>
                <w:sz w:val="20"/>
                <w:szCs w:val="20"/>
                <w:color w:val="auto"/>
              </w:rPr>
            </w:pPr>
            <w:r>
              <w:rPr>
                <w:rFonts w:ascii="Arial" w:cs="Arial" w:eastAsia="Arial" w:hAnsi="Arial"/>
                <w:sz w:val="16"/>
                <w:szCs w:val="16"/>
                <w:b w:val="1"/>
                <w:bCs w:val="1"/>
                <w:color w:val="auto"/>
                <w:w w:val="74"/>
              </w:rPr>
              <w:t>)</w:t>
            </w:r>
          </w:p>
        </w:tc>
        <w:tc>
          <w:tcPr>
            <w:tcW w:w="0" w:type="dxa"/>
            <w:vAlign w:val="bottom"/>
          </w:tcPr>
          <w:p>
            <w:pPr>
              <w:spacing w:after="0"/>
              <w:rPr>
                <w:sz w:val="1"/>
                <w:szCs w:val="1"/>
                <w:color w:val="auto"/>
              </w:rPr>
            </w:pPr>
          </w:p>
        </w:tc>
      </w:tr>
      <w:tr>
        <w:trPr>
          <w:trHeight w:val="20"/>
        </w:trPr>
        <w:tc>
          <w:tcPr>
            <w:tcW w:w="53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ind w:right="40" w:firstLine="648"/>
        <w:spacing w:after="0" w:line="297" w:lineRule="auto"/>
        <w:rPr>
          <w:sz w:val="20"/>
          <w:szCs w:val="20"/>
          <w:color w:val="auto"/>
        </w:rPr>
      </w:pPr>
      <w:r>
        <w:rPr>
          <w:rFonts w:ascii="Arial" w:cs="Arial" w:eastAsia="Arial" w:hAnsi="Arial"/>
          <w:sz w:val="16"/>
          <w:szCs w:val="16"/>
          <w:color w:val="auto"/>
        </w:rPr>
        <w:t>Our selection of a 100 basis point immediate, parallel increase or decrease in interest rates is a hypothetical rate scenario we use to demonstrate potential risk. While a 100 basis point immediate, parallel increase does not represent our view of future market changes, it is a near term reasonably possible hypothetical change that illustrates the potential impact of such events. While these fair value measurements provide a representation of interest rate sensitivity, they are based on our portfolio exposures at a point in time and may not be representative of future market results. These exposures will change as a result of ongoing portfolio transactions in response to new business, management’s assessment of changing market conditions and available investment opportunities.</w:t>
      </w:r>
    </w:p>
    <w:p>
      <w:pPr>
        <w:spacing w:after="0" w:line="154" w:lineRule="exact"/>
        <w:rPr>
          <w:sz w:val="20"/>
          <w:szCs w:val="20"/>
          <w:color w:val="auto"/>
        </w:rPr>
      </w:pPr>
    </w:p>
    <w:p>
      <w:pPr>
        <w:ind w:right="100"/>
        <w:spacing w:after="0" w:line="266" w:lineRule="auto"/>
        <w:rPr>
          <w:sz w:val="20"/>
          <w:szCs w:val="20"/>
          <w:color w:val="auto"/>
        </w:rPr>
      </w:pPr>
      <w:r>
        <w:rPr>
          <w:rFonts w:ascii="Arial" w:cs="Arial" w:eastAsia="Arial" w:hAnsi="Arial"/>
          <w:sz w:val="18"/>
          <w:szCs w:val="18"/>
          <w:b w:val="1"/>
          <w:bCs w:val="1"/>
          <w:color w:val="auto"/>
        </w:rPr>
        <w:t xml:space="preserve">Debt Issued and Outstanding. </w:t>
      </w:r>
      <w:r>
        <w:rPr>
          <w:rFonts w:ascii="Arial" w:cs="Arial" w:eastAsia="Arial" w:hAnsi="Arial"/>
          <w:sz w:val="18"/>
          <w:szCs w:val="18"/>
          <w:color w:val="auto"/>
        </w:rPr>
        <w:t>As of June 30, 2006, the aggregate fair value of long-term debt was $931.4 million. A 100 basis point, immediate, parallel</w:t>
      </w:r>
      <w:r>
        <w:rPr>
          <w:rFonts w:ascii="Arial" w:cs="Arial" w:eastAsia="Arial" w:hAnsi="Arial"/>
          <w:sz w:val="18"/>
          <w:szCs w:val="18"/>
          <w:b w:val="1"/>
          <w:bCs w:val="1"/>
          <w:color w:val="auto"/>
        </w:rPr>
        <w:t xml:space="preserve"> </w:t>
      </w:r>
      <w:r>
        <w:rPr>
          <w:rFonts w:ascii="Arial" w:cs="Arial" w:eastAsia="Arial" w:hAnsi="Arial"/>
          <w:sz w:val="18"/>
          <w:szCs w:val="18"/>
          <w:color w:val="auto"/>
        </w:rPr>
        <w:t>decrease in interest rates would increase the fair value of debt by approximately $31.3 million. Debt is not recorded at fair value on the statement of financial position.</w:t>
      </w:r>
    </w:p>
    <w:p>
      <w:pPr>
        <w:spacing w:after="0" w:line="148" w:lineRule="exact"/>
        <w:rPr>
          <w:sz w:val="20"/>
          <w:szCs w:val="20"/>
          <w:color w:val="auto"/>
        </w:rPr>
      </w:pPr>
    </w:p>
    <w:p>
      <w:pPr>
        <w:jc w:val="center"/>
        <w:ind w:left="6920"/>
        <w:spacing w:after="0"/>
        <w:rPr>
          <w:sz w:val="20"/>
          <w:szCs w:val="20"/>
          <w:color w:val="auto"/>
        </w:rPr>
      </w:pPr>
      <w:r>
        <w:rPr>
          <w:rFonts w:ascii="Arial" w:cs="Arial" w:eastAsia="Arial" w:hAnsi="Arial"/>
          <w:sz w:val="14"/>
          <w:szCs w:val="14"/>
          <w:b w:val="1"/>
          <w:bCs w:val="1"/>
          <w:color w:val="auto"/>
        </w:rPr>
        <w:t>June 30, 2006</w:t>
      </w:r>
    </w:p>
    <w:p>
      <w:pPr>
        <w:jc w:val="center"/>
        <w:ind w:left="6920"/>
        <w:spacing w:after="0" w:line="221" w:lineRule="auto"/>
        <w:rPr>
          <w:sz w:val="20"/>
          <w:szCs w:val="20"/>
          <w:color w:val="auto"/>
        </w:rPr>
      </w:pPr>
      <w:r>
        <w:rPr>
          <w:rFonts w:ascii="Arial" w:cs="Arial" w:eastAsia="Arial" w:hAnsi="Arial"/>
          <w:sz w:val="14"/>
          <w:szCs w:val="14"/>
          <w:b w:val="1"/>
          <w:bCs w:val="1"/>
          <w:color w:val="auto"/>
        </w:rPr>
        <w:t>Fair Value (no accrued interest)</w:t>
      </w:r>
    </w:p>
    <w:tbl>
      <w:tblPr>
        <w:tblLayout w:type="fixed"/>
        <w:tblInd w:w="6960" w:type="dxa"/>
        <w:tblCellMar>
          <w:top w:w="0" w:type="dxa"/>
          <w:left w:w="0" w:type="dxa"/>
          <w:bottom w:w="0" w:type="dxa"/>
          <w:right w:w="0" w:type="dxa"/>
        </w:tblCellMar>
      </w:tblPr>
      <w:tr>
        <w:trPr>
          <w:trHeight w:val="109"/>
        </w:trPr>
        <w:tc>
          <w:tcPr>
            <w:tcW w:w="1500" w:type="dxa"/>
            <w:vAlign w:val="bottom"/>
            <w:tcBorders>
              <w:top w:val="single" w:sz="8" w:color="auto"/>
            </w:tcBorders>
          </w:tcPr>
          <w:p>
            <w:pPr>
              <w:jc w:val="center"/>
              <w:ind w:right="133"/>
              <w:spacing w:after="0" w:line="109" w:lineRule="exact"/>
              <w:rPr>
                <w:sz w:val="20"/>
                <w:szCs w:val="20"/>
                <w:color w:val="auto"/>
              </w:rPr>
            </w:pPr>
            <w:r>
              <w:rPr>
                <w:rFonts w:ascii="Arial" w:cs="Arial" w:eastAsia="Arial" w:hAnsi="Arial"/>
                <w:sz w:val="12"/>
                <w:szCs w:val="12"/>
                <w:b w:val="1"/>
                <w:bCs w:val="1"/>
                <w:color w:val="auto"/>
              </w:rPr>
              <w:t>-100 Basis Point</w:t>
            </w:r>
          </w:p>
        </w:tc>
        <w:tc>
          <w:tcPr>
            <w:tcW w:w="1420" w:type="dxa"/>
            <w:vAlign w:val="bottom"/>
            <w:tcBorders>
              <w:top w:val="single" w:sz="8" w:color="auto"/>
            </w:tcBorders>
            <w:vMerge w:val="restart"/>
          </w:tcPr>
          <w:p>
            <w:pPr>
              <w:ind w:left="400"/>
              <w:spacing w:after="0"/>
              <w:rPr>
                <w:sz w:val="20"/>
                <w:szCs w:val="20"/>
                <w:color w:val="auto"/>
              </w:rPr>
            </w:pPr>
            <w:r>
              <w:rPr>
                <w:rFonts w:ascii="Arial" w:cs="Arial" w:eastAsia="Arial" w:hAnsi="Arial"/>
                <w:sz w:val="14"/>
                <w:szCs w:val="14"/>
                <w:b w:val="1"/>
                <w:bCs w:val="1"/>
                <w:color w:val="auto"/>
              </w:rPr>
              <w:t>No Change</w:t>
            </w:r>
          </w:p>
        </w:tc>
        <w:tc>
          <w:tcPr>
            <w:tcW w:w="1520" w:type="dxa"/>
            <w:vAlign w:val="bottom"/>
            <w:tcBorders>
              <w:top w:val="single" w:sz="8" w:color="auto"/>
            </w:tcBorders>
          </w:tcPr>
          <w:p>
            <w:pPr>
              <w:jc w:val="center"/>
              <w:ind w:left="153"/>
              <w:spacing w:after="0" w:line="109" w:lineRule="exact"/>
              <w:rPr>
                <w:sz w:val="20"/>
                <w:szCs w:val="20"/>
                <w:color w:val="auto"/>
              </w:rPr>
            </w:pPr>
            <w:r>
              <w:rPr>
                <w:rFonts w:ascii="Arial" w:cs="Arial" w:eastAsia="Arial" w:hAnsi="Arial"/>
                <w:sz w:val="12"/>
                <w:szCs w:val="12"/>
                <w:b w:val="1"/>
                <w:bCs w:val="1"/>
                <w:color w:val="auto"/>
              </w:rPr>
              <w:t>+100 Basis Point</w:t>
            </w:r>
          </w:p>
        </w:tc>
        <w:tc>
          <w:tcPr>
            <w:tcW w:w="0" w:type="dxa"/>
            <w:vAlign w:val="bottom"/>
          </w:tcPr>
          <w:p>
            <w:pPr>
              <w:spacing w:after="0"/>
              <w:rPr>
                <w:sz w:val="1"/>
                <w:szCs w:val="1"/>
                <w:color w:val="auto"/>
              </w:rPr>
            </w:pPr>
          </w:p>
        </w:tc>
      </w:tr>
      <w:tr>
        <w:trPr>
          <w:trHeight w:val="162"/>
        </w:trPr>
        <w:tc>
          <w:tcPr>
            <w:tcW w:w="1500" w:type="dxa"/>
            <w:vAlign w:val="bottom"/>
            <w:tcBorders>
              <w:bottom w:val="single" w:sz="8" w:color="auto"/>
            </w:tcBorders>
          </w:tcPr>
          <w:p>
            <w:pPr>
              <w:jc w:val="center"/>
              <w:ind w:right="133"/>
              <w:spacing w:after="0"/>
              <w:rPr>
                <w:sz w:val="20"/>
                <w:szCs w:val="20"/>
                <w:color w:val="auto"/>
              </w:rPr>
            </w:pPr>
            <w:r>
              <w:rPr>
                <w:rFonts w:ascii="Arial" w:cs="Arial" w:eastAsia="Arial" w:hAnsi="Arial"/>
                <w:sz w:val="14"/>
                <w:szCs w:val="14"/>
                <w:b w:val="1"/>
                <w:bCs w:val="1"/>
                <w:color w:val="auto"/>
                <w:w w:val="89"/>
              </w:rPr>
              <w:t>Change</w:t>
            </w:r>
          </w:p>
        </w:tc>
        <w:tc>
          <w:tcPr>
            <w:tcW w:w="1420" w:type="dxa"/>
            <w:vAlign w:val="bottom"/>
            <w:tcBorders>
              <w:bottom w:val="single" w:sz="8" w:color="auto"/>
            </w:tcBorders>
            <w:vMerge w:val="continue"/>
          </w:tcPr>
          <w:p>
            <w:pPr>
              <w:spacing w:after="0"/>
              <w:rPr>
                <w:sz w:val="14"/>
                <w:szCs w:val="14"/>
                <w:color w:val="auto"/>
              </w:rPr>
            </w:pPr>
          </w:p>
        </w:tc>
        <w:tc>
          <w:tcPr>
            <w:tcW w:w="1520" w:type="dxa"/>
            <w:vAlign w:val="bottom"/>
            <w:tcBorders>
              <w:bottom w:val="single" w:sz="8" w:color="auto"/>
            </w:tcBorders>
          </w:tcPr>
          <w:p>
            <w:pPr>
              <w:jc w:val="center"/>
              <w:ind w:left="133"/>
              <w:spacing w:after="0"/>
              <w:rPr>
                <w:sz w:val="20"/>
                <w:szCs w:val="20"/>
                <w:color w:val="auto"/>
              </w:rPr>
            </w:pPr>
            <w:r>
              <w:rPr>
                <w:rFonts w:ascii="Arial" w:cs="Arial" w:eastAsia="Arial" w:hAnsi="Arial"/>
                <w:sz w:val="14"/>
                <w:szCs w:val="14"/>
                <w:b w:val="1"/>
                <w:bCs w:val="1"/>
                <w:color w:val="auto"/>
                <w:w w:val="93"/>
              </w:rPr>
              <w:t>Change</w:t>
            </w:r>
          </w:p>
        </w:tc>
        <w:tc>
          <w:tcPr>
            <w:tcW w:w="0" w:type="dxa"/>
            <w:vAlign w:val="bottom"/>
          </w:tcPr>
          <w:p>
            <w:pPr>
              <w:spacing w:after="0"/>
              <w:rPr>
                <w:sz w:val="1"/>
                <w:szCs w:val="1"/>
                <w:color w:val="auto"/>
              </w:rPr>
            </w:pPr>
          </w:p>
        </w:tc>
      </w:tr>
      <w:tr>
        <w:trPr>
          <w:trHeight w:val="180"/>
        </w:trPr>
        <w:tc>
          <w:tcPr>
            <w:tcW w:w="1500" w:type="dxa"/>
            <w:vAlign w:val="bottom"/>
          </w:tcPr>
          <w:p>
            <w:pPr>
              <w:spacing w:after="0"/>
              <w:rPr>
                <w:sz w:val="15"/>
                <w:szCs w:val="15"/>
                <w:color w:val="auto"/>
              </w:rPr>
            </w:pPr>
          </w:p>
        </w:tc>
        <w:tc>
          <w:tcPr>
            <w:tcW w:w="1420" w:type="dxa"/>
            <w:vAlign w:val="bottom"/>
          </w:tcPr>
          <w:p>
            <w:pPr>
              <w:ind w:left="340"/>
              <w:spacing w:after="0"/>
              <w:rPr>
                <w:sz w:val="20"/>
                <w:szCs w:val="20"/>
                <w:color w:val="auto"/>
              </w:rPr>
            </w:pPr>
            <w:r>
              <w:rPr>
                <w:rFonts w:ascii="Arial" w:cs="Arial" w:eastAsia="Arial" w:hAnsi="Arial"/>
                <w:sz w:val="14"/>
                <w:szCs w:val="14"/>
                <w:b w:val="1"/>
                <w:bCs w:val="1"/>
                <w:color w:val="auto"/>
              </w:rPr>
              <w:t>(in millions)</w:t>
            </w:r>
          </w:p>
        </w:tc>
        <w:tc>
          <w:tcPr>
            <w:tcW w:w="15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ectPr>
          <w:pgSz w:w="11900" w:h="16922" w:orient="portrait"/>
          <w:cols w:equalWidth="0" w:num="1">
            <w:col w:w="11420"/>
          </w:cols>
          <w:pgMar w:left="240" w:top="125" w:right="239" w:bottom="0" w:gutter="0" w:footer="0" w:header="0"/>
        </w:sectPr>
      </w:pPr>
    </w:p>
    <w:bookmarkStart w:id="58" w:name="page59"/>
    <w:bookmarkEnd w:id="5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40" w:type="dxa"/>
            <w:vAlign w:val="bottom"/>
            <w:shd w:val="clear" w:color="auto" w:fill="CCEEFF"/>
          </w:tcPr>
          <w:p>
            <w:pPr>
              <w:spacing w:after="0"/>
              <w:rPr>
                <w:sz w:val="20"/>
                <w:szCs w:val="20"/>
                <w:color w:val="auto"/>
              </w:rPr>
            </w:pPr>
            <w:r>
              <w:rPr>
                <w:rFonts w:ascii="Arial" w:cs="Arial" w:eastAsia="Arial" w:hAnsi="Arial"/>
                <w:sz w:val="18"/>
                <w:szCs w:val="18"/>
                <w:color w:val="auto"/>
              </w:rPr>
              <w:t>8.2% notes payable, due 2009</w:t>
            </w:r>
          </w:p>
        </w:tc>
        <w:tc>
          <w:tcPr>
            <w:tcW w:w="2420" w:type="dxa"/>
            <w:vAlign w:val="bottom"/>
            <w:gridSpan w:val="2"/>
            <w:shd w:val="clear" w:color="auto" w:fill="CCEEFF"/>
          </w:tcPr>
          <w:p>
            <w:pPr>
              <w:jc w:val="right"/>
              <w:ind w:right="310"/>
              <w:spacing w:after="0"/>
              <w:rPr>
                <w:sz w:val="20"/>
                <w:szCs w:val="20"/>
                <w:color w:val="auto"/>
              </w:rPr>
            </w:pPr>
            <w:r>
              <w:rPr>
                <w:rFonts w:ascii="Arial" w:cs="Arial" w:eastAsia="Arial" w:hAnsi="Arial"/>
                <w:sz w:val="18"/>
                <w:szCs w:val="18"/>
                <w:b w:val="1"/>
                <w:bCs w:val="1"/>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510.0</w:t>
            </w:r>
          </w:p>
        </w:tc>
        <w:tc>
          <w:tcPr>
            <w:tcW w:w="760" w:type="dxa"/>
            <w:vAlign w:val="bottom"/>
            <w:gridSpan w:val="2"/>
            <w:shd w:val="clear" w:color="auto" w:fill="CCEEFF"/>
          </w:tcPr>
          <w:p>
            <w:pPr>
              <w:jc w:val="right"/>
              <w:ind w:right="325"/>
              <w:spacing w:after="0"/>
              <w:rPr>
                <w:sz w:val="20"/>
                <w:szCs w:val="20"/>
                <w:color w:val="auto"/>
              </w:rPr>
            </w:pPr>
            <w:r>
              <w:rPr>
                <w:rFonts w:ascii="Arial" w:cs="Arial" w:eastAsia="Arial" w:hAnsi="Arial"/>
                <w:sz w:val="18"/>
                <w:szCs w:val="18"/>
                <w:b w:val="1"/>
                <w:bCs w:val="1"/>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496.1</w:t>
            </w:r>
          </w:p>
        </w:tc>
        <w:tc>
          <w:tcPr>
            <w:tcW w:w="26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w w:val="7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482.7</w:t>
            </w:r>
          </w:p>
        </w:tc>
        <w:tc>
          <w:tcPr>
            <w:tcW w:w="20" w:type="dxa"/>
            <w:vAlign w:val="bottom"/>
            <w:shd w:val="clear" w:color="auto" w:fill="CCEEFF"/>
          </w:tcPr>
          <w:p>
            <w:pPr>
              <w:spacing w:after="0"/>
              <w:rPr>
                <w:sz w:val="18"/>
                <w:szCs w:val="18"/>
                <w:color w:val="auto"/>
              </w:rPr>
            </w:pPr>
          </w:p>
        </w:tc>
      </w:tr>
      <w:tr>
        <w:trPr>
          <w:trHeight w:val="216"/>
        </w:trPr>
        <w:tc>
          <w:tcPr>
            <w:tcW w:w="5040" w:type="dxa"/>
            <w:vAlign w:val="bottom"/>
          </w:tcPr>
          <w:p>
            <w:pPr>
              <w:spacing w:after="0"/>
              <w:rPr>
                <w:sz w:val="20"/>
                <w:szCs w:val="20"/>
                <w:color w:val="auto"/>
              </w:rPr>
            </w:pPr>
            <w:r>
              <w:rPr>
                <w:rFonts w:ascii="Arial" w:cs="Arial" w:eastAsia="Arial" w:hAnsi="Arial"/>
                <w:sz w:val="18"/>
                <w:szCs w:val="18"/>
                <w:color w:val="auto"/>
              </w:rPr>
              <w:t>4.59% notes payable, due 2011</w:t>
            </w:r>
          </w:p>
        </w:tc>
        <w:tc>
          <w:tcPr>
            <w:tcW w:w="1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54.6</w:t>
            </w:r>
          </w:p>
        </w:tc>
        <w:tc>
          <w:tcPr>
            <w:tcW w:w="2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52.1</w:t>
            </w: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49.8</w:t>
            </w:r>
          </w:p>
        </w:tc>
        <w:tc>
          <w:tcPr>
            <w:tcW w:w="20" w:type="dxa"/>
            <w:vAlign w:val="bottom"/>
          </w:tcPr>
          <w:p>
            <w:pPr>
              <w:spacing w:after="0"/>
              <w:rPr>
                <w:sz w:val="18"/>
                <w:szCs w:val="18"/>
                <w:color w:val="auto"/>
              </w:rPr>
            </w:pPr>
          </w:p>
        </w:tc>
      </w:tr>
      <w:tr>
        <w:trPr>
          <w:trHeight w:val="216"/>
        </w:trPr>
        <w:tc>
          <w:tcPr>
            <w:tcW w:w="5040" w:type="dxa"/>
            <w:vAlign w:val="bottom"/>
            <w:shd w:val="clear" w:color="auto" w:fill="CCEEFF"/>
          </w:tcPr>
          <w:p>
            <w:pPr>
              <w:spacing w:after="0"/>
              <w:rPr>
                <w:sz w:val="20"/>
                <w:szCs w:val="20"/>
                <w:color w:val="auto"/>
              </w:rPr>
            </w:pPr>
            <w:r>
              <w:rPr>
                <w:rFonts w:ascii="Arial" w:cs="Arial" w:eastAsia="Arial" w:hAnsi="Arial"/>
                <w:sz w:val="18"/>
                <w:szCs w:val="18"/>
                <w:color w:val="auto"/>
              </w:rPr>
              <w:t>4.93% notes payable, due 2011</w:t>
            </w:r>
          </w:p>
        </w:tc>
        <w:tc>
          <w:tcPr>
            <w:tcW w:w="19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45.3</w:t>
            </w:r>
          </w:p>
        </w:tc>
        <w:tc>
          <w:tcPr>
            <w:tcW w:w="2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43.2</w:t>
            </w:r>
          </w:p>
        </w:tc>
        <w:tc>
          <w:tcPr>
            <w:tcW w:w="2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41.2</w:t>
            </w:r>
          </w:p>
        </w:tc>
        <w:tc>
          <w:tcPr>
            <w:tcW w:w="20" w:type="dxa"/>
            <w:vAlign w:val="bottom"/>
            <w:shd w:val="clear" w:color="auto" w:fill="CCEEFF"/>
          </w:tcPr>
          <w:p>
            <w:pPr>
              <w:spacing w:after="0"/>
              <w:rPr>
                <w:sz w:val="18"/>
                <w:szCs w:val="18"/>
                <w:color w:val="auto"/>
              </w:rPr>
            </w:pPr>
          </w:p>
        </w:tc>
      </w:tr>
      <w:tr>
        <w:trPr>
          <w:trHeight w:val="216"/>
        </w:trPr>
        <w:tc>
          <w:tcPr>
            <w:tcW w:w="5040" w:type="dxa"/>
            <w:vAlign w:val="bottom"/>
          </w:tcPr>
          <w:p>
            <w:pPr>
              <w:spacing w:after="0"/>
              <w:rPr>
                <w:sz w:val="20"/>
                <w:szCs w:val="20"/>
                <w:color w:val="auto"/>
              </w:rPr>
            </w:pPr>
            <w:r>
              <w:rPr>
                <w:rFonts w:ascii="Arial" w:cs="Arial" w:eastAsia="Arial" w:hAnsi="Arial"/>
                <w:sz w:val="18"/>
                <w:szCs w:val="18"/>
                <w:color w:val="auto"/>
              </w:rPr>
              <w:t>8% surplus notes payable, due 2044</w:t>
            </w:r>
          </w:p>
        </w:tc>
        <w:tc>
          <w:tcPr>
            <w:tcW w:w="1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111.9</w:t>
            </w:r>
          </w:p>
        </w:tc>
        <w:tc>
          <w:tcPr>
            <w:tcW w:w="2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b w:val="1"/>
                <w:bCs w:val="1"/>
                <w:color w:val="auto"/>
              </w:rPr>
              <w:t>103.0</w:t>
            </w: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94.3</w:t>
            </w:r>
          </w:p>
        </w:tc>
        <w:tc>
          <w:tcPr>
            <w:tcW w:w="20" w:type="dxa"/>
            <w:vAlign w:val="bottom"/>
          </w:tcPr>
          <w:p>
            <w:pPr>
              <w:spacing w:after="0"/>
              <w:rPr>
                <w:sz w:val="18"/>
                <w:szCs w:val="18"/>
                <w:color w:val="auto"/>
              </w:rPr>
            </w:pPr>
          </w:p>
        </w:tc>
      </w:tr>
      <w:tr>
        <w:trPr>
          <w:trHeight w:val="216"/>
        </w:trPr>
        <w:tc>
          <w:tcPr>
            <w:tcW w:w="5040" w:type="dxa"/>
            <w:vAlign w:val="bottom"/>
            <w:shd w:val="clear" w:color="auto" w:fill="CCEEFF"/>
          </w:tcPr>
          <w:p>
            <w:pPr>
              <w:spacing w:after="0"/>
              <w:rPr>
                <w:sz w:val="20"/>
                <w:szCs w:val="20"/>
                <w:color w:val="auto"/>
              </w:rPr>
            </w:pPr>
            <w:r>
              <w:rPr>
                <w:rFonts w:ascii="Arial" w:cs="Arial" w:eastAsia="Arial" w:hAnsi="Arial"/>
                <w:sz w:val="18"/>
                <w:szCs w:val="18"/>
                <w:color w:val="auto"/>
              </w:rPr>
              <w:t>Non-recourse mortgages and notes payable</w:t>
            </w:r>
          </w:p>
        </w:tc>
        <w:tc>
          <w:tcPr>
            <w:tcW w:w="19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181.1</w:t>
            </w:r>
          </w:p>
        </w:tc>
        <w:tc>
          <w:tcPr>
            <w:tcW w:w="2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177.6</w:t>
            </w:r>
          </w:p>
        </w:tc>
        <w:tc>
          <w:tcPr>
            <w:tcW w:w="2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174.2</w:t>
            </w:r>
          </w:p>
        </w:tc>
        <w:tc>
          <w:tcPr>
            <w:tcW w:w="20" w:type="dxa"/>
            <w:vAlign w:val="bottom"/>
            <w:shd w:val="clear" w:color="auto" w:fill="CCEEFF"/>
          </w:tcPr>
          <w:p>
            <w:pPr>
              <w:spacing w:after="0"/>
              <w:rPr>
                <w:sz w:val="18"/>
                <w:szCs w:val="18"/>
                <w:color w:val="auto"/>
              </w:rPr>
            </w:pPr>
          </w:p>
        </w:tc>
      </w:tr>
      <w:tr>
        <w:trPr>
          <w:trHeight w:val="216"/>
        </w:trPr>
        <w:tc>
          <w:tcPr>
            <w:tcW w:w="50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Other mortgages and notes payable</w:t>
            </w:r>
          </w:p>
        </w:tc>
        <w:tc>
          <w:tcPr>
            <w:tcW w:w="1920" w:type="dxa"/>
            <w:vAlign w:val="bottom"/>
            <w:tcBorders>
              <w:bottom w:val="single" w:sz="8" w:color="CCEEFF"/>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59.8</w:t>
            </w:r>
          </w:p>
        </w:tc>
        <w:tc>
          <w:tcPr>
            <w:tcW w:w="280" w:type="dxa"/>
            <w:vAlign w:val="bottom"/>
            <w:tcBorders>
              <w:bottom w:val="single" w:sz="8" w:color="CCEEFF"/>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59.4</w:t>
            </w:r>
          </w:p>
        </w:tc>
        <w:tc>
          <w:tcPr>
            <w:tcW w:w="260" w:type="dxa"/>
            <w:vAlign w:val="bottom"/>
            <w:tcBorders>
              <w:bottom w:val="single" w:sz="8" w:color="CCEEFF"/>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58.9</w:t>
            </w:r>
          </w:p>
        </w:tc>
        <w:tc>
          <w:tcPr>
            <w:tcW w:w="20" w:type="dxa"/>
            <w:vAlign w:val="bottom"/>
            <w:tcBorders>
              <w:bottom w:val="single" w:sz="8" w:color="CCEEFF"/>
            </w:tcBorders>
          </w:tcPr>
          <w:p>
            <w:pPr>
              <w:spacing w:after="0"/>
              <w:rPr>
                <w:sz w:val="18"/>
                <w:szCs w:val="18"/>
                <w:color w:val="auto"/>
              </w:rPr>
            </w:pPr>
          </w:p>
        </w:tc>
      </w:tr>
      <w:tr>
        <w:trPr>
          <w:trHeight w:val="210"/>
        </w:trPr>
        <w:tc>
          <w:tcPr>
            <w:tcW w:w="50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long-term debt</w:t>
            </w:r>
          </w:p>
        </w:tc>
        <w:tc>
          <w:tcPr>
            <w:tcW w:w="1920" w:type="dxa"/>
            <w:vAlign w:val="bottom"/>
            <w:tcBorders>
              <w:bottom w:val="single" w:sz="8" w:color="CCEEFF"/>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ind w:right="310"/>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962.7</w:t>
            </w:r>
          </w:p>
        </w:tc>
        <w:tc>
          <w:tcPr>
            <w:tcW w:w="280" w:type="dxa"/>
            <w:vAlign w:val="bottom"/>
            <w:tcBorders>
              <w:bottom w:val="single" w:sz="8" w:color="CCEEFF"/>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ind w:right="325"/>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931.4</w:t>
            </w:r>
          </w:p>
        </w:tc>
        <w:tc>
          <w:tcPr>
            <w:tcW w:w="260" w:type="dxa"/>
            <w:vAlign w:val="bottom"/>
            <w:tcBorders>
              <w:bottom w:val="single" w:sz="8" w:color="CCEEFF"/>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901.1</w:t>
            </w:r>
          </w:p>
        </w:tc>
        <w:tc>
          <w:tcPr>
            <w:tcW w:w="20" w:type="dxa"/>
            <w:vAlign w:val="bottom"/>
            <w:tcBorders>
              <w:bottom w:val="single" w:sz="8" w:color="CCEEFF"/>
            </w:tcBorders>
            <w:shd w:val="clear" w:color="auto" w:fill="CCEEFF"/>
          </w:tcPr>
          <w:p>
            <w:pPr>
              <w:spacing w:after="0"/>
              <w:rPr>
                <w:sz w:val="18"/>
                <w:szCs w:val="18"/>
                <w:color w:val="auto"/>
              </w:rPr>
            </w:pPr>
          </w:p>
        </w:tc>
      </w:tr>
      <w:tr>
        <w:trPr>
          <w:trHeight w:val="20"/>
        </w:trPr>
        <w:tc>
          <w:tcPr>
            <w:tcW w:w="504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52" w:lineRule="exact"/>
        <w:rPr>
          <w:sz w:val="20"/>
          <w:szCs w:val="20"/>
          <w:color w:val="auto"/>
        </w:rPr>
      </w:pPr>
    </w:p>
    <w:p>
      <w:pPr>
        <w:ind w:right="140" w:firstLine="648"/>
        <w:spacing w:after="0" w:line="272" w:lineRule="auto"/>
        <w:rPr>
          <w:sz w:val="20"/>
          <w:szCs w:val="20"/>
          <w:color w:val="auto"/>
        </w:rPr>
      </w:pPr>
      <w:r>
        <w:rPr>
          <w:rFonts w:ascii="Arial" w:cs="Arial" w:eastAsia="Arial" w:hAnsi="Arial"/>
          <w:sz w:val="17"/>
          <w:szCs w:val="17"/>
          <w:b w:val="1"/>
          <w:bCs w:val="1"/>
          <w:color w:val="auto"/>
        </w:rPr>
        <w:t xml:space="preserve">Use of Derivatives to Manage Interest Rate Risk. </w:t>
      </w:r>
      <w:r>
        <w:rPr>
          <w:rFonts w:ascii="Arial" w:cs="Arial" w:eastAsia="Arial" w:hAnsi="Arial"/>
          <w:sz w:val="17"/>
          <w:szCs w:val="17"/>
          <w:color w:val="auto"/>
        </w:rPr>
        <w:t>We use various derivative financial instruments to manage our exposure to fluctuations in interest</w:t>
      </w:r>
      <w:r>
        <w:rPr>
          <w:rFonts w:ascii="Arial" w:cs="Arial" w:eastAsia="Arial" w:hAnsi="Arial"/>
          <w:sz w:val="17"/>
          <w:szCs w:val="17"/>
          <w:b w:val="1"/>
          <w:bCs w:val="1"/>
          <w:color w:val="auto"/>
        </w:rPr>
        <w:t xml:space="preserve"> </w:t>
      </w:r>
      <w:r>
        <w:rPr>
          <w:rFonts w:ascii="Arial" w:cs="Arial" w:eastAsia="Arial" w:hAnsi="Arial"/>
          <w:sz w:val="17"/>
          <w:szCs w:val="17"/>
          <w:color w:val="auto"/>
        </w:rPr>
        <w:t>rates, including interest rate swaps, swaptions, futures, total return swaps, mortgage-backed forwards and options. We use interest rate swaps, futures contracts and mortgage-backed forwards to hedge changes in interest rates subsequent to the issuance of an insurance liability, such as a guaranteed investment contract, but prior to the purchase of a supporting asset, or during periods of holding assets in anticipation of near term liability sales. We use interest rate swaps primarily to more closely match the interest rate characteristics of assets and liabilities. They can be used to change the sensitivity to the interest rate of specific assets and liabilities as well as an entire portfolio. We also use these instruments to hedge the interest rate exposure in our commercial mortgage-backed securitization operations. Occasionally, we will sell a callable investment-type agreement and will use written interest rate swaptions to transform the callable liability into a fixed term liability.</w:t>
      </w: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Risk</w:t>
      </w:r>
    </w:p>
    <w:p>
      <w:pPr>
        <w:spacing w:after="0" w:line="229" w:lineRule="exact"/>
        <w:rPr>
          <w:sz w:val="20"/>
          <w:szCs w:val="20"/>
          <w:color w:val="auto"/>
        </w:rPr>
      </w:pPr>
    </w:p>
    <w:p>
      <w:pPr>
        <w:jc w:val="both"/>
        <w:ind w:right="120" w:firstLine="648"/>
        <w:spacing w:after="0" w:line="264" w:lineRule="auto"/>
        <w:rPr>
          <w:sz w:val="20"/>
          <w:szCs w:val="20"/>
          <w:color w:val="auto"/>
        </w:rPr>
      </w:pPr>
      <w:r>
        <w:rPr>
          <w:rFonts w:ascii="Arial" w:cs="Arial" w:eastAsia="Arial" w:hAnsi="Arial"/>
          <w:sz w:val="18"/>
          <w:szCs w:val="18"/>
          <w:color w:val="auto"/>
        </w:rPr>
        <w:t>Foreign currency risk is the risk that we will incur economic losses due to adverse fluctuations in foreign currency exchange rates. This risk arises from foreign currency-denominated funding agreements issued to non-qualified institutional investors in the international market, foreign currency-denominated fixed maturity securities and demand deposits purchased, and our international operations.</w:t>
      </w:r>
    </w:p>
    <w:p>
      <w:pPr>
        <w:spacing w:after="0" w:line="181" w:lineRule="exact"/>
        <w:rPr>
          <w:sz w:val="20"/>
          <w:szCs w:val="20"/>
          <w:color w:val="auto"/>
        </w:rPr>
      </w:pPr>
    </w:p>
    <w:p>
      <w:pPr>
        <w:ind w:right="380" w:firstLine="648"/>
        <w:spacing w:after="0" w:line="257" w:lineRule="auto"/>
        <w:rPr>
          <w:sz w:val="20"/>
          <w:szCs w:val="20"/>
          <w:color w:val="auto"/>
        </w:rPr>
      </w:pPr>
      <w:r>
        <w:rPr>
          <w:rFonts w:ascii="Arial" w:cs="Arial" w:eastAsia="Arial" w:hAnsi="Arial"/>
          <w:sz w:val="18"/>
          <w:szCs w:val="18"/>
          <w:color w:val="auto"/>
        </w:rPr>
        <w:t>We estimate that as of June 30, 2006, a 10% immediate unfavorable change in each of the foreign currency exchange rates to which we are exposed would result in no material change to the net fair value of our foreign currency denominated instruments identified above, including the currency swap agreements, because we effectively hedge foreign currency denominated instruments to minimize exchange rate impacts. The selection of a 10% immediate unfavorable change in all currency exchange rates should not be construed as a prediction by us of future market events, but rather as an illustration of the potential impact of such an event.</w:t>
      </w:r>
    </w:p>
    <w:p>
      <w:pPr>
        <w:spacing w:after="0" w:line="184" w:lineRule="exact"/>
        <w:rPr>
          <w:sz w:val="20"/>
          <w:szCs w:val="20"/>
          <w:color w:val="auto"/>
        </w:rPr>
      </w:pPr>
    </w:p>
    <w:p>
      <w:pPr>
        <w:ind w:right="200" w:firstLine="648"/>
        <w:spacing w:after="0" w:line="281" w:lineRule="auto"/>
        <w:rPr>
          <w:sz w:val="20"/>
          <w:szCs w:val="20"/>
          <w:color w:val="auto"/>
        </w:rPr>
      </w:pPr>
      <w:r>
        <w:rPr>
          <w:rFonts w:ascii="Arial" w:cs="Arial" w:eastAsia="Arial" w:hAnsi="Arial"/>
          <w:sz w:val="17"/>
          <w:szCs w:val="17"/>
          <w:b w:val="1"/>
          <w:bCs w:val="1"/>
          <w:color w:val="auto"/>
        </w:rPr>
        <w:t xml:space="preserve">Use of Derivatives to Manage Foreign Currency Risk. </w:t>
      </w:r>
      <w:r>
        <w:rPr>
          <w:rFonts w:ascii="Arial" w:cs="Arial" w:eastAsia="Arial" w:hAnsi="Arial"/>
          <w:sz w:val="17"/>
          <w:szCs w:val="17"/>
          <w:color w:val="auto"/>
        </w:rPr>
        <w:t>The foreign currency risk on funding agreements and fixed maturity securities is minimized</w:t>
      </w:r>
      <w:r>
        <w:rPr>
          <w:rFonts w:ascii="Arial" w:cs="Arial" w:eastAsia="Arial" w:hAnsi="Arial"/>
          <w:sz w:val="17"/>
          <w:szCs w:val="17"/>
          <w:b w:val="1"/>
          <w:bCs w:val="1"/>
          <w:color w:val="auto"/>
        </w:rPr>
        <w:t xml:space="preserve"> </w:t>
      </w:r>
      <w:r>
        <w:rPr>
          <w:rFonts w:ascii="Arial" w:cs="Arial" w:eastAsia="Arial" w:hAnsi="Arial"/>
          <w:sz w:val="17"/>
          <w:szCs w:val="17"/>
          <w:color w:val="auto"/>
        </w:rPr>
        <w:t>by using currency swaps that swap the foreign currency interest and principal payments to our functional currency. The notional amount of our currency swap agreements associated with foreign-denominated liabilities as of June 30, 2006, was $3,235.9 million. The notional amount of our currency swap agreements associated with foreign-denominated fixed maturity securities as of June 30, 2006, was $1,351.1 million.</w:t>
      </w:r>
    </w:p>
    <w:p>
      <w:pPr>
        <w:spacing w:after="0" w:line="169"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With regard to our international operations, we attempt to do as much of our business as possible in the functional currency of the country of operation. At times, however, we are unable to do so, and in these cases, we use foreign exchange derivatives to hedge the resulting risks. As of June 30, 2006, our operations in Chile had currency swaps with a notional amount of $24.1 million that are used to swap cash flows on U.S. dollar-denominated bonds to a local currency. Chile also utilized currency forwards with a notional amount of $51.3 million in order to mitigate currency exposure related to U.S. dollar-denominated bonds.</w:t>
      </w:r>
    </w:p>
    <w:p>
      <w:pPr>
        <w:spacing w:after="0" w:line="188" w:lineRule="exact"/>
        <w:rPr>
          <w:sz w:val="20"/>
          <w:szCs w:val="20"/>
          <w:color w:val="auto"/>
        </w:rPr>
      </w:pPr>
    </w:p>
    <w:p>
      <w:pPr>
        <w:ind w:right="700" w:firstLine="648"/>
        <w:spacing w:after="0" w:line="277" w:lineRule="auto"/>
        <w:rPr>
          <w:sz w:val="20"/>
          <w:szCs w:val="20"/>
          <w:color w:val="auto"/>
        </w:rPr>
      </w:pPr>
      <w:r>
        <w:rPr>
          <w:rFonts w:ascii="Arial" w:cs="Arial" w:eastAsia="Arial" w:hAnsi="Arial"/>
          <w:sz w:val="18"/>
          <w:szCs w:val="18"/>
          <w:color w:val="auto"/>
        </w:rPr>
        <w:t>Additionally, we may take measures to hedge our net equity investments in our foreign subsidiaries from currency risks. Currently, there are no outstanding net equity investment hedges.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Risk</w:t>
      </w:r>
    </w:p>
    <w:p>
      <w:pPr>
        <w:spacing w:after="0" w:line="229"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Equity risk is the risk that we will incur economic losses due to adverse fluctuations in a particular common stock. As of June 30, 2006, the fair value of our equity securities was $825.5 million. A 10% decline in the value of the equity securities would result in an unrealized loss of $82.6 million. The selection of a 10% unfavorable change in the equity markets should not be construed as a prediction by us of future market events, but rather as an illustration of the potential impact of such an event.</w:t>
      </w:r>
    </w:p>
    <w:p>
      <w:pPr>
        <w:spacing w:after="0" w:line="187" w:lineRule="exact"/>
        <w:rPr>
          <w:sz w:val="20"/>
          <w:szCs w:val="20"/>
          <w:color w:val="auto"/>
        </w:rPr>
      </w:pPr>
    </w:p>
    <w:p>
      <w:pPr>
        <w:ind w:right="280" w:firstLine="648"/>
        <w:spacing w:after="0" w:line="286" w:lineRule="auto"/>
        <w:rPr>
          <w:sz w:val="20"/>
          <w:szCs w:val="20"/>
          <w:color w:val="auto"/>
        </w:rPr>
      </w:pPr>
      <w:r>
        <w:rPr>
          <w:rFonts w:ascii="Arial" w:cs="Arial" w:eastAsia="Arial" w:hAnsi="Arial"/>
          <w:sz w:val="16"/>
          <w:szCs w:val="16"/>
          <w:color w:val="auto"/>
        </w:rPr>
        <w:t>We also have equity risk associated with (1) fixed deferred annuity products that credit interest to customers based on changes in an external equity index; (2) variable annuity contracts that have a guaranteed minimum withdrawal benefit (“GMWB”) rider that allows the customer to receive at least the principal deposit back through withdrawals of a specified annual amount, even if the account value is reduced to zero; (3) variable annuity contacts that have a guaranteed minimum death benefit (“GMDB”) that allows the death benefit to be paid, even if the account value has fallen below the GMDB amount;</w:t>
      </w:r>
    </w:p>
    <w:p>
      <w:pPr>
        <w:spacing w:after="0" w:line="2" w:lineRule="exact"/>
        <w:rPr>
          <w:sz w:val="20"/>
          <w:szCs w:val="20"/>
          <w:color w:val="auto"/>
        </w:rPr>
      </w:pPr>
    </w:p>
    <w:p>
      <w:pPr>
        <w:ind w:right="160" w:firstLine="8"/>
        <w:spacing w:after="0" w:line="261" w:lineRule="auto"/>
        <w:tabs>
          <w:tab w:leader="none" w:pos="248" w:val="left"/>
        </w:tabs>
        <w:numPr>
          <w:ilvl w:val="0"/>
          <w:numId w:val="33"/>
        </w:numPr>
        <w:rPr>
          <w:rFonts w:ascii="Arial" w:cs="Arial" w:eastAsia="Arial" w:hAnsi="Arial"/>
          <w:sz w:val="18"/>
          <w:szCs w:val="18"/>
          <w:color w:val="auto"/>
        </w:rPr>
      </w:pPr>
      <w:r>
        <w:rPr>
          <w:rFonts w:ascii="Arial" w:cs="Arial" w:eastAsia="Arial" w:hAnsi="Arial"/>
          <w:sz w:val="18"/>
          <w:szCs w:val="18"/>
          <w:color w:val="auto"/>
        </w:rPr>
        <w:t>investment-type contracts in which the return is tied to an external equity index; and (5) investment-type contracts in which the return is subject to minimum contractual guarantees.</w:t>
      </w:r>
    </w:p>
    <w:p>
      <w:pPr>
        <w:spacing w:after="0" w:line="180" w:lineRule="exact"/>
        <w:rPr>
          <w:sz w:val="20"/>
          <w:szCs w:val="20"/>
          <w:color w:val="auto"/>
        </w:rPr>
      </w:pPr>
    </w:p>
    <w:p>
      <w:pPr>
        <w:ind w:right="40" w:firstLine="648"/>
        <w:spacing w:after="0" w:line="266" w:lineRule="auto"/>
        <w:rPr>
          <w:sz w:val="20"/>
          <w:szCs w:val="20"/>
          <w:color w:val="auto"/>
        </w:rPr>
      </w:pPr>
      <w:r>
        <w:rPr>
          <w:rFonts w:ascii="Arial" w:cs="Arial" w:eastAsia="Arial" w:hAnsi="Arial"/>
          <w:sz w:val="18"/>
          <w:szCs w:val="18"/>
          <w:b w:val="1"/>
          <w:bCs w:val="1"/>
          <w:color w:val="auto"/>
        </w:rPr>
        <w:t xml:space="preserve">Use of Derivatives to Manage Equity Risk. </w:t>
      </w:r>
      <w:r>
        <w:rPr>
          <w:rFonts w:ascii="Arial" w:cs="Arial" w:eastAsia="Arial" w:hAnsi="Arial"/>
          <w:sz w:val="18"/>
          <w:szCs w:val="18"/>
          <w:color w:val="auto"/>
        </w:rPr>
        <w:t>We economically hedge the fixed deferred annuity product by purchasing options that match the product’s</w:t>
      </w:r>
      <w:r>
        <w:rPr>
          <w:rFonts w:ascii="Arial" w:cs="Arial" w:eastAsia="Arial" w:hAnsi="Arial"/>
          <w:sz w:val="18"/>
          <w:szCs w:val="18"/>
          <w:b w:val="1"/>
          <w:bCs w:val="1"/>
          <w:color w:val="auto"/>
        </w:rPr>
        <w:t xml:space="preserve"> </w:t>
      </w:r>
      <w:r>
        <w:rPr>
          <w:rFonts w:ascii="Arial" w:cs="Arial" w:eastAsia="Arial" w:hAnsi="Arial"/>
          <w:sz w:val="18"/>
          <w:szCs w:val="18"/>
          <w:color w:val="auto"/>
        </w:rPr>
        <w:t>profile. We economically hedge the GMWB exposure using futures, options and interest rate swaps. We economically hedge the investment contract exposure using equity call options.</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Risk</w:t>
      </w:r>
    </w:p>
    <w:p>
      <w:pPr>
        <w:spacing w:after="0" w:line="229" w:lineRule="exact"/>
        <w:rPr>
          <w:sz w:val="20"/>
          <w:szCs w:val="20"/>
          <w:color w:val="auto"/>
        </w:rPr>
      </w:pPr>
    </w:p>
    <w:p>
      <w:pPr>
        <w:ind w:right="360" w:firstLine="648"/>
        <w:spacing w:after="0" w:line="264" w:lineRule="auto"/>
        <w:rPr>
          <w:sz w:val="20"/>
          <w:szCs w:val="20"/>
          <w:color w:val="auto"/>
        </w:rPr>
      </w:pPr>
      <w:r>
        <w:rPr>
          <w:rFonts w:ascii="Arial" w:cs="Arial" w:eastAsia="Arial" w:hAnsi="Arial"/>
          <w:sz w:val="18"/>
          <w:szCs w:val="18"/>
          <w:color w:val="auto"/>
        </w:rPr>
        <w:t>Credit risk relates to the uncertainty associated with the continued ability of a given obligor to make timely payments of principal and interest. Our ability to manage credit risk is essential to our business and our profitability. See Item 2. “Management’s Discussion and Analysis of Financial Condition and Results of Operations, Investments” for additional information about credit risk.</w:t>
      </w:r>
    </w:p>
    <w:p>
      <w:pPr>
        <w:sectPr>
          <w:pgSz w:w="11900" w:h="16838" w:orient="portrait"/>
          <w:cols w:equalWidth="0" w:num="1">
            <w:col w:w="11420"/>
          </w:cols>
          <w:pgMar w:left="240" w:top="140" w:right="239" w:bottom="0" w:gutter="0" w:footer="0" w:header="0"/>
        </w:sectPr>
      </w:pP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84</w:t>
      </w:r>
    </w:p>
    <w:p>
      <w:pPr>
        <w:sectPr>
          <w:pgSz w:w="11900" w:h="16838" w:orient="portrait"/>
          <w:cols w:equalWidth="0" w:num="1">
            <w:col w:w="11420"/>
          </w:cols>
          <w:pgMar w:left="240" w:top="140" w:right="239" w:bottom="0" w:gutter="0" w:footer="0" w:header="0"/>
          <w:type w:val="continuous"/>
        </w:sectPr>
      </w:pPr>
    </w:p>
    <w:bookmarkStart w:id="59" w:name="page60"/>
    <w:bookmarkEnd w:id="59"/>
    <w:p>
      <w:pPr>
        <w:ind w:right="400" w:firstLine="648"/>
        <w:spacing w:after="0" w:line="289" w:lineRule="auto"/>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155575</wp:posOffset>
            </wp:positionH>
            <wp:positionV relativeFrom="page">
              <wp:posOffset>309880</wp:posOffset>
            </wp:positionV>
            <wp:extent cx="7267575" cy="298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t xml:space="preserve">Use of Derivatives to Diversify or Hedge Credit Risk. </w:t>
      </w:r>
      <w:r>
        <w:rPr>
          <w:rFonts w:ascii="Arial" w:cs="Arial" w:eastAsia="Arial" w:hAnsi="Arial"/>
          <w:sz w:val="17"/>
          <w:szCs w:val="17"/>
          <w:color w:val="auto"/>
        </w:rPr>
        <w:t>We sometimes purchase credit default swaps to hedge credit exposures in our investment</w:t>
      </w:r>
      <w:r>
        <w:rPr>
          <w:rFonts w:ascii="Arial" w:cs="Arial" w:eastAsia="Arial" w:hAnsi="Arial"/>
          <w:sz w:val="17"/>
          <w:szCs w:val="17"/>
          <w:b w:val="1"/>
          <w:bCs w:val="1"/>
          <w:color w:val="auto"/>
        </w:rPr>
        <w:t xml:space="preserve"> </w:t>
      </w:r>
      <w:r>
        <w:rPr>
          <w:rFonts w:ascii="Arial" w:cs="Arial" w:eastAsia="Arial" w:hAnsi="Arial"/>
          <w:sz w:val="17"/>
          <w:szCs w:val="17"/>
          <w:color w:val="auto"/>
        </w:rPr>
        <w:t>portfolio. We sell credit default swaps to offer credit protection to investors. If there is an event of default by the referenced name, we are obligated to pay the counterparty the referenced amount of the contract and receive in return the referenced security.</w:t>
      </w:r>
    </w:p>
    <w:p>
      <w:pPr>
        <w:spacing w:after="0" w:line="162" w:lineRule="exact"/>
        <w:rPr>
          <w:sz w:val="20"/>
          <w:szCs w:val="20"/>
          <w:color w:val="auto"/>
        </w:rPr>
      </w:pPr>
    </w:p>
    <w:p>
      <w:pPr>
        <w:jc w:val="both"/>
        <w:ind w:right="260" w:firstLine="648"/>
        <w:spacing w:after="0" w:line="264" w:lineRule="auto"/>
        <w:rPr>
          <w:sz w:val="20"/>
          <w:szCs w:val="20"/>
          <w:color w:val="auto"/>
        </w:rPr>
      </w:pPr>
      <w:r>
        <w:rPr>
          <w:rFonts w:ascii="Arial" w:cs="Arial" w:eastAsia="Arial" w:hAnsi="Arial"/>
          <w:sz w:val="18"/>
          <w:szCs w:val="18"/>
          <w:color w:val="auto"/>
        </w:rPr>
        <w:t>We have increased our credit exposure through credit default swaps by investing in $127.5 million of various tranches of synthetic collateralized debt obligations. The outstanding notional amount as of June 30, 2006 was $565.0 million. We also invested in credit default swaps creating replicated assets with a notional amount of $775.0 million as of June 30, 2006.</w:t>
      </w:r>
    </w:p>
    <w:p>
      <w:pPr>
        <w:spacing w:after="0" w:line="181" w:lineRule="exact"/>
        <w:rPr>
          <w:sz w:val="20"/>
          <w:szCs w:val="20"/>
          <w:color w:val="auto"/>
        </w:rPr>
      </w:pPr>
    </w:p>
    <w:p>
      <w:pPr>
        <w:ind w:right="100" w:firstLine="648"/>
        <w:spacing w:after="0" w:line="255" w:lineRule="auto"/>
        <w:rPr>
          <w:sz w:val="20"/>
          <w:szCs w:val="20"/>
          <w:color w:val="auto"/>
        </w:rPr>
      </w:pPr>
      <w:r>
        <w:rPr>
          <w:rFonts w:ascii="Arial" w:cs="Arial" w:eastAsia="Arial" w:hAnsi="Arial"/>
          <w:sz w:val="18"/>
          <w:szCs w:val="18"/>
          <w:color w:val="auto"/>
        </w:rPr>
        <w:t>In addition, on May 26, 2005, we invested $130.0 million in a secured limited recourse credit linked note issued by a grantor trust. The trust entered into a credit default swap providing credit protection on the first 45% of loss of seven mezzanine tranches totaling $288.9 million of seven synthetic reference portfolios. The risk of loss for the seven referenced mezzanine tranches begins at 4.85% and ends at 10.85% of loss on each of the seven synthetic reference portfolios. Therefore, defaults in an underlying reference portfolio will only affect the credit-linked note if cumulative losses exceed 4.85% of a synthetic reference portfolio. As of June 30, 2006, the credit default swap entered into by the trust had an outstanding notional amount of $130.0 million. The creditors of the grantor trusts have no recourse to the assets of our company.</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Derivative Summary</w:t>
      </w:r>
    </w:p>
    <w:p>
      <w:pPr>
        <w:spacing w:after="0" w:line="229" w:lineRule="exact"/>
        <w:rPr>
          <w:sz w:val="20"/>
          <w:szCs w:val="20"/>
          <w:color w:val="auto"/>
        </w:rPr>
      </w:pPr>
    </w:p>
    <w:p>
      <w:pPr>
        <w:ind w:right="200" w:firstLine="648"/>
        <w:spacing w:after="0" w:line="276" w:lineRule="auto"/>
        <w:rPr>
          <w:sz w:val="20"/>
          <w:szCs w:val="20"/>
          <w:color w:val="auto"/>
        </w:rPr>
      </w:pPr>
      <w:r>
        <w:rPr>
          <w:rFonts w:ascii="Arial" w:cs="Arial" w:eastAsia="Arial" w:hAnsi="Arial"/>
          <w:sz w:val="17"/>
          <w:szCs w:val="17"/>
          <w:color w:val="auto"/>
        </w:rPr>
        <w:t>Notional amounts are used to express the extent of our involvement in derivative transactions and represent a standard measurement of the volume of our derivative activity. Notional amount is not a quantification of market risk or credit risk and it may not necessarily be recorded on the balance sheet. Notional amounts represent those amounts used to calculate contractual flows to be exchanged and are not paid or received, except for contracts such as currency swaps. Actual credit exposure represents the amount owed to us under derivative contracts as of the valuation date. The following tables present our position in, and credit exposure to, derivative financial instruments as of June 30, 2006, and December 31, 2005.</w:t>
      </w:r>
    </w:p>
    <w:p>
      <w:pPr>
        <w:spacing w:after="0" w:line="16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Derivative Financial Instruments — Notional Amounts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40" w:type="dxa"/>
            <w:vAlign w:val="bottom"/>
            <w:gridSpan w:val="3"/>
          </w:tcPr>
          <w:p>
            <w:pPr>
              <w:ind w:left="960"/>
              <w:spacing w:after="0"/>
              <w:rPr>
                <w:sz w:val="20"/>
                <w:szCs w:val="20"/>
                <w:color w:val="auto"/>
              </w:rPr>
            </w:pPr>
            <w:r>
              <w:rPr>
                <w:rFonts w:ascii="Arial" w:cs="Arial" w:eastAsia="Arial" w:hAnsi="Arial"/>
                <w:sz w:val="14"/>
                <w:szCs w:val="14"/>
                <w:b w:val="1"/>
                <w:bCs w:val="1"/>
                <w:color w:val="auto"/>
                <w:w w:val="94"/>
              </w:rPr>
              <w:t>June 30, 2006</w:t>
            </w:r>
          </w:p>
        </w:tc>
        <w:tc>
          <w:tcPr>
            <w:tcW w:w="10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60" w:type="dxa"/>
            <w:vAlign w:val="bottom"/>
            <w:gridSpan w:val="4"/>
          </w:tcPr>
          <w:p>
            <w:pPr>
              <w:jc w:val="right"/>
              <w:ind w:right="1030"/>
              <w:spacing w:after="0"/>
              <w:rPr>
                <w:sz w:val="20"/>
                <w:szCs w:val="20"/>
                <w:color w:val="auto"/>
              </w:rPr>
            </w:pPr>
            <w:r>
              <w:rPr>
                <w:rFonts w:ascii="Arial" w:cs="Arial" w:eastAsia="Arial" w:hAnsi="Arial"/>
                <w:sz w:val="14"/>
                <w:szCs w:val="14"/>
                <w:b w:val="1"/>
                <w:bCs w:val="1"/>
                <w:color w:val="auto"/>
              </w:rPr>
              <w:t>December 31, 2005</w:t>
            </w:r>
          </w:p>
        </w:tc>
        <w:tc>
          <w:tcPr>
            <w:tcW w:w="40" w:type="dxa"/>
            <w:vAlign w:val="bottom"/>
          </w:tcPr>
          <w:p>
            <w:pPr>
              <w:spacing w:after="0"/>
              <w:rPr>
                <w:sz w:val="14"/>
                <w:szCs w:val="14"/>
                <w:color w:val="auto"/>
              </w:rPr>
            </w:pPr>
          </w:p>
        </w:tc>
      </w:tr>
      <w:tr>
        <w:trPr>
          <w:trHeight w:val="129"/>
        </w:trPr>
        <w:tc>
          <w:tcPr>
            <w:tcW w:w="4920" w:type="dxa"/>
            <w:vAlign w:val="bottom"/>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1840" w:type="dxa"/>
            <w:vAlign w:val="bottom"/>
            <w:tcBorders>
              <w:top w:val="single" w:sz="8" w:color="auto"/>
              <w:bottom w:val="single" w:sz="8" w:color="auto"/>
            </w:tcBorders>
            <w:gridSpan w:val="3"/>
          </w:tcPr>
          <w:p>
            <w:pPr>
              <w:ind w:left="40"/>
              <w:spacing w:after="0" w:line="129" w:lineRule="exact"/>
              <w:rPr>
                <w:sz w:val="20"/>
                <w:szCs w:val="20"/>
                <w:color w:val="auto"/>
              </w:rPr>
            </w:pPr>
            <w:r>
              <w:rPr>
                <w:rFonts w:ascii="Arial" w:cs="Arial" w:eastAsia="Arial" w:hAnsi="Arial"/>
                <w:sz w:val="14"/>
                <w:szCs w:val="14"/>
                <w:b w:val="1"/>
                <w:bCs w:val="1"/>
                <w:color w:val="auto"/>
              </w:rPr>
              <w:t>Notional Amount</w:t>
            </w:r>
          </w:p>
        </w:tc>
        <w:tc>
          <w:tcPr>
            <w:tcW w:w="1040" w:type="dxa"/>
            <w:vAlign w:val="bottom"/>
            <w:tcBorders>
              <w:top w:val="single" w:sz="8" w:color="auto"/>
              <w:bottom w:val="single" w:sz="8" w:color="auto"/>
            </w:tcBorders>
          </w:tcPr>
          <w:p>
            <w:pPr>
              <w:jc w:val="right"/>
              <w:ind w:right="272"/>
              <w:spacing w:after="0" w:line="129" w:lineRule="exact"/>
              <w:rPr>
                <w:sz w:val="20"/>
                <w:szCs w:val="20"/>
                <w:color w:val="auto"/>
              </w:rPr>
            </w:pPr>
            <w:r>
              <w:rPr>
                <w:rFonts w:ascii="Arial" w:cs="Arial" w:eastAsia="Arial" w:hAnsi="Arial"/>
                <w:sz w:val="14"/>
                <w:szCs w:val="14"/>
                <w:b w:val="1"/>
                <w:bCs w:val="1"/>
                <w:color w:val="auto"/>
                <w:w w:val="98"/>
              </w:rPr>
              <w:t>% of Total</w:t>
            </w:r>
          </w:p>
        </w:tc>
        <w:tc>
          <w:tcPr>
            <w:tcW w:w="26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1500" w:type="dxa"/>
            <w:vAlign w:val="bottom"/>
            <w:tcBorders>
              <w:top w:val="single" w:sz="8" w:color="auto"/>
              <w:bottom w:val="single" w:sz="8" w:color="auto"/>
            </w:tcBorders>
            <w:gridSpan w:val="2"/>
          </w:tcPr>
          <w:p>
            <w:pPr>
              <w:ind w:left="20"/>
              <w:spacing w:after="0" w:line="129" w:lineRule="exact"/>
              <w:rPr>
                <w:sz w:val="20"/>
                <w:szCs w:val="20"/>
                <w:color w:val="auto"/>
              </w:rPr>
            </w:pPr>
            <w:r>
              <w:rPr>
                <w:rFonts w:ascii="Arial" w:cs="Arial" w:eastAsia="Arial" w:hAnsi="Arial"/>
                <w:sz w:val="14"/>
                <w:szCs w:val="14"/>
                <w:b w:val="1"/>
                <w:bCs w:val="1"/>
                <w:color w:val="auto"/>
              </w:rPr>
              <w:t>Notional Amount</w:t>
            </w:r>
          </w:p>
        </w:tc>
        <w:tc>
          <w:tcPr>
            <w:tcW w:w="1360" w:type="dxa"/>
            <w:vAlign w:val="bottom"/>
            <w:tcBorders>
              <w:top w:val="single" w:sz="8" w:color="auto"/>
              <w:bottom w:val="single" w:sz="8" w:color="auto"/>
            </w:tcBorders>
          </w:tcPr>
          <w:p>
            <w:pPr>
              <w:jc w:val="right"/>
              <w:ind w:right="271"/>
              <w:spacing w:after="0" w:line="129" w:lineRule="exact"/>
              <w:rPr>
                <w:sz w:val="20"/>
                <w:szCs w:val="20"/>
                <w:color w:val="auto"/>
              </w:rPr>
            </w:pPr>
            <w:r>
              <w:rPr>
                <w:rFonts w:ascii="Arial" w:cs="Arial" w:eastAsia="Arial" w:hAnsi="Arial"/>
                <w:sz w:val="14"/>
                <w:szCs w:val="14"/>
                <w:b w:val="1"/>
                <w:bCs w:val="1"/>
                <w:color w:val="auto"/>
              </w:rPr>
              <w:t>% of Total</w:t>
            </w: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r>
      <w:tr>
        <w:trPr>
          <w:trHeight w:val="129"/>
        </w:trPr>
        <w:tc>
          <w:tcPr>
            <w:tcW w:w="4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980" w:type="dxa"/>
            <w:vAlign w:val="bottom"/>
            <w:gridSpan w:val="6"/>
          </w:tcPr>
          <w:p>
            <w:pPr>
              <w:ind w:left="760"/>
              <w:spacing w:after="0" w:line="129" w:lineRule="exact"/>
              <w:rPr>
                <w:sz w:val="20"/>
                <w:szCs w:val="20"/>
                <w:color w:val="auto"/>
              </w:rPr>
            </w:pPr>
            <w:r>
              <w:rPr>
                <w:rFonts w:ascii="Arial" w:cs="Arial" w:eastAsia="Arial" w:hAnsi="Arial"/>
                <w:sz w:val="14"/>
                <w:szCs w:val="14"/>
                <w:b w:val="1"/>
                <w:bCs w:val="1"/>
                <w:color w:val="auto"/>
              </w:rPr>
              <w:t>($ in millions)</w:t>
            </w:r>
          </w:p>
        </w:tc>
        <w:tc>
          <w:tcPr>
            <w:tcW w:w="1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r>
      <w:tr>
        <w:trPr>
          <w:trHeight w:val="216"/>
        </w:trPr>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Interest rate swaps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10,631.6</w:t>
            </w: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54%</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8,531.3</w:t>
            </w:r>
          </w:p>
        </w:tc>
        <w:tc>
          <w:tcPr>
            <w:tcW w:w="26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40" w:type="dxa"/>
            <w:vAlign w:val="bottom"/>
          </w:tcPr>
          <w:p>
            <w:pPr>
              <w:spacing w:after="0"/>
              <w:rPr>
                <w:sz w:val="18"/>
                <w:szCs w:val="18"/>
                <w:color w:val="auto"/>
              </w:rPr>
            </w:pPr>
          </w:p>
        </w:tc>
      </w:tr>
      <w:tr>
        <w:trPr>
          <w:trHeight w:val="216"/>
        </w:trPr>
        <w:tc>
          <w:tcPr>
            <w:tcW w:w="4920" w:type="dxa"/>
            <w:vAlign w:val="bottom"/>
          </w:tcPr>
          <w:p>
            <w:pPr>
              <w:spacing w:after="0"/>
              <w:rPr>
                <w:sz w:val="20"/>
                <w:szCs w:val="20"/>
                <w:color w:val="auto"/>
              </w:rPr>
            </w:pPr>
            <w:r>
              <w:rPr>
                <w:rFonts w:ascii="Arial" w:cs="Arial" w:eastAsia="Arial" w:hAnsi="Arial"/>
                <w:sz w:val="18"/>
                <w:szCs w:val="18"/>
                <w:color w:val="auto"/>
              </w:rPr>
              <w:t>Foreign currency swaps</w:t>
            </w: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b w:val="1"/>
                <w:bCs w:val="1"/>
                <w:color w:val="auto"/>
              </w:rPr>
              <w:t>4,611.1</w:t>
            </w: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23</w:t>
            </w: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3,854.5</w:t>
            </w:r>
          </w:p>
        </w:tc>
        <w:tc>
          <w:tcPr>
            <w:tcW w:w="26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23</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Embedded derivative financial instruments</w:t>
            </w: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1,482.2</w:t>
            </w: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w:t>
            </w:r>
          </w:p>
        </w:tc>
        <w:tc>
          <w:tcPr>
            <w:tcW w:w="2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1,199.5</w:t>
            </w:r>
          </w:p>
        </w:tc>
        <w:tc>
          <w:tcPr>
            <w:tcW w:w="26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2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4920" w:type="dxa"/>
            <w:vAlign w:val="bottom"/>
          </w:tcPr>
          <w:p>
            <w:pPr>
              <w:spacing w:after="0"/>
              <w:rPr>
                <w:sz w:val="20"/>
                <w:szCs w:val="20"/>
                <w:color w:val="auto"/>
              </w:rPr>
            </w:pPr>
            <w:r>
              <w:rPr>
                <w:rFonts w:ascii="Arial" w:cs="Arial" w:eastAsia="Arial" w:hAnsi="Arial"/>
                <w:sz w:val="18"/>
                <w:szCs w:val="18"/>
                <w:color w:val="auto"/>
              </w:rPr>
              <w:t>Credit default swaps</w:t>
            </w: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b w:val="1"/>
                <w:bCs w:val="1"/>
                <w:color w:val="auto"/>
              </w:rPr>
              <w:t>1,480.0</w:t>
            </w: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8</w:t>
            </w: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1,297.6</w:t>
            </w:r>
          </w:p>
        </w:tc>
        <w:tc>
          <w:tcPr>
            <w:tcW w:w="26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8</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Swaptions</w:t>
            </w: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663.0</w:t>
            </w: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w:t>
            </w:r>
          </w:p>
        </w:tc>
        <w:tc>
          <w:tcPr>
            <w:tcW w:w="2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684.5</w:t>
            </w:r>
          </w:p>
        </w:tc>
        <w:tc>
          <w:tcPr>
            <w:tcW w:w="26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2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4920" w:type="dxa"/>
            <w:vAlign w:val="bottom"/>
          </w:tcPr>
          <w:p>
            <w:pPr>
              <w:spacing w:after="0"/>
              <w:rPr>
                <w:sz w:val="20"/>
                <w:szCs w:val="20"/>
                <w:color w:val="auto"/>
              </w:rPr>
            </w:pPr>
            <w:r>
              <w:rPr>
                <w:rFonts w:ascii="Arial" w:cs="Arial" w:eastAsia="Arial" w:hAnsi="Arial"/>
                <w:sz w:val="18"/>
                <w:szCs w:val="18"/>
                <w:color w:val="auto"/>
              </w:rPr>
              <w:t>Call options</w:t>
            </w: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b w:val="1"/>
                <w:bCs w:val="1"/>
                <w:color w:val="auto"/>
              </w:rPr>
              <w:t>245.0</w:t>
            </w: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1</w:t>
            </w: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189.8</w:t>
            </w:r>
          </w:p>
        </w:tc>
        <w:tc>
          <w:tcPr>
            <w:tcW w:w="26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Currency forwards</w:t>
            </w: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221.5</w:t>
            </w: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w:t>
            </w:r>
          </w:p>
        </w:tc>
        <w:tc>
          <w:tcPr>
            <w:tcW w:w="2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566.6</w:t>
            </w:r>
          </w:p>
        </w:tc>
        <w:tc>
          <w:tcPr>
            <w:tcW w:w="26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2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4920" w:type="dxa"/>
            <w:vAlign w:val="bottom"/>
          </w:tcPr>
          <w:p>
            <w:pPr>
              <w:spacing w:after="0"/>
              <w:rPr>
                <w:sz w:val="20"/>
                <w:szCs w:val="20"/>
                <w:color w:val="auto"/>
              </w:rPr>
            </w:pPr>
            <w:r>
              <w:rPr>
                <w:rFonts w:ascii="Arial" w:cs="Arial" w:eastAsia="Arial" w:hAnsi="Arial"/>
                <w:sz w:val="18"/>
                <w:szCs w:val="18"/>
                <w:color w:val="auto"/>
              </w:rPr>
              <w:t>Interest rate lock commitments</w:t>
            </w: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b w:val="1"/>
                <w:bCs w:val="1"/>
                <w:color w:val="auto"/>
              </w:rPr>
              <w:t>116.0</w:t>
            </w: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1</w:t>
            </w: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392.3</w:t>
            </w:r>
          </w:p>
        </w:tc>
        <w:tc>
          <w:tcPr>
            <w:tcW w:w="26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Total return swaps</w:t>
            </w: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100.0</w:t>
            </w: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w:t>
            </w:r>
          </w:p>
        </w:tc>
        <w:tc>
          <w:tcPr>
            <w:tcW w:w="2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26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4920" w:type="dxa"/>
            <w:vAlign w:val="bottom"/>
          </w:tcPr>
          <w:p>
            <w:pPr>
              <w:spacing w:after="0"/>
              <w:rPr>
                <w:sz w:val="20"/>
                <w:szCs w:val="20"/>
                <w:color w:val="auto"/>
              </w:rPr>
            </w:pPr>
            <w:r>
              <w:rPr>
                <w:rFonts w:ascii="Arial" w:cs="Arial" w:eastAsia="Arial" w:hAnsi="Arial"/>
                <w:sz w:val="18"/>
                <w:szCs w:val="18"/>
                <w:color w:val="auto"/>
              </w:rPr>
              <w:t>Bond options</w:t>
            </w: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b w:val="1"/>
                <w:bCs w:val="1"/>
                <w:color w:val="auto"/>
              </w:rPr>
              <w:t>38.5</w:t>
            </w: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00" w:type="dxa"/>
            <w:vAlign w:val="bottom"/>
            <w:gridSpan w:val="2"/>
          </w:tcPr>
          <w:p>
            <w:pPr>
              <w:jc w:val="right"/>
              <w:ind w:right="19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38.5</w:t>
            </w:r>
          </w:p>
        </w:tc>
        <w:tc>
          <w:tcPr>
            <w:tcW w:w="260" w:type="dxa"/>
            <w:vAlign w:val="bottom"/>
          </w:tcPr>
          <w:p>
            <w:pPr>
              <w:spacing w:after="0"/>
              <w:rPr>
                <w:sz w:val="18"/>
                <w:szCs w:val="18"/>
                <w:color w:val="auto"/>
              </w:rPr>
            </w:pPr>
          </w:p>
        </w:tc>
        <w:tc>
          <w:tcPr>
            <w:tcW w:w="156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r>
      <w:tr>
        <w:trPr>
          <w:trHeight w:val="216"/>
        </w:trPr>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Futures</w:t>
            </w: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35.3</w:t>
            </w: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58.9</w:t>
            </w:r>
          </w:p>
        </w:tc>
        <w:tc>
          <w:tcPr>
            <w:tcW w:w="26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r>
      <w:tr>
        <w:trPr>
          <w:trHeight w:val="216"/>
        </w:trPr>
        <w:tc>
          <w:tcPr>
            <w:tcW w:w="4920" w:type="dxa"/>
            <w:vAlign w:val="bottom"/>
          </w:tcPr>
          <w:p>
            <w:pPr>
              <w:spacing w:after="0"/>
              <w:rPr>
                <w:sz w:val="20"/>
                <w:szCs w:val="20"/>
                <w:color w:val="auto"/>
              </w:rPr>
            </w:pPr>
            <w:r>
              <w:rPr>
                <w:rFonts w:ascii="Arial" w:cs="Arial" w:eastAsia="Arial" w:hAnsi="Arial"/>
                <w:sz w:val="18"/>
                <w:szCs w:val="18"/>
                <w:color w:val="auto"/>
              </w:rPr>
              <w:t>Mortgage-backed forwards and options</w:t>
            </w: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b w:val="1"/>
                <w:bCs w:val="1"/>
                <w:color w:val="auto"/>
              </w:rPr>
              <w:t>17.5</w:t>
            </w: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00" w:type="dxa"/>
            <w:vAlign w:val="bottom"/>
            <w:gridSpan w:val="2"/>
          </w:tcPr>
          <w:p>
            <w:pPr>
              <w:jc w:val="right"/>
              <w:ind w:right="190"/>
              <w:spacing w:after="0"/>
              <w:rPr>
                <w:sz w:val="20"/>
                <w:szCs w:val="20"/>
                <w:color w:val="auto"/>
              </w:rPr>
            </w:pPr>
            <w:r>
              <w:rPr>
                <w:rFonts w:ascii="Arial" w:cs="Arial" w:eastAsia="Arial" w:hAnsi="Arial"/>
                <w:sz w:val="18"/>
                <w:szCs w:val="18"/>
                <w:b w:val="1"/>
                <w:bCs w:val="1"/>
                <w:color w:val="auto"/>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39.3</w:t>
            </w:r>
          </w:p>
        </w:tc>
        <w:tc>
          <w:tcPr>
            <w:tcW w:w="260" w:type="dxa"/>
            <w:vAlign w:val="bottom"/>
          </w:tcPr>
          <w:p>
            <w:pPr>
              <w:spacing w:after="0"/>
              <w:rPr>
                <w:sz w:val="18"/>
                <w:szCs w:val="18"/>
                <w:color w:val="auto"/>
              </w:rPr>
            </w:pPr>
          </w:p>
        </w:tc>
        <w:tc>
          <w:tcPr>
            <w:tcW w:w="156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r>
      <w:tr>
        <w:trPr>
          <w:trHeight w:val="216"/>
        </w:trPr>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Put options</w:t>
            </w: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0.7</w:t>
            </w: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56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r>
      <w:tr>
        <w:trPr>
          <w:trHeight w:val="223"/>
        </w:trPr>
        <w:tc>
          <w:tcPr>
            <w:tcW w:w="4920" w:type="dxa"/>
            <w:vAlign w:val="bottom"/>
          </w:tcPr>
          <w:p>
            <w:pPr>
              <w:ind w:left="180"/>
              <w:spacing w:after="0"/>
              <w:rPr>
                <w:sz w:val="20"/>
                <w:szCs w:val="20"/>
                <w:color w:val="auto"/>
              </w:rPr>
            </w:pPr>
            <w:r>
              <w:rPr>
                <w:rFonts w:ascii="Arial" w:cs="Arial" w:eastAsia="Arial" w:hAnsi="Arial"/>
                <w:sz w:val="18"/>
                <w:szCs w:val="18"/>
                <w:color w:val="auto"/>
              </w:rPr>
              <w:t>Total</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19,642.4</w:t>
            </w:r>
          </w:p>
        </w:tc>
        <w:tc>
          <w:tcPr>
            <w:tcW w:w="280" w:type="dxa"/>
            <w:vAlign w:val="bottom"/>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100</w:t>
            </w:r>
          </w:p>
        </w:tc>
        <w:tc>
          <w:tcPr>
            <w:tcW w:w="260" w:type="dxa"/>
            <w:vAlign w:val="bottom"/>
          </w:tcPr>
          <w:p>
            <w:pPr>
              <w:jc w:val="right"/>
              <w:spacing w:after="0"/>
              <w:rPr>
                <w:sz w:val="20"/>
                <w:szCs w:val="20"/>
                <w:color w:val="auto"/>
              </w:rPr>
            </w:pPr>
            <w:r>
              <w:rPr>
                <w:rFonts w:ascii="Arial" w:cs="Arial" w:eastAsia="Arial" w:hAnsi="Arial"/>
                <w:sz w:val="18"/>
                <w:szCs w:val="18"/>
                <w:b w:val="1"/>
                <w:bCs w:val="1"/>
                <w:color w:val="auto"/>
                <w:w w:val="99"/>
              </w:rPr>
              <w:t>%</w:t>
            </w:r>
          </w:p>
        </w:tc>
        <w:tc>
          <w:tcPr>
            <w:tcW w:w="6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16,952.8</w:t>
            </w:r>
          </w:p>
        </w:tc>
        <w:tc>
          <w:tcPr>
            <w:tcW w:w="260" w:type="dxa"/>
            <w:vAlign w:val="bottom"/>
          </w:tcPr>
          <w:p>
            <w:pPr>
              <w:spacing w:after="0"/>
              <w:rPr>
                <w:sz w:val="19"/>
                <w:szCs w:val="19"/>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200" w:type="dxa"/>
            <w:vAlign w:val="bottom"/>
          </w:tcPr>
          <w:p>
            <w:pPr>
              <w:jc w:val="right"/>
              <w:spacing w:after="0"/>
              <w:rPr>
                <w:sz w:val="20"/>
                <w:szCs w:val="20"/>
                <w:color w:val="auto"/>
              </w:rPr>
            </w:pPr>
            <w:r>
              <w:rPr>
                <w:rFonts w:ascii="Arial" w:cs="Arial" w:eastAsia="Arial" w:hAnsi="Arial"/>
                <w:sz w:val="18"/>
                <w:szCs w:val="18"/>
                <w:color w:val="auto"/>
                <w:w w:val="74"/>
              </w:rPr>
              <w:t>%</w:t>
            </w:r>
          </w:p>
        </w:tc>
        <w:tc>
          <w:tcPr>
            <w:tcW w:w="40" w:type="dxa"/>
            <w:vAlign w:val="bottom"/>
          </w:tcPr>
          <w:p>
            <w:pPr>
              <w:spacing w:after="0"/>
              <w:rPr>
                <w:sz w:val="19"/>
                <w:szCs w:val="19"/>
                <w:color w:val="auto"/>
              </w:rPr>
            </w:pPr>
          </w:p>
        </w:tc>
      </w:tr>
      <w:tr>
        <w:trPr>
          <w:trHeight w:val="20"/>
        </w:trPr>
        <w:tc>
          <w:tcPr>
            <w:tcW w:w="49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683"/>
        </w:trPr>
        <w:tc>
          <w:tcPr>
            <w:tcW w:w="4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jc w:val="right"/>
              <w:ind w:right="412"/>
              <w:spacing w:after="0"/>
              <w:rPr>
                <w:sz w:val="20"/>
                <w:szCs w:val="20"/>
                <w:color w:val="auto"/>
              </w:rPr>
            </w:pPr>
            <w:r>
              <w:rPr>
                <w:rFonts w:ascii="Arial" w:cs="Arial" w:eastAsia="Arial" w:hAnsi="Arial"/>
                <w:sz w:val="18"/>
                <w:szCs w:val="18"/>
                <w:color w:val="auto"/>
              </w:rPr>
              <w:t>85</w:t>
            </w: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75"/>
        </w:trPr>
        <w:tc>
          <w:tcPr>
            <w:tcW w:w="492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26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300" w:type="dxa"/>
            <w:vAlign w:val="bottom"/>
            <w:tcBorders>
              <w:bottom w:val="single" w:sz="8" w:color="010101"/>
            </w:tcBorders>
          </w:tcPr>
          <w:p>
            <w:pPr>
              <w:spacing w:after="0"/>
              <w:rPr>
                <w:sz w:val="24"/>
                <w:szCs w:val="24"/>
                <w:color w:val="auto"/>
              </w:rPr>
            </w:pPr>
          </w:p>
        </w:tc>
        <w:tc>
          <w:tcPr>
            <w:tcW w:w="104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24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136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Derivative Financial Instruments — Credit Exposures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0" w:type="dxa"/>
            <w:vAlign w:val="bottom"/>
            <w:gridSpan w:val="3"/>
          </w:tcPr>
          <w:p>
            <w:pPr>
              <w:ind w:left="740"/>
              <w:spacing w:after="0"/>
              <w:rPr>
                <w:sz w:val="20"/>
                <w:szCs w:val="20"/>
                <w:color w:val="auto"/>
              </w:rPr>
            </w:pPr>
            <w:r>
              <w:rPr>
                <w:rFonts w:ascii="Arial" w:cs="Arial" w:eastAsia="Arial" w:hAnsi="Arial"/>
                <w:sz w:val="14"/>
                <w:szCs w:val="14"/>
                <w:b w:val="1"/>
                <w:bCs w:val="1"/>
                <w:color w:val="auto"/>
                <w:w w:val="92"/>
              </w:rPr>
              <w:t>June 30, 2006</w:t>
            </w:r>
          </w:p>
        </w:tc>
        <w:tc>
          <w:tcPr>
            <w:tcW w:w="8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960" w:type="dxa"/>
            <w:vAlign w:val="bottom"/>
            <w:gridSpan w:val="4"/>
          </w:tcPr>
          <w:p>
            <w:pPr>
              <w:jc w:val="right"/>
              <w:ind w:right="1060"/>
              <w:spacing w:after="0"/>
              <w:rPr>
                <w:sz w:val="20"/>
                <w:szCs w:val="20"/>
                <w:color w:val="auto"/>
              </w:rPr>
            </w:pPr>
            <w:r>
              <w:rPr>
                <w:rFonts w:ascii="Arial" w:cs="Arial" w:eastAsia="Arial" w:hAnsi="Arial"/>
                <w:sz w:val="14"/>
                <w:szCs w:val="14"/>
                <w:b w:val="1"/>
                <w:bCs w:val="1"/>
                <w:color w:val="auto"/>
              </w:rPr>
              <w:t>December 31, 2005</w:t>
            </w:r>
          </w:p>
        </w:tc>
        <w:tc>
          <w:tcPr>
            <w:tcW w:w="0" w:type="dxa"/>
            <w:vAlign w:val="bottom"/>
          </w:tcPr>
          <w:p>
            <w:pPr>
              <w:spacing w:after="0"/>
              <w:rPr>
                <w:sz w:val="1"/>
                <w:szCs w:val="1"/>
                <w:color w:val="auto"/>
              </w:rPr>
            </w:pPr>
          </w:p>
        </w:tc>
      </w:tr>
      <w:tr>
        <w:trPr>
          <w:trHeight w:val="129"/>
        </w:trPr>
        <w:tc>
          <w:tcPr>
            <w:tcW w:w="5260" w:type="dxa"/>
            <w:vAlign w:val="bottom"/>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1600" w:type="dxa"/>
            <w:vAlign w:val="bottom"/>
            <w:tcBorders>
              <w:top w:val="single" w:sz="8" w:color="auto"/>
              <w:bottom w:val="single" w:sz="8" w:color="auto"/>
            </w:tcBorders>
            <w:gridSpan w:val="3"/>
          </w:tcPr>
          <w:p>
            <w:pPr>
              <w:spacing w:after="0" w:line="129" w:lineRule="exact"/>
              <w:rPr>
                <w:sz w:val="20"/>
                <w:szCs w:val="20"/>
                <w:color w:val="auto"/>
              </w:rPr>
            </w:pPr>
            <w:r>
              <w:rPr>
                <w:rFonts w:ascii="Arial" w:cs="Arial" w:eastAsia="Arial" w:hAnsi="Arial"/>
                <w:sz w:val="14"/>
                <w:szCs w:val="14"/>
                <w:b w:val="1"/>
                <w:bCs w:val="1"/>
                <w:color w:val="auto"/>
              </w:rPr>
              <w:t>Credit Exposure</w:t>
            </w:r>
          </w:p>
        </w:tc>
        <w:tc>
          <w:tcPr>
            <w:tcW w:w="860" w:type="dxa"/>
            <w:vAlign w:val="bottom"/>
            <w:tcBorders>
              <w:top w:val="single" w:sz="8" w:color="auto"/>
              <w:bottom w:val="single" w:sz="8" w:color="auto"/>
            </w:tcBorders>
          </w:tcPr>
          <w:p>
            <w:pPr>
              <w:jc w:val="right"/>
              <w:ind w:right="114"/>
              <w:spacing w:after="0" w:line="129" w:lineRule="exact"/>
              <w:rPr>
                <w:sz w:val="20"/>
                <w:szCs w:val="20"/>
                <w:color w:val="auto"/>
              </w:rPr>
            </w:pPr>
            <w:r>
              <w:rPr>
                <w:rFonts w:ascii="Arial" w:cs="Arial" w:eastAsia="Arial" w:hAnsi="Arial"/>
                <w:sz w:val="14"/>
                <w:szCs w:val="14"/>
                <w:b w:val="1"/>
                <w:bCs w:val="1"/>
                <w:color w:val="auto"/>
                <w:w w:val="95"/>
              </w:rPr>
              <w:t>% of Total</w:t>
            </w:r>
          </w:p>
        </w:tc>
        <w:tc>
          <w:tcPr>
            <w:tcW w:w="34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1460" w:type="dxa"/>
            <w:vAlign w:val="bottom"/>
            <w:tcBorders>
              <w:top w:val="single" w:sz="8" w:color="auto"/>
              <w:bottom w:val="single" w:sz="8" w:color="auto"/>
            </w:tcBorders>
            <w:gridSpan w:val="2"/>
          </w:tcPr>
          <w:p>
            <w:pPr>
              <w:jc w:val="right"/>
              <w:ind w:right="420"/>
              <w:spacing w:after="0" w:line="129" w:lineRule="exact"/>
              <w:rPr>
                <w:sz w:val="20"/>
                <w:szCs w:val="20"/>
                <w:color w:val="auto"/>
              </w:rPr>
            </w:pPr>
            <w:r>
              <w:rPr>
                <w:rFonts w:ascii="Arial" w:cs="Arial" w:eastAsia="Arial" w:hAnsi="Arial"/>
                <w:sz w:val="14"/>
                <w:szCs w:val="14"/>
                <w:b w:val="1"/>
                <w:bCs w:val="1"/>
                <w:color w:val="auto"/>
                <w:w w:val="94"/>
              </w:rPr>
              <w:t>Credit Exposure</w:t>
            </w:r>
          </w:p>
        </w:tc>
        <w:tc>
          <w:tcPr>
            <w:tcW w:w="1300" w:type="dxa"/>
            <w:vAlign w:val="bottom"/>
            <w:tcBorders>
              <w:top w:val="single" w:sz="8" w:color="auto"/>
              <w:bottom w:val="single" w:sz="8" w:color="auto"/>
            </w:tcBorders>
          </w:tcPr>
          <w:p>
            <w:pPr>
              <w:jc w:val="right"/>
              <w:ind w:right="252"/>
              <w:spacing w:after="0" w:line="129" w:lineRule="exact"/>
              <w:rPr>
                <w:sz w:val="20"/>
                <w:szCs w:val="20"/>
                <w:color w:val="auto"/>
              </w:rPr>
            </w:pPr>
            <w:r>
              <w:rPr>
                <w:rFonts w:ascii="Arial" w:cs="Arial" w:eastAsia="Arial" w:hAnsi="Arial"/>
                <w:sz w:val="14"/>
                <w:szCs w:val="14"/>
                <w:b w:val="1"/>
                <w:bCs w:val="1"/>
                <w:color w:val="auto"/>
              </w:rPr>
              <w:t>% of Total</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5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940" w:type="dxa"/>
            <w:vAlign w:val="bottom"/>
            <w:gridSpan w:val="6"/>
          </w:tcPr>
          <w:p>
            <w:pPr>
              <w:jc w:val="right"/>
              <w:ind w:right="1260"/>
              <w:spacing w:after="0" w:line="129" w:lineRule="exact"/>
              <w:rPr>
                <w:sz w:val="20"/>
                <w:szCs w:val="20"/>
                <w:color w:val="auto"/>
              </w:rPr>
            </w:pPr>
            <w:r>
              <w:rPr>
                <w:rFonts w:ascii="Arial" w:cs="Arial" w:eastAsia="Arial" w:hAnsi="Arial"/>
                <w:sz w:val="14"/>
                <w:szCs w:val="14"/>
                <w:b w:val="1"/>
                <w:bCs w:val="1"/>
                <w:color w:val="auto"/>
              </w:rPr>
              <w:t>($ in millions)</w:t>
            </w:r>
          </w:p>
        </w:tc>
        <w:tc>
          <w:tcPr>
            <w:tcW w:w="1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260" w:type="dxa"/>
            <w:vAlign w:val="bottom"/>
            <w:shd w:val="clear" w:color="auto" w:fill="CCEEFF"/>
          </w:tcPr>
          <w:p>
            <w:pPr>
              <w:spacing w:after="0"/>
              <w:rPr>
                <w:sz w:val="20"/>
                <w:szCs w:val="20"/>
                <w:color w:val="auto"/>
              </w:rPr>
            </w:pPr>
            <w:r>
              <w:rPr>
                <w:rFonts w:ascii="Arial" w:cs="Arial" w:eastAsia="Arial" w:hAnsi="Arial"/>
                <w:sz w:val="18"/>
                <w:szCs w:val="18"/>
                <w:color w:val="auto"/>
              </w:rPr>
              <w:t>Foreign currency swaps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449.0</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61%</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339.6</w:t>
            </w:r>
          </w:p>
        </w:tc>
        <w:tc>
          <w:tcPr>
            <w:tcW w:w="26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Arial" w:cs="Arial" w:eastAsia="Arial" w:hAnsi="Arial"/>
                <w:sz w:val="18"/>
                <w:szCs w:val="18"/>
                <w:color w:val="auto"/>
              </w:rPr>
              <w:t>Interest rate swaps</w:t>
            </w:r>
          </w:p>
        </w:tc>
        <w:tc>
          <w:tcPr>
            <w:tcW w:w="12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242.3</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33</w:t>
            </w: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89.3</w:t>
            </w:r>
          </w:p>
        </w:tc>
        <w:tc>
          <w:tcPr>
            <w:tcW w:w="2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19</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shd w:val="clear" w:color="auto" w:fill="CCEEFF"/>
          </w:tcPr>
          <w:p>
            <w:pPr>
              <w:spacing w:after="0"/>
              <w:rPr>
                <w:sz w:val="20"/>
                <w:szCs w:val="20"/>
                <w:color w:val="auto"/>
              </w:rPr>
            </w:pPr>
            <w:r>
              <w:rPr>
                <w:rFonts w:ascii="Arial" w:cs="Arial" w:eastAsia="Arial" w:hAnsi="Arial"/>
                <w:sz w:val="18"/>
                <w:szCs w:val="18"/>
                <w:color w:val="auto"/>
              </w:rPr>
              <w:t>Call options</w:t>
            </w:r>
          </w:p>
        </w:tc>
        <w:tc>
          <w:tcPr>
            <w:tcW w:w="12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21.7</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w:t>
            </w: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w:t>
            </w:r>
          </w:p>
        </w:tc>
        <w:tc>
          <w:tcPr>
            <w:tcW w:w="2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tcPr>
          <w:p>
            <w:pPr>
              <w:spacing w:after="0"/>
              <w:rPr>
                <w:sz w:val="20"/>
                <w:szCs w:val="20"/>
                <w:color w:val="auto"/>
              </w:rPr>
            </w:pPr>
            <w:r>
              <w:rPr>
                <w:rFonts w:ascii="Arial" w:cs="Arial" w:eastAsia="Arial" w:hAnsi="Arial"/>
                <w:sz w:val="18"/>
                <w:szCs w:val="18"/>
                <w:color w:val="auto"/>
              </w:rPr>
              <w:t>Credit default swaps</w:t>
            </w:r>
          </w:p>
        </w:tc>
        <w:tc>
          <w:tcPr>
            <w:tcW w:w="12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15.0</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2</w:t>
            </w: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14.0</w:t>
            </w:r>
          </w:p>
        </w:tc>
        <w:tc>
          <w:tcPr>
            <w:tcW w:w="2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shd w:val="clear" w:color="auto" w:fill="CCEEFF"/>
          </w:tcPr>
          <w:p>
            <w:pPr>
              <w:spacing w:after="0"/>
              <w:rPr>
                <w:sz w:val="20"/>
                <w:szCs w:val="20"/>
                <w:color w:val="auto"/>
              </w:rPr>
            </w:pPr>
            <w:r>
              <w:rPr>
                <w:rFonts w:ascii="Arial" w:cs="Arial" w:eastAsia="Arial" w:hAnsi="Arial"/>
                <w:sz w:val="18"/>
                <w:szCs w:val="18"/>
                <w:color w:val="auto"/>
              </w:rPr>
              <w:t>Currency forwards</w:t>
            </w:r>
          </w:p>
        </w:tc>
        <w:tc>
          <w:tcPr>
            <w:tcW w:w="12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8.6</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w:t>
            </w: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2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Bond options</w:t>
            </w:r>
          </w:p>
        </w:tc>
        <w:tc>
          <w:tcPr>
            <w:tcW w:w="12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0.6</w:t>
            </w:r>
          </w:p>
        </w:tc>
        <w:tc>
          <w:tcPr>
            <w:tcW w:w="28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34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0.6</w:t>
            </w:r>
          </w:p>
        </w:tc>
        <w:tc>
          <w:tcPr>
            <w:tcW w:w="260" w:type="dxa"/>
            <w:vAlign w:val="bottom"/>
            <w:tcBorders>
              <w:bottom w:val="single" w:sz="8" w:color="CCEEFF"/>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credit exposure</w:t>
            </w:r>
          </w:p>
        </w:tc>
        <w:tc>
          <w:tcPr>
            <w:tcW w:w="12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737.2</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100%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472.9</w:t>
            </w:r>
          </w:p>
        </w:tc>
        <w:tc>
          <w:tcPr>
            <w:tcW w:w="26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0"/>
        </w:trPr>
        <w:tc>
          <w:tcPr>
            <w:tcW w:w="526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Less: Collateral received</w:t>
            </w:r>
          </w:p>
        </w:tc>
        <w:tc>
          <w:tcPr>
            <w:tcW w:w="120" w:type="dxa"/>
            <w:vAlign w:val="bottom"/>
            <w:tcBorders>
              <w:top w:val="single" w:sz="8" w:color="CCEEFF"/>
            </w:tcBorders>
          </w:tcPr>
          <w:p>
            <w:pPr>
              <w:spacing w:after="0" w:line="20" w:lineRule="exact"/>
              <w:rPr>
                <w:sz w:val="1"/>
                <w:szCs w:val="1"/>
                <w:color w:val="auto"/>
              </w:rPr>
            </w:pPr>
          </w:p>
        </w:tc>
        <w:tc>
          <w:tcPr>
            <w:tcW w:w="1440" w:type="dxa"/>
            <w:vAlign w:val="bottom"/>
            <w:tcBorders>
              <w:top w:val="single" w:sz="8" w:color="CCEEFF"/>
              <w:bottom w:val="single" w:sz="8" w:color="CCEEFF"/>
            </w:tcBorders>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(128.5)</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60" w:type="dxa"/>
            <w:vAlign w:val="bottom"/>
            <w:tcBorders>
              <w:top w:val="single" w:sz="8" w:color="CCEEFF"/>
              <w:bottom w:val="single" w:sz="8" w:color="CCEEFF"/>
            </w:tcBorders>
            <w:gridSpan w:val="2"/>
            <w:vMerge w:val="restart"/>
          </w:tcPr>
          <w:p>
            <w:pPr>
              <w:jc w:val="right"/>
              <w:ind w:right="200"/>
              <w:spacing w:after="0"/>
              <w:rPr>
                <w:sz w:val="20"/>
                <w:szCs w:val="20"/>
                <w:color w:val="auto"/>
              </w:rPr>
            </w:pPr>
            <w:r>
              <w:rPr>
                <w:rFonts w:ascii="Arial" w:cs="Arial" w:eastAsia="Arial" w:hAnsi="Arial"/>
                <w:sz w:val="18"/>
                <w:szCs w:val="18"/>
                <w:color w:val="auto"/>
              </w:rPr>
              <w:t>(97.6)</w:t>
            </w:r>
          </w:p>
        </w:tc>
        <w:tc>
          <w:tcPr>
            <w:tcW w:w="1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526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44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60" w:type="dxa"/>
            <w:vAlign w:val="bottom"/>
            <w:gridSpan w:val="2"/>
            <w:vMerge w:val="continue"/>
          </w:tcPr>
          <w:p>
            <w:pPr>
              <w:spacing w:after="0"/>
              <w:rPr>
                <w:sz w:val="14"/>
                <w:szCs w:val="14"/>
                <w:color w:val="auto"/>
              </w:rPr>
            </w:pPr>
          </w:p>
        </w:tc>
        <w:tc>
          <w:tcPr>
            <w:tcW w:w="1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26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608.7</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860" w:type="dxa"/>
            <w:vAlign w:val="bottom"/>
            <w:tcBorders>
              <w:top w:val="single" w:sz="8" w:color="CCEEFF"/>
              <w:bottom w:val="single" w:sz="8" w:color="CCEEFF"/>
            </w:tcBorders>
            <w:shd w:val="clear" w:color="auto" w:fill="CCEEFF"/>
          </w:tcPr>
          <w:p>
            <w:pPr>
              <w:spacing w:after="0"/>
              <w:rPr>
                <w:sz w:val="18"/>
                <w:szCs w:val="18"/>
                <w:color w:val="auto"/>
              </w:rPr>
            </w:pPr>
          </w:p>
        </w:tc>
        <w:tc>
          <w:tcPr>
            <w:tcW w:w="34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375.3</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130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2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The following table shows the interest rate sensitivity of our derivatives measured in terms of fair value. These exposures will change as a result of ongoing portfolio and risk management activities.</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tcPr>
          <w:p>
            <w:pPr>
              <w:spacing w:after="0"/>
              <w:rPr>
                <w:sz w:val="14"/>
                <w:szCs w:val="14"/>
                <w:color w:val="auto"/>
              </w:rPr>
            </w:pPr>
          </w:p>
        </w:tc>
        <w:tc>
          <w:tcPr>
            <w:tcW w:w="19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June 30, 2006</w:t>
            </w:r>
          </w:p>
        </w:tc>
        <w:tc>
          <w:tcPr>
            <w:tcW w:w="48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540" w:type="dxa"/>
            <w:vAlign w:val="bottom"/>
          </w:tcPr>
          <w:p>
            <w:pPr>
              <w:spacing w:after="0"/>
              <w:rPr>
                <w:sz w:val="11"/>
                <w:szCs w:val="11"/>
                <w:color w:val="auto"/>
              </w:rPr>
            </w:pPr>
          </w:p>
        </w:tc>
        <w:tc>
          <w:tcPr>
            <w:tcW w:w="1920" w:type="dxa"/>
            <w:vAlign w:val="bottom"/>
            <w:vMerge w:val="restart"/>
          </w:tcPr>
          <w:p>
            <w:pPr>
              <w:jc w:val="center"/>
              <w:ind w:right="282"/>
              <w:spacing w:after="0"/>
              <w:rPr>
                <w:sz w:val="20"/>
                <w:szCs w:val="20"/>
                <w:color w:val="auto"/>
              </w:rPr>
            </w:pPr>
            <w:r>
              <w:rPr>
                <w:rFonts w:ascii="Arial" w:cs="Arial" w:eastAsia="Arial" w:hAnsi="Arial"/>
                <w:sz w:val="14"/>
                <w:szCs w:val="14"/>
                <w:b w:val="1"/>
                <w:bCs w:val="1"/>
                <w:color w:val="auto"/>
                <w:w w:val="91"/>
              </w:rPr>
              <w:t>Weighted Average</w:t>
            </w:r>
          </w:p>
        </w:tc>
        <w:tc>
          <w:tcPr>
            <w:tcW w:w="100" w:type="dxa"/>
            <w:vAlign w:val="bottom"/>
            <w:tcBorders>
              <w:bottom w:val="single" w:sz="8" w:color="auto"/>
            </w:tcBorders>
          </w:tcPr>
          <w:p>
            <w:pPr>
              <w:spacing w:after="0"/>
              <w:rPr>
                <w:sz w:val="11"/>
                <w:szCs w:val="11"/>
                <w:color w:val="auto"/>
              </w:rPr>
            </w:pPr>
          </w:p>
        </w:tc>
        <w:tc>
          <w:tcPr>
            <w:tcW w:w="1220" w:type="dxa"/>
            <w:vAlign w:val="bottom"/>
            <w:tcBorders>
              <w:bottom w:val="single" w:sz="8" w:color="auto"/>
            </w:tcBorders>
          </w:tcPr>
          <w:p>
            <w:pPr>
              <w:spacing w:after="0"/>
              <w:rPr>
                <w:sz w:val="11"/>
                <w:szCs w:val="11"/>
                <w:color w:val="auto"/>
              </w:rPr>
            </w:pPr>
          </w:p>
        </w:tc>
        <w:tc>
          <w:tcPr>
            <w:tcW w:w="2100" w:type="dxa"/>
            <w:vAlign w:val="bottom"/>
            <w:tcBorders>
              <w:bottom w:val="single" w:sz="8" w:color="auto"/>
            </w:tcBorders>
            <w:gridSpan w:val="3"/>
          </w:tcPr>
          <w:p>
            <w:pPr>
              <w:jc w:val="right"/>
              <w:ind w:right="10"/>
              <w:spacing w:after="0" w:line="129" w:lineRule="exact"/>
              <w:rPr>
                <w:sz w:val="20"/>
                <w:szCs w:val="20"/>
                <w:color w:val="auto"/>
              </w:rPr>
            </w:pPr>
            <w:r>
              <w:rPr>
                <w:rFonts w:ascii="Arial" w:cs="Arial" w:eastAsia="Arial" w:hAnsi="Arial"/>
                <w:sz w:val="14"/>
                <w:szCs w:val="14"/>
                <w:b w:val="1"/>
                <w:bCs w:val="1"/>
                <w:color w:val="auto"/>
                <w:w w:val="94"/>
              </w:rPr>
              <w:t>Fair Value (no accrued interest)</w:t>
            </w:r>
          </w:p>
        </w:tc>
        <w:tc>
          <w:tcPr>
            <w:tcW w:w="130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540" w:type="dxa"/>
            <w:vAlign w:val="bottom"/>
            <w:vMerge w:val="restart"/>
          </w:tcPr>
          <w:p>
            <w:pPr>
              <w:jc w:val="right"/>
              <w:ind w:right="359"/>
              <w:spacing w:after="0"/>
              <w:rPr>
                <w:sz w:val="20"/>
                <w:szCs w:val="20"/>
                <w:color w:val="auto"/>
              </w:rPr>
            </w:pPr>
            <w:r>
              <w:rPr>
                <w:rFonts w:ascii="Arial" w:cs="Arial" w:eastAsia="Arial" w:hAnsi="Arial"/>
                <w:sz w:val="14"/>
                <w:szCs w:val="14"/>
                <w:b w:val="1"/>
                <w:bCs w:val="1"/>
                <w:color w:val="auto"/>
                <w:w w:val="95"/>
              </w:rPr>
              <w:t>Notional Amount</w:t>
            </w:r>
          </w:p>
        </w:tc>
        <w:tc>
          <w:tcPr>
            <w:tcW w:w="192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1220" w:type="dxa"/>
            <w:vAlign w:val="bottom"/>
          </w:tcPr>
          <w:p>
            <w:pPr>
              <w:ind w:left="40"/>
              <w:spacing w:after="0" w:line="102" w:lineRule="exact"/>
              <w:rPr>
                <w:sz w:val="20"/>
                <w:szCs w:val="20"/>
                <w:color w:val="auto"/>
              </w:rPr>
            </w:pPr>
            <w:r>
              <w:rPr>
                <w:rFonts w:ascii="Arial" w:cs="Arial" w:eastAsia="Arial" w:hAnsi="Arial"/>
                <w:sz w:val="11"/>
                <w:szCs w:val="11"/>
                <w:b w:val="1"/>
                <w:bCs w:val="1"/>
                <w:color w:val="auto"/>
              </w:rPr>
              <w:t>-100 Basis Point</w:t>
            </w:r>
          </w:p>
        </w:tc>
        <w:tc>
          <w:tcPr>
            <w:tcW w:w="480" w:type="dxa"/>
            <w:vAlign w:val="bottom"/>
          </w:tcPr>
          <w:p>
            <w:pPr>
              <w:spacing w:after="0"/>
              <w:rPr>
                <w:sz w:val="8"/>
                <w:szCs w:val="8"/>
                <w:color w:val="auto"/>
              </w:rPr>
            </w:pPr>
          </w:p>
        </w:tc>
        <w:tc>
          <w:tcPr>
            <w:tcW w:w="1340" w:type="dxa"/>
            <w:vAlign w:val="bottom"/>
            <w:vMerge w:val="restart"/>
          </w:tcPr>
          <w:p>
            <w:pPr>
              <w:jc w:val="right"/>
              <w:ind w:right="439"/>
              <w:spacing w:after="0"/>
              <w:rPr>
                <w:sz w:val="20"/>
                <w:szCs w:val="20"/>
                <w:color w:val="auto"/>
              </w:rPr>
            </w:pPr>
            <w:r>
              <w:rPr>
                <w:rFonts w:ascii="Arial" w:cs="Arial" w:eastAsia="Arial" w:hAnsi="Arial"/>
                <w:sz w:val="14"/>
                <w:szCs w:val="14"/>
                <w:b w:val="1"/>
                <w:bCs w:val="1"/>
                <w:color w:val="auto"/>
              </w:rPr>
              <w:t>No Change</w:t>
            </w:r>
          </w:p>
        </w:tc>
        <w:tc>
          <w:tcPr>
            <w:tcW w:w="280" w:type="dxa"/>
            <w:vAlign w:val="bottom"/>
          </w:tcPr>
          <w:p>
            <w:pPr>
              <w:spacing w:after="0"/>
              <w:rPr>
                <w:sz w:val="8"/>
                <w:szCs w:val="8"/>
                <w:color w:val="auto"/>
              </w:rPr>
            </w:pPr>
          </w:p>
        </w:tc>
        <w:tc>
          <w:tcPr>
            <w:tcW w:w="1300" w:type="dxa"/>
            <w:vAlign w:val="bottom"/>
          </w:tcPr>
          <w:p>
            <w:pPr>
              <w:jc w:val="center"/>
              <w:ind w:right="87"/>
              <w:spacing w:after="0" w:line="102" w:lineRule="exact"/>
              <w:rPr>
                <w:sz w:val="20"/>
                <w:szCs w:val="20"/>
                <w:color w:val="auto"/>
              </w:rPr>
            </w:pPr>
            <w:r>
              <w:rPr>
                <w:rFonts w:ascii="Arial" w:cs="Arial" w:eastAsia="Arial" w:hAnsi="Arial"/>
                <w:sz w:val="11"/>
                <w:szCs w:val="11"/>
                <w:b w:val="1"/>
                <w:bCs w:val="1"/>
                <w:color w:val="auto"/>
              </w:rPr>
              <w:t>+100 Basis Point</w:t>
            </w: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2"/>
        </w:trPr>
        <w:tc>
          <w:tcPr>
            <w:tcW w:w="2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40" w:type="dxa"/>
            <w:vAlign w:val="bottom"/>
            <w:vMerge w:val="continue"/>
          </w:tcPr>
          <w:p>
            <w:pPr>
              <w:spacing w:after="0"/>
              <w:rPr>
                <w:sz w:val="14"/>
                <w:szCs w:val="14"/>
                <w:color w:val="auto"/>
              </w:rPr>
            </w:pPr>
          </w:p>
        </w:tc>
        <w:tc>
          <w:tcPr>
            <w:tcW w:w="202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3"/>
              </w:rPr>
              <w:t>Term (Years)</w:t>
            </w:r>
          </w:p>
        </w:tc>
        <w:tc>
          <w:tcPr>
            <w:tcW w:w="1220" w:type="dxa"/>
            <w:vAlign w:val="bottom"/>
          </w:tcPr>
          <w:p>
            <w:pPr>
              <w:ind w:left="300"/>
              <w:spacing w:after="0"/>
              <w:rPr>
                <w:sz w:val="20"/>
                <w:szCs w:val="20"/>
                <w:color w:val="auto"/>
              </w:rPr>
            </w:pPr>
            <w:r>
              <w:rPr>
                <w:rFonts w:ascii="Arial" w:cs="Arial" w:eastAsia="Arial" w:hAnsi="Arial"/>
                <w:sz w:val="14"/>
                <w:szCs w:val="14"/>
                <w:b w:val="1"/>
                <w:bCs w:val="1"/>
                <w:color w:val="auto"/>
              </w:rPr>
              <w:t>Change</w:t>
            </w:r>
          </w:p>
        </w:tc>
        <w:tc>
          <w:tcPr>
            <w:tcW w:w="480" w:type="dxa"/>
            <w:vAlign w:val="bottom"/>
          </w:tcPr>
          <w:p>
            <w:pPr>
              <w:spacing w:after="0"/>
              <w:rPr>
                <w:sz w:val="14"/>
                <w:szCs w:val="14"/>
                <w:color w:val="auto"/>
              </w:rPr>
            </w:pPr>
          </w:p>
        </w:tc>
        <w:tc>
          <w:tcPr>
            <w:tcW w:w="1340" w:type="dxa"/>
            <w:vAlign w:val="bottom"/>
            <w:vMerge w:val="continue"/>
          </w:tcPr>
          <w:p>
            <w:pPr>
              <w:spacing w:after="0"/>
              <w:rPr>
                <w:sz w:val="14"/>
                <w:szCs w:val="14"/>
                <w:color w:val="auto"/>
              </w:rPr>
            </w:pPr>
          </w:p>
        </w:tc>
        <w:tc>
          <w:tcPr>
            <w:tcW w:w="280" w:type="dxa"/>
            <w:vAlign w:val="bottom"/>
          </w:tcPr>
          <w:p>
            <w:pPr>
              <w:spacing w:after="0"/>
              <w:rPr>
                <w:sz w:val="14"/>
                <w:szCs w:val="14"/>
                <w:color w:val="auto"/>
              </w:rPr>
            </w:pPr>
          </w:p>
        </w:tc>
        <w:tc>
          <w:tcPr>
            <w:tcW w:w="13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Change</w:t>
            </w:r>
          </w:p>
        </w:tc>
        <w:tc>
          <w:tcPr>
            <w:tcW w:w="0" w:type="dxa"/>
            <w:vAlign w:val="bottom"/>
          </w:tcPr>
          <w:p>
            <w:pPr>
              <w:spacing w:after="0"/>
              <w:rPr>
                <w:sz w:val="1"/>
                <w:szCs w:val="1"/>
                <w:color w:val="auto"/>
              </w:rPr>
            </w:pPr>
          </w:p>
        </w:tc>
      </w:tr>
      <w:tr>
        <w:trPr>
          <w:trHeight w:val="129"/>
        </w:trPr>
        <w:tc>
          <w:tcPr>
            <w:tcW w:w="2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540" w:type="dxa"/>
            <w:vAlign w:val="bottom"/>
            <w:tcBorders>
              <w:top w:val="single" w:sz="8" w:color="auto"/>
            </w:tcBorders>
          </w:tcPr>
          <w:p>
            <w:pPr>
              <w:spacing w:after="0"/>
              <w:rPr>
                <w:sz w:val="11"/>
                <w:szCs w:val="11"/>
                <w:color w:val="auto"/>
              </w:rPr>
            </w:pPr>
          </w:p>
        </w:tc>
        <w:tc>
          <w:tcPr>
            <w:tcW w:w="19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20" w:type="dxa"/>
            <w:vAlign w:val="bottom"/>
            <w:tcBorders>
              <w:top w:val="single" w:sz="8" w:color="auto"/>
            </w:tcBorders>
          </w:tcPr>
          <w:p>
            <w:pPr>
              <w:ind w:left="20"/>
              <w:spacing w:after="0" w:line="129" w:lineRule="exact"/>
              <w:rPr>
                <w:sz w:val="20"/>
                <w:szCs w:val="20"/>
                <w:color w:val="auto"/>
              </w:rPr>
            </w:pPr>
            <w:r>
              <w:rPr>
                <w:rFonts w:ascii="Arial" w:cs="Arial" w:eastAsia="Arial" w:hAnsi="Arial"/>
                <w:sz w:val="14"/>
                <w:szCs w:val="14"/>
                <w:b w:val="1"/>
                <w:bCs w:val="1"/>
                <w:color w:val="auto"/>
              </w:rPr>
              <w:t>($ in millions)</w:t>
            </w:r>
          </w:p>
        </w:tc>
        <w:tc>
          <w:tcPr>
            <w:tcW w:w="480" w:type="dxa"/>
            <w:vAlign w:val="bottom"/>
            <w:tcBorders>
              <w:top w:val="single" w:sz="8" w:color="auto"/>
            </w:tcBorders>
          </w:tcPr>
          <w:p>
            <w:pPr>
              <w:spacing w:after="0"/>
              <w:rPr>
                <w:sz w:val="11"/>
                <w:szCs w:val="11"/>
                <w:color w:val="auto"/>
              </w:rPr>
            </w:pPr>
          </w:p>
        </w:tc>
        <w:tc>
          <w:tcPr>
            <w:tcW w:w="134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30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180" w:type="dxa"/>
            <w:vAlign w:val="bottom"/>
            <w:shd w:val="clear" w:color="auto" w:fill="CCEEFF"/>
          </w:tcPr>
          <w:p>
            <w:pPr>
              <w:spacing w:after="0"/>
              <w:rPr>
                <w:sz w:val="20"/>
                <w:szCs w:val="20"/>
                <w:color w:val="auto"/>
              </w:rPr>
            </w:pPr>
            <w:r>
              <w:rPr>
                <w:rFonts w:ascii="Arial" w:cs="Arial" w:eastAsia="Arial" w:hAnsi="Arial"/>
                <w:sz w:val="18"/>
                <w:szCs w:val="18"/>
                <w:color w:val="auto"/>
              </w:rPr>
              <w:t>Interest rate swaps</w:t>
            </w: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1540" w:type="dxa"/>
            <w:vAlign w:val="bottom"/>
            <w:shd w:val="clear" w:color="auto" w:fill="CCEEFF"/>
          </w:tcPr>
          <w:p>
            <w:pPr>
              <w:jc w:val="right"/>
              <w:ind w:right="159"/>
              <w:spacing w:after="0"/>
              <w:rPr>
                <w:sz w:val="20"/>
                <w:szCs w:val="20"/>
                <w:color w:val="auto"/>
              </w:rPr>
            </w:pPr>
            <w:r>
              <w:rPr>
                <w:rFonts w:ascii="Arial" w:cs="Arial" w:eastAsia="Arial" w:hAnsi="Arial"/>
                <w:sz w:val="18"/>
                <w:szCs w:val="18"/>
                <w:b w:val="1"/>
                <w:bCs w:val="1"/>
                <w:color w:val="auto"/>
              </w:rPr>
              <w:t>10,631.6</w:t>
            </w:r>
          </w:p>
        </w:tc>
        <w:tc>
          <w:tcPr>
            <w:tcW w:w="20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5.99(1)  $</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4.4</w:t>
            </w:r>
          </w:p>
        </w:tc>
        <w:tc>
          <w:tcPr>
            <w:tcW w:w="480" w:type="dxa"/>
            <w:vAlign w:val="bottom"/>
            <w:shd w:val="clear" w:color="auto" w:fill="CCEEFF"/>
          </w:tcPr>
          <w:p>
            <w:pPr>
              <w:jc w:val="right"/>
              <w:ind w:right="79"/>
              <w:spacing w:after="0"/>
              <w:rPr>
                <w:sz w:val="20"/>
                <w:szCs w:val="20"/>
                <w:color w:val="auto"/>
              </w:rPr>
            </w:pPr>
            <w:r>
              <w:rPr>
                <w:rFonts w:ascii="Arial" w:cs="Arial" w:eastAsia="Arial" w:hAnsi="Arial"/>
                <w:sz w:val="18"/>
                <w:szCs w:val="18"/>
                <w:b w:val="1"/>
                <w:bCs w:val="1"/>
                <w:color w:val="auto"/>
              </w:rPr>
              <w:t>$</w:t>
            </w:r>
          </w:p>
        </w:tc>
        <w:tc>
          <w:tcPr>
            <w:tcW w:w="1340" w:type="dxa"/>
            <w:vAlign w:val="bottom"/>
            <w:shd w:val="clear" w:color="auto" w:fill="CCEEFF"/>
          </w:tcPr>
          <w:p>
            <w:pPr>
              <w:jc w:val="right"/>
              <w:ind w:right="59"/>
              <w:spacing w:after="0"/>
              <w:rPr>
                <w:sz w:val="20"/>
                <w:szCs w:val="20"/>
                <w:color w:val="auto"/>
              </w:rPr>
            </w:pPr>
            <w:r>
              <w:rPr>
                <w:rFonts w:ascii="Arial" w:cs="Arial" w:eastAsia="Arial" w:hAnsi="Arial"/>
                <w:sz w:val="18"/>
                <w:szCs w:val="18"/>
                <w:b w:val="1"/>
                <w:bCs w:val="1"/>
                <w:color w:val="auto"/>
              </w:rPr>
              <w:t>203.3</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376.5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40" w:top="1080" w:right="199" w:bottom="0" w:gutter="0" w:footer="0" w:header="0"/>
        </w:sectPr>
      </w:pPr>
    </w:p>
    <w:bookmarkStart w:id="60" w:name="page61"/>
    <w:bookmarkEnd w:id="6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000" w:type="dxa"/>
            <w:vAlign w:val="bottom"/>
          </w:tcPr>
          <w:p>
            <w:pPr>
              <w:spacing w:after="0"/>
              <w:rPr>
                <w:sz w:val="20"/>
                <w:szCs w:val="20"/>
                <w:color w:val="auto"/>
              </w:rPr>
            </w:pPr>
            <w:r>
              <w:rPr>
                <w:rFonts w:ascii="Arial" w:cs="Arial" w:eastAsia="Arial" w:hAnsi="Arial"/>
                <w:sz w:val="18"/>
                <w:szCs w:val="18"/>
                <w:color w:val="auto"/>
              </w:rPr>
              <w:t>Mortgage-backed forwards and</w:t>
            </w:r>
          </w:p>
        </w:tc>
        <w:tc>
          <w:tcPr>
            <w:tcW w:w="480" w:type="dxa"/>
            <w:vAlign w:val="bottom"/>
          </w:tcPr>
          <w:p>
            <w:pPr>
              <w:spacing w:after="0"/>
              <w:rPr>
                <w:sz w:val="18"/>
                <w:szCs w:val="18"/>
                <w:color w:val="auto"/>
              </w:rPr>
            </w:pPr>
          </w:p>
        </w:tc>
        <w:tc>
          <w:tcPr>
            <w:tcW w:w="10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17.5</w:t>
            </w:r>
          </w:p>
        </w:tc>
        <w:tc>
          <w:tcPr>
            <w:tcW w:w="2140" w:type="dxa"/>
            <w:vAlign w:val="bottom"/>
            <w:vMerge w:val="restart"/>
          </w:tcPr>
          <w:p>
            <w:pPr>
              <w:jc w:val="right"/>
              <w:ind w:right="110"/>
              <w:spacing w:after="0"/>
              <w:rPr>
                <w:sz w:val="20"/>
                <w:szCs w:val="20"/>
                <w:color w:val="auto"/>
              </w:rPr>
            </w:pPr>
            <w:r>
              <w:rPr>
                <w:rFonts w:ascii="Arial" w:cs="Arial" w:eastAsia="Arial" w:hAnsi="Arial"/>
                <w:sz w:val="18"/>
                <w:szCs w:val="18"/>
                <w:b w:val="1"/>
                <w:bCs w:val="1"/>
                <w:color w:val="auto"/>
              </w:rPr>
              <w:t>.04(4)</w:t>
            </w:r>
          </w:p>
        </w:tc>
        <w:tc>
          <w:tcPr>
            <w:tcW w:w="500" w:type="dxa"/>
            <w:vAlign w:val="bottom"/>
          </w:tcPr>
          <w:p>
            <w:pPr>
              <w:spacing w:after="0"/>
              <w:rPr>
                <w:sz w:val="18"/>
                <w:szCs w:val="18"/>
                <w:color w:val="auto"/>
              </w:rPr>
            </w:pPr>
          </w:p>
        </w:tc>
        <w:tc>
          <w:tcPr>
            <w:tcW w:w="1620" w:type="dxa"/>
            <w:vAlign w:val="bottom"/>
            <w:gridSpan w:val="3"/>
            <w:vMerge w:val="restart"/>
          </w:tcPr>
          <w:p>
            <w:pPr>
              <w:jc w:val="right"/>
              <w:ind w:right="765"/>
              <w:spacing w:after="0"/>
              <w:rPr>
                <w:sz w:val="20"/>
                <w:szCs w:val="20"/>
                <w:color w:val="auto"/>
              </w:rPr>
            </w:pPr>
            <w:r>
              <w:rPr>
                <w:rFonts w:ascii="Arial" w:cs="Arial" w:eastAsia="Arial" w:hAnsi="Arial"/>
                <w:sz w:val="18"/>
                <w:szCs w:val="18"/>
                <w:b w:val="1"/>
                <w:bCs w:val="1"/>
                <w:color w:val="auto"/>
              </w:rPr>
              <w:t>—</w:t>
            </w:r>
          </w:p>
        </w:tc>
        <w:tc>
          <w:tcPr>
            <w:tcW w:w="1040" w:type="dxa"/>
            <w:vAlign w:val="bottom"/>
            <w:gridSpan w:val="2"/>
            <w:vMerge w:val="restart"/>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6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30"/>
        </w:trPr>
        <w:tc>
          <w:tcPr>
            <w:tcW w:w="3000" w:type="dxa"/>
            <w:vAlign w:val="bottom"/>
          </w:tcPr>
          <w:p>
            <w:pPr>
              <w:ind w:left="180"/>
              <w:spacing w:after="0"/>
              <w:rPr>
                <w:sz w:val="20"/>
                <w:szCs w:val="20"/>
                <w:color w:val="auto"/>
              </w:rPr>
            </w:pPr>
            <w:r>
              <w:rPr>
                <w:rFonts w:ascii="Arial" w:cs="Arial" w:eastAsia="Arial" w:hAnsi="Arial"/>
                <w:sz w:val="18"/>
                <w:szCs w:val="18"/>
                <w:color w:val="auto"/>
              </w:rPr>
              <w:t>options</w:t>
            </w:r>
          </w:p>
        </w:tc>
        <w:tc>
          <w:tcPr>
            <w:tcW w:w="480" w:type="dxa"/>
            <w:vAlign w:val="bottom"/>
          </w:tcPr>
          <w:p>
            <w:pPr>
              <w:spacing w:after="0"/>
              <w:rPr>
                <w:sz w:val="20"/>
                <w:szCs w:val="20"/>
                <w:color w:val="auto"/>
              </w:rPr>
            </w:pPr>
          </w:p>
        </w:tc>
        <w:tc>
          <w:tcPr>
            <w:tcW w:w="1000" w:type="dxa"/>
            <w:vAlign w:val="bottom"/>
            <w:vMerge w:val="continue"/>
          </w:tcPr>
          <w:p>
            <w:pPr>
              <w:spacing w:after="0"/>
              <w:rPr>
                <w:sz w:val="20"/>
                <w:szCs w:val="20"/>
                <w:color w:val="auto"/>
              </w:rPr>
            </w:pPr>
          </w:p>
        </w:tc>
        <w:tc>
          <w:tcPr>
            <w:tcW w:w="2140" w:type="dxa"/>
            <w:vAlign w:val="bottom"/>
            <w:vMerge w:val="continue"/>
          </w:tcPr>
          <w:p>
            <w:pPr>
              <w:spacing w:after="0"/>
              <w:rPr>
                <w:sz w:val="20"/>
                <w:szCs w:val="20"/>
                <w:color w:val="auto"/>
              </w:rPr>
            </w:pPr>
          </w:p>
        </w:tc>
        <w:tc>
          <w:tcPr>
            <w:tcW w:w="500" w:type="dxa"/>
            <w:vAlign w:val="bottom"/>
          </w:tcPr>
          <w:p>
            <w:pPr>
              <w:spacing w:after="0"/>
              <w:rPr>
                <w:sz w:val="20"/>
                <w:szCs w:val="20"/>
                <w:color w:val="auto"/>
              </w:rPr>
            </w:pPr>
          </w:p>
        </w:tc>
        <w:tc>
          <w:tcPr>
            <w:tcW w:w="1620" w:type="dxa"/>
            <w:vAlign w:val="bottom"/>
            <w:gridSpan w:val="3"/>
            <w:vMerge w:val="continue"/>
          </w:tcPr>
          <w:p>
            <w:pPr>
              <w:spacing w:after="0"/>
              <w:rPr>
                <w:sz w:val="20"/>
                <w:szCs w:val="20"/>
                <w:color w:val="auto"/>
              </w:rPr>
            </w:pPr>
          </w:p>
        </w:tc>
        <w:tc>
          <w:tcPr>
            <w:tcW w:w="104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96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000" w:type="dxa"/>
            <w:vAlign w:val="bottom"/>
            <w:shd w:val="clear" w:color="auto" w:fill="CCEEFF"/>
          </w:tcPr>
          <w:p>
            <w:pPr>
              <w:spacing w:after="0"/>
              <w:rPr>
                <w:sz w:val="20"/>
                <w:szCs w:val="20"/>
                <w:color w:val="auto"/>
              </w:rPr>
            </w:pPr>
            <w:r>
              <w:rPr>
                <w:rFonts w:ascii="Arial" w:cs="Arial" w:eastAsia="Arial" w:hAnsi="Arial"/>
                <w:sz w:val="18"/>
                <w:szCs w:val="18"/>
                <w:color w:val="auto"/>
              </w:rPr>
              <w:t>Swaptions</w:t>
            </w:r>
          </w:p>
        </w:tc>
        <w:tc>
          <w:tcPr>
            <w:tcW w:w="4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663.0</w:t>
            </w:r>
          </w:p>
        </w:tc>
        <w:tc>
          <w:tcPr>
            <w:tcW w:w="2140" w:type="dxa"/>
            <w:vAlign w:val="bottom"/>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7.10(3)</w:t>
            </w:r>
          </w:p>
        </w:tc>
        <w:tc>
          <w:tcPr>
            <w:tcW w:w="5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(29.1)</w:t>
            </w:r>
          </w:p>
        </w:tc>
        <w:tc>
          <w:tcPr>
            <w:tcW w:w="5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(13.3)</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(6.0)</w:t>
            </w:r>
          </w:p>
        </w:tc>
        <w:tc>
          <w:tcPr>
            <w:tcW w:w="0" w:type="dxa"/>
            <w:vAlign w:val="bottom"/>
          </w:tcPr>
          <w:p>
            <w:pPr>
              <w:spacing w:after="0"/>
              <w:rPr>
                <w:sz w:val="1"/>
                <w:szCs w:val="1"/>
                <w:color w:val="auto"/>
              </w:rPr>
            </w:pPr>
          </w:p>
        </w:tc>
      </w:tr>
      <w:tr>
        <w:trPr>
          <w:trHeight w:val="216"/>
        </w:trPr>
        <w:tc>
          <w:tcPr>
            <w:tcW w:w="3000" w:type="dxa"/>
            <w:vAlign w:val="bottom"/>
          </w:tcPr>
          <w:p>
            <w:pPr>
              <w:spacing w:after="0"/>
              <w:rPr>
                <w:sz w:val="20"/>
                <w:szCs w:val="20"/>
                <w:color w:val="auto"/>
              </w:rPr>
            </w:pPr>
            <w:r>
              <w:rPr>
                <w:rFonts w:ascii="Arial" w:cs="Arial" w:eastAsia="Arial" w:hAnsi="Arial"/>
                <w:sz w:val="18"/>
                <w:szCs w:val="18"/>
                <w:color w:val="auto"/>
              </w:rPr>
              <w:t>Futures</w:t>
            </w:r>
          </w:p>
        </w:tc>
        <w:tc>
          <w:tcPr>
            <w:tcW w:w="4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27.9</w:t>
            </w:r>
          </w:p>
        </w:tc>
        <w:tc>
          <w:tcPr>
            <w:tcW w:w="2140" w:type="dxa"/>
            <w:vAlign w:val="bottom"/>
          </w:tcPr>
          <w:p>
            <w:pPr>
              <w:jc w:val="right"/>
              <w:ind w:right="110"/>
              <w:spacing w:after="0"/>
              <w:rPr>
                <w:sz w:val="20"/>
                <w:szCs w:val="20"/>
                <w:color w:val="auto"/>
              </w:rPr>
            </w:pPr>
            <w:r>
              <w:rPr>
                <w:rFonts w:ascii="Arial" w:cs="Arial" w:eastAsia="Arial" w:hAnsi="Arial"/>
                <w:sz w:val="18"/>
                <w:szCs w:val="18"/>
                <w:b w:val="1"/>
                <w:bCs w:val="1"/>
                <w:color w:val="auto"/>
              </w:rPr>
              <w:t>.21(2)</w:t>
            </w:r>
          </w:p>
        </w:tc>
        <w:tc>
          <w:tcPr>
            <w:tcW w:w="50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(1.4)</w:t>
            </w:r>
          </w:p>
        </w:tc>
        <w:tc>
          <w:tcPr>
            <w:tcW w:w="56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1.4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00" w:type="dxa"/>
            <w:vAlign w:val="bottom"/>
            <w:shd w:val="clear" w:color="auto" w:fill="CCEEFF"/>
          </w:tcPr>
          <w:p>
            <w:pPr>
              <w:spacing w:after="0"/>
              <w:rPr>
                <w:sz w:val="20"/>
                <w:szCs w:val="20"/>
                <w:color w:val="auto"/>
              </w:rPr>
            </w:pPr>
            <w:r>
              <w:rPr>
                <w:rFonts w:ascii="Arial" w:cs="Arial" w:eastAsia="Arial" w:hAnsi="Arial"/>
                <w:sz w:val="18"/>
                <w:szCs w:val="18"/>
                <w:color w:val="auto"/>
              </w:rPr>
              <w:t>Total return swaps</w:t>
            </w:r>
          </w:p>
        </w:tc>
        <w:tc>
          <w:tcPr>
            <w:tcW w:w="4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100.0</w:t>
            </w:r>
          </w:p>
        </w:tc>
        <w:tc>
          <w:tcPr>
            <w:tcW w:w="2140" w:type="dxa"/>
            <w:vAlign w:val="bottom"/>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.12(1)</w:t>
            </w:r>
          </w:p>
        </w:tc>
        <w:tc>
          <w:tcPr>
            <w:tcW w:w="500" w:type="dxa"/>
            <w:vAlign w:val="bottom"/>
            <w:shd w:val="clear" w:color="auto" w:fill="CCEEFF"/>
          </w:tcPr>
          <w:p>
            <w:pPr>
              <w:spacing w:after="0"/>
              <w:rPr>
                <w:sz w:val="18"/>
                <w:szCs w:val="18"/>
                <w:color w:val="auto"/>
              </w:rPr>
            </w:pPr>
          </w:p>
        </w:tc>
        <w:tc>
          <w:tcPr>
            <w:tcW w:w="1620" w:type="dxa"/>
            <w:vAlign w:val="bottom"/>
            <w:gridSpan w:val="3"/>
            <w:shd w:val="clear" w:color="auto" w:fill="CCEEFF"/>
          </w:tcPr>
          <w:p>
            <w:pPr>
              <w:jc w:val="right"/>
              <w:ind w:right="765"/>
              <w:spacing w:after="0"/>
              <w:rPr>
                <w:sz w:val="20"/>
                <w:szCs w:val="20"/>
                <w:color w:val="auto"/>
              </w:rPr>
            </w:pPr>
            <w:r>
              <w:rPr>
                <w:rFonts w:ascii="Arial" w:cs="Arial" w:eastAsia="Arial" w:hAnsi="Arial"/>
                <w:sz w:val="18"/>
                <w:szCs w:val="18"/>
                <w:b w:val="1"/>
                <w:bCs w:val="1"/>
                <w:color w:val="auto"/>
              </w:rPr>
              <w:t>—</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3000" w:type="dxa"/>
            <w:vAlign w:val="bottom"/>
          </w:tcPr>
          <w:p>
            <w:pPr>
              <w:spacing w:after="0"/>
              <w:rPr>
                <w:sz w:val="20"/>
                <w:szCs w:val="20"/>
                <w:color w:val="auto"/>
              </w:rPr>
            </w:pPr>
            <w:r>
              <w:rPr>
                <w:rFonts w:ascii="Arial" w:cs="Arial" w:eastAsia="Arial" w:hAnsi="Arial"/>
                <w:sz w:val="18"/>
                <w:szCs w:val="18"/>
                <w:color w:val="auto"/>
              </w:rPr>
              <w:t>Bond options</w:t>
            </w:r>
          </w:p>
        </w:tc>
        <w:tc>
          <w:tcPr>
            <w:tcW w:w="4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38.5</w:t>
            </w:r>
          </w:p>
        </w:tc>
        <w:tc>
          <w:tcPr>
            <w:tcW w:w="2140" w:type="dxa"/>
            <w:vAlign w:val="bottom"/>
          </w:tcPr>
          <w:p>
            <w:pPr>
              <w:jc w:val="right"/>
              <w:ind w:right="110"/>
              <w:spacing w:after="0"/>
              <w:rPr>
                <w:sz w:val="20"/>
                <w:szCs w:val="20"/>
                <w:color w:val="auto"/>
              </w:rPr>
            </w:pPr>
            <w:r>
              <w:rPr>
                <w:rFonts w:ascii="Arial" w:cs="Arial" w:eastAsia="Arial" w:hAnsi="Arial"/>
                <w:sz w:val="18"/>
                <w:szCs w:val="18"/>
                <w:b w:val="1"/>
                <w:bCs w:val="1"/>
                <w:color w:val="auto"/>
              </w:rPr>
              <w:t>1.63(4)</w:t>
            </w:r>
          </w:p>
        </w:tc>
        <w:tc>
          <w:tcPr>
            <w:tcW w:w="50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(7.2)</w:t>
            </w:r>
          </w:p>
        </w:tc>
        <w:tc>
          <w:tcPr>
            <w:tcW w:w="5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1.4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00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480" w:type="dxa"/>
            <w:vAlign w:val="bottom"/>
            <w:tcBorders>
              <w:top w:val="single" w:sz="8" w:color="auto"/>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11,478.5</w:t>
            </w:r>
          </w:p>
        </w:tc>
        <w:tc>
          <w:tcPr>
            <w:tcW w:w="2140" w:type="dxa"/>
            <w:vAlign w:val="bottom"/>
            <w:tcBorders>
              <w:top w:val="single" w:sz="8" w:color="CCEEFF"/>
              <w:bottom w:val="single" w:sz="8" w:color="CCEEFF"/>
            </w:tcBorders>
            <w:shd w:val="clear" w:color="auto" w:fill="CCEEFF"/>
          </w:tcPr>
          <w:p>
            <w:pPr>
              <w:spacing w:after="0"/>
              <w:rPr>
                <w:sz w:val="19"/>
                <w:szCs w:val="19"/>
                <w:color w:val="auto"/>
              </w:rPr>
            </w:pPr>
          </w:p>
        </w:tc>
        <w:tc>
          <w:tcPr>
            <w:tcW w:w="500" w:type="dxa"/>
            <w:vAlign w:val="bottom"/>
            <w:tcBorders>
              <w:top w:val="single" w:sz="8" w:color="auto"/>
              <w:bottom w:val="single" w:sz="8" w:color="auto"/>
            </w:tcBorders>
            <w:shd w:val="clear" w:color="auto" w:fill="CCEEFF"/>
          </w:tcPr>
          <w:p>
            <w:pPr>
              <w:jc w:val="right"/>
              <w:ind w:right="345"/>
              <w:spacing w:after="0"/>
              <w:rPr>
                <w:sz w:val="20"/>
                <w:szCs w:val="20"/>
                <w:color w:val="auto"/>
              </w:rPr>
            </w:pPr>
            <w:r>
              <w:rPr>
                <w:rFonts w:ascii="Arial" w:cs="Arial" w:eastAsia="Arial" w:hAnsi="Arial"/>
                <w:sz w:val="15"/>
                <w:szCs w:val="15"/>
                <w:b w:val="1"/>
                <w:bCs w:val="1"/>
                <w:color w:val="auto"/>
                <w:w w:val="71"/>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(33.3</w:t>
            </w:r>
          </w:p>
        </w:tc>
        <w:tc>
          <w:tcPr>
            <w:tcW w:w="280" w:type="dxa"/>
            <w:vAlign w:val="bottom"/>
            <w:tcBorders>
              <w:top w:val="single" w:sz="8" w:color="CCEEFF"/>
              <w:bottom w:val="single" w:sz="8" w:color="CCEEFF"/>
            </w:tcBorders>
            <w:shd w:val="clear" w:color="auto" w:fill="CCEEFF"/>
          </w:tcPr>
          <w:p>
            <w:pPr>
              <w:jc w:val="right"/>
              <w:ind w:right="140"/>
              <w:spacing w:after="0"/>
              <w:rPr>
                <w:sz w:val="20"/>
                <w:szCs w:val="20"/>
                <w:color w:val="auto"/>
              </w:rPr>
            </w:pPr>
            <w:r>
              <w:rPr>
                <w:rFonts w:ascii="Arial" w:cs="Arial" w:eastAsia="Arial" w:hAnsi="Arial"/>
                <w:sz w:val="16"/>
                <w:szCs w:val="16"/>
                <w:b w:val="1"/>
                <w:bCs w:val="1"/>
                <w:color w:val="auto"/>
                <w:w w:val="74"/>
              </w:rPr>
              <w:t>)</w:t>
            </w:r>
          </w:p>
        </w:tc>
        <w:tc>
          <w:tcPr>
            <w:tcW w:w="560" w:type="dxa"/>
            <w:vAlign w:val="bottom"/>
            <w:tcBorders>
              <w:top w:val="single" w:sz="8" w:color="auto"/>
              <w:bottom w:val="single" w:sz="8" w:color="auto"/>
            </w:tcBorders>
            <w:shd w:val="clear" w:color="auto" w:fill="CCEEFF"/>
          </w:tcPr>
          <w:p>
            <w:pPr>
              <w:jc w:val="right"/>
              <w:ind w:right="405"/>
              <w:spacing w:after="0"/>
              <w:rPr>
                <w:sz w:val="20"/>
                <w:szCs w:val="20"/>
                <w:color w:val="auto"/>
              </w:rPr>
            </w:pPr>
            <w:r>
              <w:rPr>
                <w:rFonts w:ascii="Arial" w:cs="Arial" w:eastAsia="Arial" w:hAnsi="Arial"/>
                <w:sz w:val="15"/>
                <w:szCs w:val="15"/>
                <w:b w:val="1"/>
                <w:bCs w:val="1"/>
                <w:color w:val="auto"/>
                <w:w w:val="71"/>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190.1</w:t>
            </w: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560" w:type="dxa"/>
            <w:vAlign w:val="bottom"/>
            <w:tcBorders>
              <w:top w:val="single" w:sz="8" w:color="auto"/>
              <w:bottom w:val="single" w:sz="8" w:color="auto"/>
            </w:tcBorders>
            <w:shd w:val="clear" w:color="auto" w:fill="CCEEFF"/>
          </w:tcPr>
          <w:p>
            <w:pPr>
              <w:jc w:val="right"/>
              <w:ind w:right="405"/>
              <w:spacing w:after="0"/>
              <w:rPr>
                <w:sz w:val="20"/>
                <w:szCs w:val="20"/>
                <w:color w:val="auto"/>
              </w:rPr>
            </w:pPr>
            <w:r>
              <w:rPr>
                <w:rFonts w:ascii="Arial" w:cs="Arial" w:eastAsia="Arial" w:hAnsi="Arial"/>
                <w:sz w:val="15"/>
                <w:szCs w:val="15"/>
                <w:b w:val="1"/>
                <w:bCs w:val="1"/>
                <w:color w:val="auto"/>
                <w:w w:val="71"/>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373.3</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0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389380"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720" w:hanging="712"/>
        <w:spacing w:after="0"/>
        <w:tabs>
          <w:tab w:leader="none" w:pos="7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Based on maturity date of swap.</w:t>
      </w:r>
    </w:p>
    <w:p>
      <w:pPr>
        <w:spacing w:after="0" w:line="225" w:lineRule="exact"/>
        <w:rPr>
          <w:rFonts w:ascii="Arial" w:cs="Arial" w:eastAsia="Arial" w:hAnsi="Arial"/>
          <w:sz w:val="18"/>
          <w:szCs w:val="18"/>
          <w:color w:val="auto"/>
        </w:rPr>
      </w:pPr>
    </w:p>
    <w:p>
      <w:pPr>
        <w:ind w:left="720" w:hanging="712"/>
        <w:spacing w:after="0"/>
        <w:tabs>
          <w:tab w:leader="none" w:pos="7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Based on maturity date.</w:t>
      </w:r>
    </w:p>
    <w:p>
      <w:pPr>
        <w:spacing w:after="0" w:line="225" w:lineRule="exact"/>
        <w:rPr>
          <w:rFonts w:ascii="Arial" w:cs="Arial" w:eastAsia="Arial" w:hAnsi="Arial"/>
          <w:sz w:val="18"/>
          <w:szCs w:val="18"/>
          <w:color w:val="auto"/>
        </w:rPr>
      </w:pPr>
    </w:p>
    <w:p>
      <w:pPr>
        <w:ind w:left="720" w:hanging="712"/>
        <w:spacing w:after="0"/>
        <w:tabs>
          <w:tab w:leader="none" w:pos="7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Based on option date of swaption.</w:t>
      </w:r>
    </w:p>
    <w:p>
      <w:pPr>
        <w:spacing w:after="0" w:line="225" w:lineRule="exact"/>
        <w:rPr>
          <w:rFonts w:ascii="Arial" w:cs="Arial" w:eastAsia="Arial" w:hAnsi="Arial"/>
          <w:sz w:val="18"/>
          <w:szCs w:val="18"/>
          <w:color w:val="auto"/>
        </w:rPr>
      </w:pPr>
    </w:p>
    <w:p>
      <w:pPr>
        <w:ind w:left="720" w:hanging="712"/>
        <w:spacing w:after="0"/>
        <w:tabs>
          <w:tab w:leader="none" w:pos="7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Based on settlement date.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use U.S. Treasury futures to manage our over/under commitment position, and our position in these contracts changes daily.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Counterparty Risk</w:t>
      </w:r>
    </w:p>
    <w:p>
      <w:pPr>
        <w:spacing w:after="0" w:line="229" w:lineRule="exact"/>
        <w:rPr>
          <w:sz w:val="20"/>
          <w:szCs w:val="20"/>
          <w:color w:val="auto"/>
        </w:rPr>
      </w:pPr>
    </w:p>
    <w:p>
      <w:pPr>
        <w:ind w:right="420" w:firstLine="648"/>
        <w:spacing w:after="0" w:line="277" w:lineRule="auto"/>
        <w:rPr>
          <w:sz w:val="20"/>
          <w:szCs w:val="20"/>
          <w:color w:val="auto"/>
        </w:rPr>
      </w:pPr>
      <w:r>
        <w:rPr>
          <w:rFonts w:ascii="Arial" w:cs="Arial" w:eastAsia="Arial" w:hAnsi="Arial"/>
          <w:sz w:val="18"/>
          <w:szCs w:val="18"/>
          <w:color w:val="auto"/>
        </w:rPr>
        <w:t>In conjunction with our use of derivatives, we are exposed to counterparty risk, or the risk that the counterparty fails to perform the terms of the derivative contract. We actively manage this risk by:</w:t>
      </w:r>
    </w:p>
    <w:p>
      <w:pPr>
        <w:spacing w:after="0" w:line="170" w:lineRule="exact"/>
        <w:rPr>
          <w:sz w:val="20"/>
          <w:szCs w:val="20"/>
          <w:color w:val="auto"/>
        </w:rPr>
      </w:pPr>
    </w:p>
    <w:p>
      <w:pPr>
        <w:ind w:left="320" w:hanging="312"/>
        <w:spacing w:after="0"/>
        <w:tabs>
          <w:tab w:leader="none" w:pos="3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establishing exposure limits which take into account non-derivative exposure we have with the counterparty as well as derivative exposure;</w:t>
      </w:r>
    </w:p>
    <w:p>
      <w:pPr>
        <w:spacing w:after="0" w:line="225" w:lineRule="exact"/>
        <w:rPr>
          <w:rFonts w:ascii="Arial" w:cs="Arial" w:eastAsia="Arial" w:hAnsi="Arial"/>
          <w:sz w:val="18"/>
          <w:szCs w:val="18"/>
          <w:color w:val="auto"/>
        </w:rPr>
      </w:pPr>
    </w:p>
    <w:p>
      <w:pPr>
        <w:ind w:left="320" w:hanging="312"/>
        <w:spacing w:after="0"/>
        <w:tabs>
          <w:tab w:leader="none" w:pos="3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performing similar credit analysis prior to approval on each derivatives counterparty that we do when lending money on a long-term basis;</w:t>
      </w:r>
    </w:p>
    <w:p>
      <w:pPr>
        <w:spacing w:after="0" w:line="225" w:lineRule="exact"/>
        <w:rPr>
          <w:rFonts w:ascii="Arial" w:cs="Arial" w:eastAsia="Arial" w:hAnsi="Arial"/>
          <w:sz w:val="18"/>
          <w:szCs w:val="18"/>
          <w:color w:val="auto"/>
        </w:rPr>
      </w:pPr>
    </w:p>
    <w:p>
      <w:pPr>
        <w:ind w:left="320" w:hanging="312"/>
        <w:spacing w:after="0"/>
        <w:tabs>
          <w:tab w:leader="none" w:pos="3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diversifying our risk across numerous approved counterparties;</w:t>
      </w:r>
    </w:p>
    <w:p>
      <w:pPr>
        <w:spacing w:after="0" w:line="225" w:lineRule="exact"/>
        <w:rPr>
          <w:rFonts w:ascii="Arial" w:cs="Arial" w:eastAsia="Arial" w:hAnsi="Arial"/>
          <w:sz w:val="18"/>
          <w:szCs w:val="18"/>
          <w:color w:val="auto"/>
        </w:rPr>
      </w:pPr>
    </w:p>
    <w:p>
      <w:pPr>
        <w:ind w:left="320" w:hanging="312"/>
        <w:spacing w:after="0"/>
        <w:tabs>
          <w:tab w:leader="none" w:pos="3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limiting exposure to A+ credit or better;</w:t>
      </w:r>
    </w:p>
    <w:p>
      <w:pPr>
        <w:spacing w:after="0" w:line="225" w:lineRule="exact"/>
        <w:rPr>
          <w:rFonts w:ascii="Arial" w:cs="Arial" w:eastAsia="Arial" w:hAnsi="Arial"/>
          <w:sz w:val="18"/>
          <w:szCs w:val="18"/>
          <w:color w:val="auto"/>
        </w:rPr>
      </w:pPr>
    </w:p>
    <w:p>
      <w:pPr>
        <w:ind w:left="320" w:hanging="312"/>
        <w:spacing w:after="0"/>
        <w:tabs>
          <w:tab w:leader="none" w:pos="3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conducting stress-test analysis to determine the maximum exposure created during the life of a prospective transaction;</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320" w:hanging="312"/>
        <w:spacing w:after="0"/>
        <w:tabs>
          <w:tab w:leader="none" w:pos="320" w:val="left"/>
        </w:tabs>
        <w:numPr>
          <w:ilvl w:val="0"/>
          <w:numId w:val="36"/>
        </w:numPr>
        <w:rPr>
          <w:rFonts w:ascii="Arial" w:cs="Arial" w:eastAsia="Arial" w:hAnsi="Arial"/>
          <w:sz w:val="18"/>
          <w:szCs w:val="18"/>
          <w:color w:val="auto"/>
        </w:rPr>
      </w:pPr>
      <w:r>
        <w:rPr>
          <w:rFonts w:ascii="Arial" w:cs="Arial" w:eastAsia="Arial" w:hAnsi="Arial"/>
          <w:sz w:val="18"/>
          <w:szCs w:val="18"/>
          <w:color w:val="auto"/>
        </w:rPr>
        <w:t>implementing credit support annex (collateral) agreements with selected counterparties to further limit counterparty exposures; and</w:t>
      </w:r>
    </w:p>
    <w:p>
      <w:pPr>
        <w:spacing w:after="0" w:line="225" w:lineRule="exact"/>
        <w:rPr>
          <w:rFonts w:ascii="Arial" w:cs="Arial" w:eastAsia="Arial" w:hAnsi="Arial"/>
          <w:sz w:val="18"/>
          <w:szCs w:val="18"/>
          <w:color w:val="auto"/>
        </w:rPr>
      </w:pPr>
    </w:p>
    <w:p>
      <w:pPr>
        <w:ind w:left="320" w:hanging="312"/>
        <w:spacing w:after="0"/>
        <w:tabs>
          <w:tab w:leader="none" w:pos="320" w:val="left"/>
        </w:tabs>
        <w:numPr>
          <w:ilvl w:val="0"/>
          <w:numId w:val="36"/>
        </w:numPr>
        <w:rPr>
          <w:rFonts w:ascii="Arial" w:cs="Arial" w:eastAsia="Arial" w:hAnsi="Arial"/>
          <w:sz w:val="18"/>
          <w:szCs w:val="18"/>
          <w:color w:val="auto"/>
        </w:rPr>
      </w:pPr>
      <w:r>
        <w:rPr>
          <w:rFonts w:ascii="Arial" w:cs="Arial" w:eastAsia="Arial" w:hAnsi="Arial"/>
          <w:sz w:val="18"/>
          <w:szCs w:val="18"/>
          <w:color w:val="auto"/>
        </w:rPr>
        <w:t>daily monitoring of counterparty credit ratings.</w:t>
      </w:r>
    </w:p>
    <w:p>
      <w:pPr>
        <w:spacing w:after="0" w:line="225"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All new derivative counterparties are approved by the Investment Committee. We believe the risk of incurring losses due to nonperformance by our counterparties is manageable.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Effects of Inflation</w:t>
      </w:r>
    </w:p>
    <w:p>
      <w:pPr>
        <w:spacing w:after="0" w:line="229" w:lineRule="exact"/>
        <w:rPr>
          <w:sz w:val="20"/>
          <w:szCs w:val="20"/>
          <w:color w:val="auto"/>
        </w:rPr>
      </w:pPr>
    </w:p>
    <w:p>
      <w:pPr>
        <w:ind w:right="420" w:firstLine="648"/>
        <w:spacing w:after="0" w:line="342" w:lineRule="auto"/>
        <w:rPr>
          <w:sz w:val="20"/>
          <w:szCs w:val="20"/>
          <w:color w:val="auto"/>
        </w:rPr>
      </w:pPr>
      <w:r>
        <w:rPr>
          <w:rFonts w:ascii="Arial" w:cs="Arial" w:eastAsia="Arial" w:hAnsi="Arial"/>
          <w:sz w:val="16"/>
          <w:szCs w:val="16"/>
          <w:color w:val="auto"/>
        </w:rPr>
        <w:t>We do not believe that inflation, in the United States or in the other countries in which we operate, has had a material effect on our consolidated operations over the past five years. In the future, however, we may be affected by inflation to the extent it causes interest rates to rise.</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29"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There was no change in our internal control over financial reporting during our last fiscal quarter that has materially affected, or is reasonably likely to materially affect, our internal control over financial reporting.</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Disclosure Controls and Procedures</w:t>
      </w:r>
    </w:p>
    <w:p>
      <w:pPr>
        <w:spacing w:after="0" w:line="229" w:lineRule="exact"/>
        <w:rPr>
          <w:sz w:val="20"/>
          <w:szCs w:val="20"/>
          <w:color w:val="auto"/>
        </w:rPr>
      </w:pPr>
    </w:p>
    <w:p>
      <w:pPr>
        <w:ind w:right="40" w:firstLine="648"/>
        <w:spacing w:after="0" w:line="302" w:lineRule="auto"/>
        <w:rPr>
          <w:sz w:val="20"/>
          <w:szCs w:val="20"/>
          <w:color w:val="auto"/>
        </w:rPr>
      </w:pPr>
      <w:r>
        <w:rPr>
          <w:rFonts w:ascii="Arial" w:cs="Arial" w:eastAsia="Arial" w:hAnsi="Arial"/>
          <w:sz w:val="16"/>
          <w:szCs w:val="16"/>
          <w:color w:val="auto"/>
        </w:rPr>
        <w:t>In order to ensure that the information that we must disclose in our filings with the SEC is recorded, processed, summarized and reported on a timely basis, we have adopted disclosure controls and procedures. Disclosure controls and procedures include, without limitation, controls and procedures designed to ensure that information required to be disclosed by us in the reports that we file with or submit to the SEC is accumulated and communicated to our management, including our Chief Executive Officer and our Chief Financial Officer, as appropriate to allow timely decisions regarding required disclosure.</w:t>
      </w:r>
    </w:p>
    <w:p>
      <w:pPr>
        <w:spacing w:after="0" w:line="154" w:lineRule="exact"/>
        <w:rPr>
          <w:sz w:val="20"/>
          <w:szCs w:val="20"/>
          <w:color w:val="auto"/>
        </w:rPr>
      </w:pPr>
    </w:p>
    <w:p>
      <w:pPr>
        <w:ind w:right="400" w:firstLine="648"/>
        <w:spacing w:after="0" w:line="308" w:lineRule="auto"/>
        <w:rPr>
          <w:sz w:val="20"/>
          <w:szCs w:val="20"/>
          <w:color w:val="auto"/>
        </w:rPr>
      </w:pPr>
      <w:r>
        <w:rPr>
          <w:rFonts w:ascii="Arial" w:cs="Arial" w:eastAsia="Arial" w:hAnsi="Arial"/>
          <w:sz w:val="17"/>
          <w:szCs w:val="17"/>
          <w:color w:val="auto"/>
        </w:rPr>
        <w:t>Our Chief Executive Officer, J. Barry Griswell, and our Chief Financial Officer, Michael H. Gersie, have reviewed and evaluated our disclosure controls and procedures as of June 30, 2006, and have concluded that our disclosure controls and procedures are effective.</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5" w:right="239" w:bottom="640" w:gutter="0" w:footer="0" w:header="0"/>
        </w:sectPr>
      </w:pPr>
    </w:p>
    <w:bookmarkStart w:id="61" w:name="page62"/>
    <w:bookmarkEnd w:id="61"/>
    <w:p>
      <w:pPr>
        <w:spacing w:after="0" w:line="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We are regularly involved in litigation, both as a defendant and as a plaintiff, but primarily as a defendant. Litigation naming us as a defendant ordinarily arises out of our business operations as a provider of asset management and accumulation products and services, life, health and disability insurance. Some of the lawsuits are class actions, or purport to be, and some include claims for punitive damages. In addition, regulatory bodies, such as state insurance departments, the SEC, the National Association of Securities Dealers, Inc., the Department of Labor and other regulatory bodies regularly make inquiries and conduct examinations or investigations concerning our compliance with, among other things, insurance laws, securities laws, ERISA and laws governing the activities of broker-dealers.</w:t>
      </w:r>
    </w:p>
    <w:p>
      <w:pPr>
        <w:spacing w:after="0" w:line="193"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color w:val="auto"/>
        </w:rPr>
        <w:t>Several lawsuits have been filed against other insurance companies and insurance brokers alleging improper conduct relating to the payment and non-disclosure of contingent compensation and bid-rigging activity. Several of these suits were filed as purported class actions. Several state attorneys general and insurance regulators have initiated industry-wide inquiries or other actions relating to compensation arrangements between insurance brokers and insurance companies and other industry issues. Beginning in March of 2005, we have received subpoenas and interrogatories from the offices of the Attorneys General of New York and Connecticut seeking information related to compensation agreements with brokers and agents and the sale of retirement products and services. We are cooperating with these inquiries. We have received other requests from regulators and other governmental authorities relating to industry issues and may receive additional such requests, including subpoenas and interrogatories, in the future.</w:t>
      </w:r>
    </w:p>
    <w:p>
      <w:pPr>
        <w:spacing w:after="0" w:line="167" w:lineRule="exact"/>
        <w:rPr>
          <w:sz w:val="20"/>
          <w:szCs w:val="20"/>
          <w:color w:val="auto"/>
        </w:rPr>
      </w:pPr>
    </w:p>
    <w:p>
      <w:pPr>
        <w:ind w:right="20" w:firstLine="648"/>
        <w:spacing w:after="0" w:line="288" w:lineRule="auto"/>
        <w:rPr>
          <w:sz w:val="20"/>
          <w:szCs w:val="20"/>
          <w:color w:val="auto"/>
        </w:rPr>
      </w:pPr>
      <w:r>
        <w:rPr>
          <w:rFonts w:ascii="Arial" w:cs="Arial" w:eastAsia="Arial" w:hAnsi="Arial"/>
          <w:sz w:val="16"/>
          <w:szCs w:val="16"/>
          <w:color w:val="auto"/>
        </w:rPr>
        <w:t>On December 23, 2004, a lawsuit was filed in Iowa state court against us and our wholly owned subsidiaries, Principal Life Insurance Company (“Principal Life”) and Principal Financial Services, Inc., on behalf of a proposed class comprised of the settlement class in the Principal Life sales practices class action settlement, which was approved in April 2001 by the United States District Court for the Southern District of Iowa. This more recent lawsuit claims that the treatment of the settlement costs of that sales practices litigation in relation to the allocation of demutualization consideration to Principal Life policyholders was inappropriate. Demutualization allocation was done pursuant to the terms of a plan of demutualization approved by the policyholders in July 2001 and Insurance Commissioner of the State of Iowa in August 2001. The lawsuit further claims that such allocation was not accurately described to policyholders during the demutualization process and is a breach of the sales practices settlement. On January 27, 2005, we filed a notice to remove the action from state court to the United States District Court for the Southern District of Iowa. On July 22, 2005, the plaintiff’s motion to remand the action to state court was denied, and our motion to dismiss the lawsuit was granted. On September 21, 2005, the plaintiff’s motion to alter or amend the judgment was denied. On October 4, 2005, the plaintiff filed a notice of appeal to the United States Court of Appeals for the Eighth Circuit.</w:t>
      </w:r>
    </w:p>
    <w:p>
      <w:pPr>
        <w:spacing w:after="0" w:line="169"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A lawsuit was filed against us, Principal Life, and Principal Financial Services, Inc. in the United States District Court for the Southern District of Iowa on October 31, 2005, but the plaintiff dismissed the case without prejudice on March 17, 2006. The claims and allegations in the lawsuit were substantially the same as those in the December 23, 2004 lawsuit, but the proposed class was limited to those members of the settlement class in the Principal Life sales practices class action settlement who did not own annuities and who received demutualization consideration in the form of cash under the plan of demutualization.</w:t>
      </w:r>
    </w:p>
    <w:p>
      <w:pPr>
        <w:spacing w:after="0" w:line="188"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While the outcome of any pending or future litigation cannot be predicted, management does not believe that any pending litigation will have a material adverse effect on our business or financial position. The outcome of litigation is always uncertain, and unforeseen results can occur. It is possible that such outcomes could materially affect net income in a particular quarter or annual period.</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presents the amount of our common share purchase activity for the periods indicated: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960" w:type="dxa"/>
            <w:vAlign w:val="bottom"/>
            <w:gridSpan w:val="2"/>
          </w:tcPr>
          <w:p>
            <w:pPr>
              <w:jc w:val="center"/>
              <w:ind w:right="760"/>
              <w:spacing w:after="0"/>
              <w:rPr>
                <w:sz w:val="20"/>
                <w:szCs w:val="20"/>
                <w:color w:val="auto"/>
              </w:rPr>
            </w:pPr>
            <w:r>
              <w:rPr>
                <w:rFonts w:ascii="Arial" w:cs="Arial" w:eastAsia="Arial" w:hAnsi="Arial"/>
                <w:sz w:val="14"/>
                <w:szCs w:val="14"/>
                <w:b w:val="1"/>
                <w:bCs w:val="1"/>
                <w:color w:val="auto"/>
                <w:w w:val="99"/>
              </w:rPr>
              <w:t>Maximum</w:t>
            </w:r>
          </w:p>
        </w:tc>
        <w:tc>
          <w:tcPr>
            <w:tcW w:w="0" w:type="dxa"/>
            <w:vAlign w:val="bottom"/>
          </w:tcPr>
          <w:p>
            <w:pPr>
              <w:spacing w:after="0"/>
              <w:rPr>
                <w:sz w:val="1"/>
                <w:szCs w:val="1"/>
                <w:color w:val="auto"/>
              </w:rPr>
            </w:pPr>
          </w:p>
        </w:tc>
      </w:tr>
      <w:tr>
        <w:trPr>
          <w:trHeight w:val="135"/>
        </w:trPr>
        <w:tc>
          <w:tcPr>
            <w:tcW w:w="36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960" w:type="dxa"/>
            <w:vAlign w:val="bottom"/>
            <w:gridSpan w:val="2"/>
          </w:tcPr>
          <w:p>
            <w:pPr>
              <w:jc w:val="center"/>
              <w:ind w:right="760"/>
              <w:spacing w:after="0" w:line="135" w:lineRule="exact"/>
              <w:rPr>
                <w:sz w:val="20"/>
                <w:szCs w:val="20"/>
                <w:color w:val="auto"/>
              </w:rPr>
            </w:pPr>
            <w:r>
              <w:rPr>
                <w:rFonts w:ascii="Arial" w:cs="Arial" w:eastAsia="Arial" w:hAnsi="Arial"/>
                <w:sz w:val="14"/>
                <w:szCs w:val="14"/>
                <w:b w:val="1"/>
                <w:bCs w:val="1"/>
                <w:color w:val="auto"/>
                <w:w w:val="95"/>
              </w:rPr>
              <w:t>Number (or</w:t>
            </w:r>
          </w:p>
        </w:tc>
        <w:tc>
          <w:tcPr>
            <w:tcW w:w="0" w:type="dxa"/>
            <w:vAlign w:val="bottom"/>
          </w:tcPr>
          <w:p>
            <w:pPr>
              <w:spacing w:after="0"/>
              <w:rPr>
                <w:sz w:val="1"/>
                <w:szCs w:val="1"/>
                <w:color w:val="auto"/>
              </w:rPr>
            </w:pPr>
          </w:p>
        </w:tc>
      </w:tr>
      <w:tr>
        <w:trPr>
          <w:trHeight w:val="135"/>
        </w:trPr>
        <w:tc>
          <w:tcPr>
            <w:tcW w:w="36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960" w:type="dxa"/>
            <w:vAlign w:val="bottom"/>
            <w:gridSpan w:val="2"/>
          </w:tcPr>
          <w:p>
            <w:pPr>
              <w:jc w:val="center"/>
              <w:ind w:right="760"/>
              <w:spacing w:after="0" w:line="135" w:lineRule="exact"/>
              <w:rPr>
                <w:sz w:val="20"/>
                <w:szCs w:val="20"/>
                <w:color w:val="auto"/>
              </w:rPr>
            </w:pPr>
            <w:r>
              <w:rPr>
                <w:rFonts w:ascii="Arial" w:cs="Arial" w:eastAsia="Arial" w:hAnsi="Arial"/>
                <w:sz w:val="14"/>
                <w:szCs w:val="14"/>
                <w:b w:val="1"/>
                <w:bCs w:val="1"/>
                <w:color w:val="auto"/>
                <w:w w:val="93"/>
              </w:rPr>
              <w:t>Approximate</w:t>
            </w:r>
          </w:p>
        </w:tc>
        <w:tc>
          <w:tcPr>
            <w:tcW w:w="0" w:type="dxa"/>
            <w:vAlign w:val="bottom"/>
          </w:tcPr>
          <w:p>
            <w:pPr>
              <w:spacing w:after="0"/>
              <w:rPr>
                <w:sz w:val="1"/>
                <w:szCs w:val="1"/>
                <w:color w:val="auto"/>
              </w:rPr>
            </w:pPr>
          </w:p>
        </w:tc>
      </w:tr>
      <w:tr>
        <w:trPr>
          <w:trHeight w:val="135"/>
        </w:trPr>
        <w:tc>
          <w:tcPr>
            <w:tcW w:w="36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80" w:type="dxa"/>
            <w:vAlign w:val="bottom"/>
            <w:gridSpan w:val="2"/>
            <w:vMerge w:val="restart"/>
          </w:tcPr>
          <w:p>
            <w:pPr>
              <w:jc w:val="center"/>
              <w:ind w:right="660"/>
              <w:spacing w:after="0"/>
              <w:rPr>
                <w:sz w:val="20"/>
                <w:szCs w:val="20"/>
                <w:color w:val="auto"/>
              </w:rPr>
            </w:pPr>
            <w:r>
              <w:rPr>
                <w:rFonts w:ascii="Arial" w:cs="Arial" w:eastAsia="Arial" w:hAnsi="Arial"/>
                <w:sz w:val="14"/>
                <w:szCs w:val="14"/>
                <w:b w:val="1"/>
                <w:bCs w:val="1"/>
                <w:color w:val="auto"/>
                <w:w w:val="90"/>
              </w:rPr>
              <w:t>Average</w:t>
            </w:r>
          </w:p>
        </w:tc>
        <w:tc>
          <w:tcPr>
            <w:tcW w:w="15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Total Number of</w:t>
            </w: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960" w:type="dxa"/>
            <w:vAlign w:val="bottom"/>
            <w:gridSpan w:val="2"/>
          </w:tcPr>
          <w:p>
            <w:pPr>
              <w:jc w:val="center"/>
              <w:ind w:right="760"/>
              <w:spacing w:after="0" w:line="135" w:lineRule="exact"/>
              <w:rPr>
                <w:sz w:val="20"/>
                <w:szCs w:val="20"/>
                <w:color w:val="auto"/>
              </w:rPr>
            </w:pPr>
            <w:r>
              <w:rPr>
                <w:rFonts w:ascii="Arial" w:cs="Arial" w:eastAsia="Arial" w:hAnsi="Arial"/>
                <w:sz w:val="14"/>
                <w:szCs w:val="14"/>
                <w:b w:val="1"/>
                <w:bCs w:val="1"/>
                <w:color w:val="auto"/>
                <w:w w:val="93"/>
              </w:rPr>
              <w:t>Dollar Value) of</w:t>
            </w:r>
          </w:p>
        </w:tc>
        <w:tc>
          <w:tcPr>
            <w:tcW w:w="0" w:type="dxa"/>
            <w:vAlign w:val="bottom"/>
          </w:tcPr>
          <w:p>
            <w:pPr>
              <w:spacing w:after="0"/>
              <w:rPr>
                <w:sz w:val="1"/>
                <w:szCs w:val="1"/>
                <w:color w:val="auto"/>
              </w:rPr>
            </w:pPr>
          </w:p>
        </w:tc>
      </w:tr>
      <w:tr>
        <w:trPr>
          <w:trHeight w:val="135"/>
        </w:trPr>
        <w:tc>
          <w:tcPr>
            <w:tcW w:w="36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74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95"/>
              </w:rPr>
              <w:t>Total Number</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1500" w:type="dxa"/>
            <w:vAlign w:val="bottom"/>
            <w:vMerge w:val="continue"/>
          </w:tcPr>
          <w:p>
            <w:pPr>
              <w:spacing w:after="0"/>
              <w:rPr>
                <w:sz w:val="11"/>
                <w:szCs w:val="11"/>
                <w:color w:val="auto"/>
              </w:rPr>
            </w:pP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960" w:type="dxa"/>
            <w:vAlign w:val="bottom"/>
            <w:gridSpan w:val="2"/>
          </w:tcPr>
          <w:p>
            <w:pPr>
              <w:jc w:val="center"/>
              <w:ind w:right="760"/>
              <w:spacing w:after="0" w:line="135" w:lineRule="exact"/>
              <w:rPr>
                <w:sz w:val="20"/>
                <w:szCs w:val="20"/>
                <w:color w:val="auto"/>
              </w:rPr>
            </w:pPr>
            <w:r>
              <w:rPr>
                <w:rFonts w:ascii="Arial" w:cs="Arial" w:eastAsia="Arial" w:hAnsi="Arial"/>
                <w:sz w:val="14"/>
                <w:szCs w:val="14"/>
                <w:b w:val="1"/>
                <w:bCs w:val="1"/>
                <w:color w:val="auto"/>
                <w:w w:val="92"/>
              </w:rPr>
              <w:t>Shares (or Units)</w:t>
            </w:r>
          </w:p>
        </w:tc>
        <w:tc>
          <w:tcPr>
            <w:tcW w:w="0" w:type="dxa"/>
            <w:vAlign w:val="bottom"/>
          </w:tcPr>
          <w:p>
            <w:pPr>
              <w:spacing w:after="0"/>
              <w:rPr>
                <w:sz w:val="1"/>
                <w:szCs w:val="1"/>
                <w:color w:val="auto"/>
              </w:rPr>
            </w:pPr>
          </w:p>
        </w:tc>
      </w:tr>
      <w:tr>
        <w:trPr>
          <w:trHeight w:val="135"/>
        </w:trPr>
        <w:tc>
          <w:tcPr>
            <w:tcW w:w="36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74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80" w:type="dxa"/>
            <w:vAlign w:val="bottom"/>
            <w:gridSpan w:val="2"/>
          </w:tcPr>
          <w:p>
            <w:pPr>
              <w:jc w:val="center"/>
              <w:ind w:right="640"/>
              <w:spacing w:after="0" w:line="135" w:lineRule="exact"/>
              <w:rPr>
                <w:sz w:val="20"/>
                <w:szCs w:val="20"/>
                <w:color w:val="auto"/>
              </w:rPr>
            </w:pPr>
            <w:r>
              <w:rPr>
                <w:rFonts w:ascii="Arial" w:cs="Arial" w:eastAsia="Arial" w:hAnsi="Arial"/>
                <w:sz w:val="14"/>
                <w:szCs w:val="14"/>
                <w:b w:val="1"/>
                <w:bCs w:val="1"/>
                <w:color w:val="auto"/>
                <w:w w:val="93"/>
              </w:rPr>
              <w:t>Price</w:t>
            </w:r>
          </w:p>
        </w:tc>
        <w:tc>
          <w:tcPr>
            <w:tcW w:w="15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2"/>
              </w:rPr>
              <w:t>Shares (or Units)</w:t>
            </w: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960" w:type="dxa"/>
            <w:vAlign w:val="bottom"/>
            <w:gridSpan w:val="2"/>
          </w:tcPr>
          <w:p>
            <w:pPr>
              <w:jc w:val="center"/>
              <w:ind w:right="760"/>
              <w:spacing w:after="0" w:line="135" w:lineRule="exact"/>
              <w:rPr>
                <w:sz w:val="20"/>
                <w:szCs w:val="20"/>
                <w:color w:val="auto"/>
              </w:rPr>
            </w:pPr>
            <w:r>
              <w:rPr>
                <w:rFonts w:ascii="Arial" w:cs="Arial" w:eastAsia="Arial" w:hAnsi="Arial"/>
                <w:sz w:val="14"/>
                <w:szCs w:val="14"/>
                <w:b w:val="1"/>
                <w:bCs w:val="1"/>
                <w:color w:val="auto"/>
                <w:w w:val="95"/>
              </w:rPr>
              <w:t>that May Yet Be</w:t>
            </w:r>
          </w:p>
        </w:tc>
        <w:tc>
          <w:tcPr>
            <w:tcW w:w="0" w:type="dxa"/>
            <w:vAlign w:val="bottom"/>
          </w:tcPr>
          <w:p>
            <w:pPr>
              <w:spacing w:after="0"/>
              <w:rPr>
                <w:sz w:val="1"/>
                <w:szCs w:val="1"/>
                <w:color w:val="auto"/>
              </w:rPr>
            </w:pPr>
          </w:p>
        </w:tc>
      </w:tr>
      <w:tr>
        <w:trPr>
          <w:trHeight w:val="135"/>
        </w:trPr>
        <w:tc>
          <w:tcPr>
            <w:tcW w:w="36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74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0"/>
              </w:rPr>
              <w:t>of</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80" w:type="dxa"/>
            <w:vAlign w:val="bottom"/>
            <w:gridSpan w:val="2"/>
          </w:tcPr>
          <w:p>
            <w:pPr>
              <w:jc w:val="center"/>
              <w:ind w:right="640"/>
              <w:spacing w:after="0" w:line="135" w:lineRule="exact"/>
              <w:rPr>
                <w:sz w:val="20"/>
                <w:szCs w:val="20"/>
                <w:color w:val="auto"/>
              </w:rPr>
            </w:pPr>
            <w:r>
              <w:rPr>
                <w:rFonts w:ascii="Arial" w:cs="Arial" w:eastAsia="Arial" w:hAnsi="Arial"/>
                <w:sz w:val="14"/>
                <w:szCs w:val="14"/>
                <w:b w:val="1"/>
                <w:bCs w:val="1"/>
                <w:color w:val="auto"/>
                <w:w w:val="94"/>
              </w:rPr>
              <w:t>Paid</w:t>
            </w:r>
          </w:p>
        </w:tc>
        <w:tc>
          <w:tcPr>
            <w:tcW w:w="15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1"/>
              </w:rPr>
              <w:t>Purchased as Part</w:t>
            </w: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960" w:type="dxa"/>
            <w:vAlign w:val="bottom"/>
            <w:gridSpan w:val="2"/>
          </w:tcPr>
          <w:p>
            <w:pPr>
              <w:jc w:val="center"/>
              <w:ind w:right="760"/>
              <w:spacing w:after="0" w:line="135" w:lineRule="exact"/>
              <w:rPr>
                <w:sz w:val="20"/>
                <w:szCs w:val="20"/>
                <w:color w:val="auto"/>
              </w:rPr>
            </w:pPr>
            <w:r>
              <w:rPr>
                <w:rFonts w:ascii="Arial" w:cs="Arial" w:eastAsia="Arial" w:hAnsi="Arial"/>
                <w:sz w:val="14"/>
                <w:szCs w:val="14"/>
                <w:b w:val="1"/>
                <w:bCs w:val="1"/>
                <w:color w:val="auto"/>
                <w:w w:val="93"/>
              </w:rPr>
              <w:t>Purchased Under</w:t>
            </w:r>
          </w:p>
        </w:tc>
        <w:tc>
          <w:tcPr>
            <w:tcW w:w="0" w:type="dxa"/>
            <w:vAlign w:val="bottom"/>
          </w:tcPr>
          <w:p>
            <w:pPr>
              <w:spacing w:after="0"/>
              <w:rPr>
                <w:sz w:val="1"/>
                <w:szCs w:val="1"/>
                <w:color w:val="auto"/>
              </w:rPr>
            </w:pPr>
          </w:p>
        </w:tc>
      </w:tr>
      <w:tr>
        <w:trPr>
          <w:trHeight w:val="135"/>
        </w:trPr>
        <w:tc>
          <w:tcPr>
            <w:tcW w:w="36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74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2"/>
              </w:rPr>
              <w:t>Shares (or</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80" w:type="dxa"/>
            <w:vAlign w:val="bottom"/>
            <w:gridSpan w:val="2"/>
          </w:tcPr>
          <w:p>
            <w:pPr>
              <w:jc w:val="center"/>
              <w:ind w:right="640"/>
              <w:spacing w:after="0" w:line="135" w:lineRule="exact"/>
              <w:rPr>
                <w:sz w:val="20"/>
                <w:szCs w:val="20"/>
                <w:color w:val="auto"/>
              </w:rPr>
            </w:pPr>
            <w:r>
              <w:rPr>
                <w:rFonts w:ascii="Arial" w:cs="Arial" w:eastAsia="Arial" w:hAnsi="Arial"/>
                <w:sz w:val="14"/>
                <w:szCs w:val="14"/>
                <w:b w:val="1"/>
                <w:bCs w:val="1"/>
                <w:color w:val="auto"/>
                <w:w w:val="91"/>
              </w:rPr>
              <w:t>per</w:t>
            </w:r>
          </w:p>
        </w:tc>
        <w:tc>
          <w:tcPr>
            <w:tcW w:w="15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3"/>
              </w:rPr>
              <w:t>of Publicly</w:t>
            </w: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960" w:type="dxa"/>
            <w:vAlign w:val="bottom"/>
            <w:gridSpan w:val="2"/>
          </w:tcPr>
          <w:p>
            <w:pPr>
              <w:jc w:val="center"/>
              <w:ind w:right="780"/>
              <w:spacing w:after="0" w:line="135" w:lineRule="exact"/>
              <w:rPr>
                <w:sz w:val="20"/>
                <w:szCs w:val="20"/>
                <w:color w:val="auto"/>
              </w:rPr>
            </w:pPr>
            <w:r>
              <w:rPr>
                <w:rFonts w:ascii="Arial" w:cs="Arial" w:eastAsia="Arial" w:hAnsi="Arial"/>
                <w:sz w:val="14"/>
                <w:szCs w:val="14"/>
                <w:b w:val="1"/>
                <w:bCs w:val="1"/>
                <w:color w:val="auto"/>
                <w:w w:val="92"/>
              </w:rPr>
              <w:t>the Plans or</w:t>
            </w:r>
          </w:p>
        </w:tc>
        <w:tc>
          <w:tcPr>
            <w:tcW w:w="0" w:type="dxa"/>
            <w:vAlign w:val="bottom"/>
          </w:tcPr>
          <w:p>
            <w:pPr>
              <w:spacing w:after="0"/>
              <w:rPr>
                <w:sz w:val="1"/>
                <w:szCs w:val="1"/>
                <w:color w:val="auto"/>
              </w:rPr>
            </w:pPr>
          </w:p>
        </w:tc>
      </w:tr>
      <w:tr>
        <w:trPr>
          <w:trHeight w:val="135"/>
        </w:trPr>
        <w:tc>
          <w:tcPr>
            <w:tcW w:w="3640" w:type="dxa"/>
            <w:vAlign w:val="bottom"/>
            <w:vMerge w:val="restart"/>
          </w:tcPr>
          <w:p>
            <w:pPr>
              <w:spacing w:after="0"/>
              <w:rPr>
                <w:sz w:val="20"/>
                <w:szCs w:val="20"/>
                <w:color w:val="auto"/>
              </w:rPr>
            </w:pPr>
            <w:r>
              <w:rPr>
                <w:rFonts w:ascii="Arial" w:cs="Arial" w:eastAsia="Arial" w:hAnsi="Arial"/>
                <w:sz w:val="14"/>
                <w:szCs w:val="14"/>
                <w:b w:val="1"/>
                <w:bCs w:val="1"/>
                <w:color w:val="auto"/>
              </w:rPr>
              <w:t>Period</w:t>
            </w:r>
          </w:p>
        </w:tc>
        <w:tc>
          <w:tcPr>
            <w:tcW w:w="280" w:type="dxa"/>
            <w:vAlign w:val="bottom"/>
            <w:vMerge w:val="restart"/>
          </w:tcPr>
          <w:p>
            <w:pPr>
              <w:spacing w:after="0"/>
              <w:rPr>
                <w:sz w:val="11"/>
                <w:szCs w:val="11"/>
                <w:color w:val="auto"/>
              </w:rPr>
            </w:pPr>
          </w:p>
        </w:tc>
        <w:tc>
          <w:tcPr>
            <w:tcW w:w="1740" w:type="dxa"/>
            <w:vAlign w:val="bottom"/>
            <w:gridSpan w:val="2"/>
          </w:tcPr>
          <w:p>
            <w:pPr>
              <w:jc w:val="center"/>
              <w:ind w:right="360"/>
              <w:spacing w:after="0" w:line="135" w:lineRule="exact"/>
              <w:rPr>
                <w:sz w:val="20"/>
                <w:szCs w:val="20"/>
                <w:color w:val="auto"/>
              </w:rPr>
            </w:pPr>
            <w:r>
              <w:rPr>
                <w:rFonts w:ascii="Arial" w:cs="Arial" w:eastAsia="Arial" w:hAnsi="Arial"/>
                <w:sz w:val="14"/>
                <w:szCs w:val="14"/>
                <w:b w:val="1"/>
                <w:bCs w:val="1"/>
                <w:color w:val="auto"/>
                <w:w w:val="95"/>
              </w:rPr>
              <w:t>Units)</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80" w:type="dxa"/>
            <w:vAlign w:val="bottom"/>
            <w:gridSpan w:val="2"/>
          </w:tcPr>
          <w:p>
            <w:pPr>
              <w:jc w:val="center"/>
              <w:ind w:right="640"/>
              <w:spacing w:after="0" w:line="135" w:lineRule="exact"/>
              <w:rPr>
                <w:sz w:val="20"/>
                <w:szCs w:val="20"/>
                <w:color w:val="auto"/>
              </w:rPr>
            </w:pPr>
            <w:r>
              <w:rPr>
                <w:rFonts w:ascii="Arial" w:cs="Arial" w:eastAsia="Arial" w:hAnsi="Arial"/>
                <w:sz w:val="14"/>
                <w:szCs w:val="14"/>
                <w:b w:val="1"/>
                <w:bCs w:val="1"/>
                <w:color w:val="auto"/>
                <w:w w:val="92"/>
              </w:rPr>
              <w:t>Share</w:t>
            </w:r>
          </w:p>
        </w:tc>
        <w:tc>
          <w:tcPr>
            <w:tcW w:w="15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Announced</w:t>
            </w: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960" w:type="dxa"/>
            <w:vAlign w:val="bottom"/>
            <w:gridSpan w:val="2"/>
          </w:tcPr>
          <w:p>
            <w:pPr>
              <w:jc w:val="center"/>
              <w:ind w:right="760"/>
              <w:spacing w:after="0" w:line="135" w:lineRule="exact"/>
              <w:rPr>
                <w:sz w:val="20"/>
                <w:szCs w:val="20"/>
                <w:color w:val="auto"/>
              </w:rPr>
            </w:pPr>
            <w:r>
              <w:rPr>
                <w:rFonts w:ascii="Arial" w:cs="Arial" w:eastAsia="Arial" w:hAnsi="Arial"/>
                <w:sz w:val="14"/>
                <w:szCs w:val="14"/>
                <w:b w:val="1"/>
                <w:bCs w:val="1"/>
                <w:color w:val="auto"/>
                <w:w w:val="92"/>
              </w:rPr>
              <w:t>Programs (in</w:t>
            </w:r>
          </w:p>
        </w:tc>
        <w:tc>
          <w:tcPr>
            <w:tcW w:w="0" w:type="dxa"/>
            <w:vAlign w:val="bottom"/>
          </w:tcPr>
          <w:p>
            <w:pPr>
              <w:spacing w:after="0"/>
              <w:rPr>
                <w:sz w:val="1"/>
                <w:szCs w:val="1"/>
                <w:color w:val="auto"/>
              </w:rPr>
            </w:pPr>
          </w:p>
        </w:tc>
      </w:tr>
      <w:tr>
        <w:trPr>
          <w:trHeight w:val="162"/>
        </w:trPr>
        <w:tc>
          <w:tcPr>
            <w:tcW w:w="3640" w:type="dxa"/>
            <w:vAlign w:val="bottom"/>
            <w:tcBorders>
              <w:bottom w:val="single" w:sz="8" w:color="auto"/>
            </w:tcBorders>
            <w:vMerge w:val="continue"/>
          </w:tcPr>
          <w:p>
            <w:pPr>
              <w:spacing w:after="0"/>
              <w:rPr>
                <w:sz w:val="14"/>
                <w:szCs w:val="14"/>
                <w:color w:val="auto"/>
              </w:rPr>
            </w:pPr>
          </w:p>
        </w:tc>
        <w:tc>
          <w:tcPr>
            <w:tcW w:w="280" w:type="dxa"/>
            <w:vAlign w:val="bottom"/>
            <w:tcBorders>
              <w:bottom w:val="single" w:sz="8" w:color="CCEEFF"/>
            </w:tcBorders>
            <w:vMerge w:val="continue"/>
          </w:tcPr>
          <w:p>
            <w:pPr>
              <w:spacing w:after="0"/>
              <w:rPr>
                <w:sz w:val="14"/>
                <w:szCs w:val="14"/>
                <w:color w:val="auto"/>
              </w:rPr>
            </w:pPr>
          </w:p>
        </w:tc>
        <w:tc>
          <w:tcPr>
            <w:tcW w:w="14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Purchased</w:t>
            </w:r>
          </w:p>
        </w:tc>
        <w:tc>
          <w:tcPr>
            <w:tcW w:w="340" w:type="dxa"/>
            <w:vAlign w:val="bottom"/>
            <w:tcBorders>
              <w:bottom w:val="single" w:sz="8" w:color="CCEEFF"/>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center"/>
              <w:ind w:right="179"/>
              <w:spacing w:after="0"/>
              <w:rPr>
                <w:sz w:val="20"/>
                <w:szCs w:val="20"/>
                <w:color w:val="auto"/>
              </w:rPr>
            </w:pPr>
            <w:r>
              <w:rPr>
                <w:rFonts w:ascii="Arial" w:cs="Arial" w:eastAsia="Arial" w:hAnsi="Arial"/>
                <w:sz w:val="14"/>
                <w:szCs w:val="14"/>
                <w:b w:val="1"/>
                <w:bCs w:val="1"/>
                <w:color w:val="auto"/>
                <w:w w:val="99"/>
              </w:rPr>
              <w:t>(or Unit)</w:t>
            </w:r>
          </w:p>
        </w:tc>
        <w:tc>
          <w:tcPr>
            <w:tcW w:w="400" w:type="dxa"/>
            <w:vAlign w:val="bottom"/>
            <w:tcBorders>
              <w:bottom w:val="single" w:sz="8" w:color="CCEEFF"/>
            </w:tcBorders>
          </w:tcPr>
          <w:p>
            <w:pPr>
              <w:spacing w:after="0"/>
              <w:rPr>
                <w:sz w:val="14"/>
                <w:szCs w:val="14"/>
                <w:color w:val="auto"/>
              </w:rPr>
            </w:pPr>
          </w:p>
        </w:tc>
        <w:tc>
          <w:tcPr>
            <w:tcW w:w="15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Plans or Programs</w:t>
            </w:r>
          </w:p>
        </w:tc>
        <w:tc>
          <w:tcPr>
            <w:tcW w:w="3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tcPr>
          <w:p>
            <w:pPr>
              <w:jc w:val="center"/>
              <w:ind w:right="101"/>
              <w:spacing w:after="0"/>
              <w:rPr>
                <w:sz w:val="20"/>
                <w:szCs w:val="20"/>
                <w:color w:val="auto"/>
              </w:rPr>
            </w:pPr>
            <w:r>
              <w:rPr>
                <w:rFonts w:ascii="Arial" w:cs="Arial" w:eastAsia="Arial" w:hAnsi="Arial"/>
                <w:sz w:val="14"/>
                <w:szCs w:val="14"/>
                <w:b w:val="1"/>
                <w:bCs w:val="1"/>
                <w:color w:val="auto"/>
                <w:w w:val="93"/>
              </w:rPr>
              <w:t>millions)</w:t>
            </w:r>
          </w:p>
        </w:tc>
        <w:tc>
          <w:tcPr>
            <w:tcW w:w="6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January 1, 2006 – January 31, 2006</w:t>
            </w:r>
          </w:p>
        </w:tc>
        <w:tc>
          <w:tcPr>
            <w:tcW w:w="280" w:type="dxa"/>
            <w:vAlign w:val="bottom"/>
            <w:shd w:val="clear" w:color="auto" w:fill="CCEEFF"/>
          </w:tcPr>
          <w:p>
            <w:pPr>
              <w:spacing w:after="0"/>
              <w:rPr>
                <w:sz w:val="18"/>
                <w:szCs w:val="18"/>
                <w:color w:val="auto"/>
              </w:rPr>
            </w:pPr>
          </w:p>
        </w:tc>
        <w:tc>
          <w:tcPr>
            <w:tcW w:w="1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886,250(1)</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47.19</w:t>
            </w:r>
          </w:p>
        </w:tc>
        <w:tc>
          <w:tcPr>
            <w:tcW w:w="400" w:type="dxa"/>
            <w:vAlign w:val="bottom"/>
            <w:shd w:val="clear" w:color="auto" w:fill="CCEEFF"/>
          </w:tcPr>
          <w:p>
            <w:pPr>
              <w:spacing w:after="0"/>
              <w:rPr>
                <w:sz w:val="18"/>
                <w:szCs w:val="18"/>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886,200</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b w:val="1"/>
                <w:bCs w:val="1"/>
                <w:color w:val="auto"/>
                <w:w w:val="71"/>
              </w:rPr>
              <w:t>$</w:t>
            </w:r>
          </w:p>
        </w:tc>
        <w:tc>
          <w:tcPr>
            <w:tcW w:w="19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b w:val="1"/>
                <w:bCs w:val="1"/>
                <w:color w:val="auto"/>
              </w:rPr>
              <w:t>208.2(2)</w:t>
            </w:r>
          </w:p>
        </w:tc>
        <w:tc>
          <w:tcPr>
            <w:tcW w:w="0" w:type="dxa"/>
            <w:vAlign w:val="bottom"/>
          </w:tcPr>
          <w:p>
            <w:pPr>
              <w:spacing w:after="0"/>
              <w:rPr>
                <w:sz w:val="1"/>
                <w:szCs w:val="1"/>
                <w:color w:val="auto"/>
              </w:rPr>
            </w:pPr>
          </w:p>
        </w:tc>
      </w:tr>
      <w:tr>
        <w:trPr>
          <w:trHeight w:val="216"/>
        </w:trPr>
        <w:tc>
          <w:tcPr>
            <w:tcW w:w="3920" w:type="dxa"/>
            <w:vAlign w:val="bottom"/>
            <w:gridSpan w:val="2"/>
          </w:tcPr>
          <w:p>
            <w:pPr>
              <w:spacing w:after="0"/>
              <w:rPr>
                <w:sz w:val="20"/>
                <w:szCs w:val="20"/>
                <w:color w:val="auto"/>
              </w:rPr>
            </w:pPr>
            <w:r>
              <w:rPr>
                <w:rFonts w:ascii="Arial" w:cs="Arial" w:eastAsia="Arial" w:hAnsi="Arial"/>
                <w:sz w:val="18"/>
                <w:szCs w:val="18"/>
                <w:color w:val="auto"/>
              </w:rPr>
              <w:t>February 1, 2006 – February 28, 2006</w:t>
            </w:r>
          </w:p>
        </w:tc>
        <w:tc>
          <w:tcPr>
            <w:tcW w:w="17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824,276(1)</w:t>
            </w:r>
          </w:p>
        </w:tc>
        <w:tc>
          <w:tcPr>
            <w:tcW w:w="360" w:type="dxa"/>
            <w:vAlign w:val="bottom"/>
            <w:gridSpan w:val="2"/>
          </w:tcPr>
          <w:p>
            <w:pPr>
              <w:jc w:val="right"/>
              <w:ind w:right="50"/>
              <w:spacing w:after="0"/>
              <w:rPr>
                <w:sz w:val="20"/>
                <w:szCs w:val="20"/>
                <w:color w:val="auto"/>
              </w:rPr>
            </w:pPr>
            <w:r>
              <w:rPr>
                <w:rFonts w:ascii="Arial" w:cs="Arial" w:eastAsia="Arial" w:hAnsi="Arial"/>
                <w:sz w:val="18"/>
                <w:szCs w:val="18"/>
                <w:b w:val="1"/>
                <w:bCs w:val="1"/>
                <w:color w:val="auto"/>
              </w:rPr>
              <w:t>$</w:t>
            </w: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48.14</w:t>
            </w:r>
          </w:p>
        </w:tc>
        <w:tc>
          <w:tcPr>
            <w:tcW w:w="40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8"/>
                <w:szCs w:val="18"/>
                <w:b w:val="1"/>
                <w:bCs w:val="1"/>
                <w:color w:val="auto"/>
              </w:rPr>
              <w:t>814,895</w:t>
            </w:r>
          </w:p>
        </w:tc>
        <w:tc>
          <w:tcPr>
            <w:tcW w:w="460" w:type="dxa"/>
            <w:vAlign w:val="bottom"/>
            <w:gridSpan w:val="2"/>
          </w:tcPr>
          <w:p>
            <w:pPr>
              <w:jc w:val="right"/>
              <w:ind w:right="5"/>
              <w:spacing w:after="0"/>
              <w:rPr>
                <w:sz w:val="20"/>
                <w:szCs w:val="20"/>
                <w:color w:val="auto"/>
              </w:rPr>
            </w:pPr>
            <w:r>
              <w:rPr>
                <w:rFonts w:ascii="Arial" w:cs="Arial" w:eastAsia="Arial" w:hAnsi="Arial"/>
                <w:sz w:val="18"/>
                <w:szCs w:val="18"/>
                <w:b w:val="1"/>
                <w:bCs w:val="1"/>
                <w:color w:val="auto"/>
              </w:rPr>
              <w:t>$</w:t>
            </w:r>
          </w:p>
        </w:tc>
        <w:tc>
          <w:tcPr>
            <w:tcW w:w="1960" w:type="dxa"/>
            <w:vAlign w:val="bottom"/>
            <w:gridSpan w:val="2"/>
          </w:tcPr>
          <w:p>
            <w:pPr>
              <w:jc w:val="right"/>
              <w:ind w:right="380"/>
              <w:spacing w:after="0"/>
              <w:rPr>
                <w:sz w:val="20"/>
                <w:szCs w:val="20"/>
                <w:color w:val="auto"/>
              </w:rPr>
            </w:pPr>
            <w:r>
              <w:rPr>
                <w:rFonts w:ascii="Arial" w:cs="Arial" w:eastAsia="Arial" w:hAnsi="Arial"/>
                <w:sz w:val="18"/>
                <w:szCs w:val="18"/>
                <w:b w:val="1"/>
                <w:bCs w:val="1"/>
                <w:color w:val="auto"/>
              </w:rPr>
              <w:t>169.0(2)</w:t>
            </w:r>
          </w:p>
        </w:tc>
        <w:tc>
          <w:tcPr>
            <w:tcW w:w="0" w:type="dxa"/>
            <w:vAlign w:val="bottom"/>
          </w:tcPr>
          <w:p>
            <w:pPr>
              <w:spacing w:after="0"/>
              <w:rPr>
                <w:sz w:val="1"/>
                <w:szCs w:val="1"/>
                <w:color w:val="auto"/>
              </w:rPr>
            </w:pPr>
          </w:p>
        </w:tc>
      </w:tr>
      <w:tr>
        <w:trPr>
          <w:trHeight w:val="216"/>
        </w:trPr>
        <w:tc>
          <w:tcPr>
            <w:tcW w:w="3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March 1, 2006 – March 31, 2006</w:t>
            </w:r>
          </w:p>
        </w:tc>
        <w:tc>
          <w:tcPr>
            <w:tcW w:w="1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1,672,028(1)</w:t>
            </w:r>
          </w:p>
        </w:tc>
        <w:tc>
          <w:tcPr>
            <w:tcW w:w="36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49.06</w:t>
            </w:r>
          </w:p>
        </w:tc>
        <w:tc>
          <w:tcPr>
            <w:tcW w:w="400" w:type="dxa"/>
            <w:vAlign w:val="bottom"/>
            <w:shd w:val="clear" w:color="auto" w:fill="CCEEFF"/>
          </w:tcPr>
          <w:p>
            <w:pPr>
              <w:spacing w:after="0"/>
              <w:rPr>
                <w:sz w:val="18"/>
                <w:szCs w:val="18"/>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1,655,200</w:t>
            </w:r>
          </w:p>
        </w:tc>
        <w:tc>
          <w:tcPr>
            <w:tcW w:w="46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b w:val="1"/>
                <w:bCs w:val="1"/>
                <w:color w:val="auto"/>
              </w:rPr>
              <w:t>$</w:t>
            </w:r>
          </w:p>
        </w:tc>
        <w:tc>
          <w:tcPr>
            <w:tcW w:w="19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b w:val="1"/>
                <w:bCs w:val="1"/>
                <w:color w:val="auto"/>
              </w:rPr>
              <w:t>87.7(2)</w:t>
            </w:r>
          </w:p>
        </w:tc>
        <w:tc>
          <w:tcPr>
            <w:tcW w:w="0" w:type="dxa"/>
            <w:vAlign w:val="bottom"/>
          </w:tcPr>
          <w:p>
            <w:pPr>
              <w:spacing w:after="0"/>
              <w:rPr>
                <w:sz w:val="1"/>
                <w:szCs w:val="1"/>
                <w:color w:val="auto"/>
              </w:rPr>
            </w:pPr>
          </w:p>
        </w:tc>
      </w:tr>
      <w:tr>
        <w:trPr>
          <w:trHeight w:val="216"/>
        </w:trPr>
        <w:tc>
          <w:tcPr>
            <w:tcW w:w="3920" w:type="dxa"/>
            <w:vAlign w:val="bottom"/>
            <w:gridSpan w:val="2"/>
          </w:tcPr>
          <w:p>
            <w:pPr>
              <w:spacing w:after="0"/>
              <w:rPr>
                <w:sz w:val="20"/>
                <w:szCs w:val="20"/>
                <w:color w:val="auto"/>
              </w:rPr>
            </w:pPr>
            <w:r>
              <w:rPr>
                <w:rFonts w:ascii="Arial" w:cs="Arial" w:eastAsia="Arial" w:hAnsi="Arial"/>
                <w:sz w:val="18"/>
                <w:szCs w:val="18"/>
                <w:color w:val="auto"/>
              </w:rPr>
              <w:t>April 1, 2006 – April 30, 2006</w:t>
            </w:r>
          </w:p>
        </w:tc>
        <w:tc>
          <w:tcPr>
            <w:tcW w:w="17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1,102,043(1)</w:t>
            </w:r>
          </w:p>
        </w:tc>
        <w:tc>
          <w:tcPr>
            <w:tcW w:w="360" w:type="dxa"/>
            <w:vAlign w:val="bottom"/>
            <w:gridSpan w:val="2"/>
          </w:tcPr>
          <w:p>
            <w:pPr>
              <w:jc w:val="right"/>
              <w:ind w:right="50"/>
              <w:spacing w:after="0"/>
              <w:rPr>
                <w:sz w:val="20"/>
                <w:szCs w:val="20"/>
                <w:color w:val="auto"/>
              </w:rPr>
            </w:pPr>
            <w:r>
              <w:rPr>
                <w:rFonts w:ascii="Arial" w:cs="Arial" w:eastAsia="Arial" w:hAnsi="Arial"/>
                <w:sz w:val="18"/>
                <w:szCs w:val="18"/>
                <w:b w:val="1"/>
                <w:bCs w:val="1"/>
                <w:color w:val="auto"/>
              </w:rPr>
              <w:t>$</w:t>
            </w: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49.58</w:t>
            </w:r>
          </w:p>
        </w:tc>
        <w:tc>
          <w:tcPr>
            <w:tcW w:w="40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8"/>
                <w:szCs w:val="18"/>
                <w:b w:val="1"/>
                <w:bCs w:val="1"/>
                <w:color w:val="auto"/>
              </w:rPr>
              <w:t>1,102,000</w:t>
            </w:r>
          </w:p>
        </w:tc>
        <w:tc>
          <w:tcPr>
            <w:tcW w:w="460" w:type="dxa"/>
            <w:vAlign w:val="bottom"/>
            <w:gridSpan w:val="2"/>
          </w:tcPr>
          <w:p>
            <w:pPr>
              <w:jc w:val="right"/>
              <w:ind w:right="5"/>
              <w:spacing w:after="0"/>
              <w:rPr>
                <w:sz w:val="20"/>
                <w:szCs w:val="20"/>
                <w:color w:val="auto"/>
              </w:rPr>
            </w:pPr>
            <w:r>
              <w:rPr>
                <w:rFonts w:ascii="Arial" w:cs="Arial" w:eastAsia="Arial" w:hAnsi="Arial"/>
                <w:sz w:val="18"/>
                <w:szCs w:val="18"/>
                <w:b w:val="1"/>
                <w:bCs w:val="1"/>
                <w:color w:val="auto"/>
              </w:rPr>
              <w:t>$</w:t>
            </w:r>
          </w:p>
        </w:tc>
        <w:tc>
          <w:tcPr>
            <w:tcW w:w="1960" w:type="dxa"/>
            <w:vAlign w:val="bottom"/>
            <w:gridSpan w:val="2"/>
          </w:tcPr>
          <w:p>
            <w:pPr>
              <w:jc w:val="right"/>
              <w:ind w:right="380"/>
              <w:spacing w:after="0"/>
              <w:rPr>
                <w:sz w:val="20"/>
                <w:szCs w:val="20"/>
                <w:color w:val="auto"/>
              </w:rPr>
            </w:pPr>
            <w:r>
              <w:rPr>
                <w:rFonts w:ascii="Arial" w:cs="Arial" w:eastAsia="Arial" w:hAnsi="Arial"/>
                <w:sz w:val="18"/>
                <w:szCs w:val="18"/>
                <w:b w:val="1"/>
                <w:bCs w:val="1"/>
                <w:color w:val="auto"/>
              </w:rPr>
              <w:t>33.1(2)</w:t>
            </w:r>
          </w:p>
        </w:tc>
        <w:tc>
          <w:tcPr>
            <w:tcW w:w="0" w:type="dxa"/>
            <w:vAlign w:val="bottom"/>
          </w:tcPr>
          <w:p>
            <w:pPr>
              <w:spacing w:after="0"/>
              <w:rPr>
                <w:sz w:val="1"/>
                <w:szCs w:val="1"/>
                <w:color w:val="auto"/>
              </w:rPr>
            </w:pPr>
          </w:p>
        </w:tc>
      </w:tr>
      <w:tr>
        <w:trPr>
          <w:trHeight w:val="216"/>
        </w:trPr>
        <w:tc>
          <w:tcPr>
            <w:tcW w:w="3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May 1, 2006 – May 31, 2006</w:t>
            </w: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8,296,702</w:t>
            </w:r>
          </w:p>
        </w:tc>
        <w:tc>
          <w:tcPr>
            <w:tcW w:w="3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w:t>
            </w:r>
          </w:p>
        </w:tc>
        <w:tc>
          <w:tcPr>
            <w:tcW w:w="14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64.26(3)</w:t>
            </w: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8,296,702</w:t>
            </w:r>
          </w:p>
        </w:tc>
        <w:tc>
          <w:tcPr>
            <w:tcW w:w="46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b w:val="1"/>
                <w:bCs w:val="1"/>
                <w:color w:val="auto"/>
              </w:rPr>
              <w:t>$</w:t>
            </w:r>
          </w:p>
        </w:tc>
        <w:tc>
          <w:tcPr>
            <w:tcW w:w="1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—(2) (3)</w:t>
            </w:r>
          </w:p>
        </w:tc>
        <w:tc>
          <w:tcPr>
            <w:tcW w:w="0" w:type="dxa"/>
            <w:vAlign w:val="bottom"/>
          </w:tcPr>
          <w:p>
            <w:pPr>
              <w:spacing w:after="0"/>
              <w:rPr>
                <w:sz w:val="1"/>
                <w:szCs w:val="1"/>
                <w:color w:val="auto"/>
              </w:rPr>
            </w:pPr>
          </w:p>
        </w:tc>
      </w:tr>
      <w:tr>
        <w:trPr>
          <w:trHeight w:val="216"/>
        </w:trPr>
        <w:tc>
          <w:tcPr>
            <w:tcW w:w="3920" w:type="dxa"/>
            <w:vAlign w:val="bottom"/>
            <w:gridSpan w:val="2"/>
          </w:tcPr>
          <w:p>
            <w:pPr>
              <w:spacing w:after="0"/>
              <w:rPr>
                <w:sz w:val="20"/>
                <w:szCs w:val="20"/>
                <w:color w:val="auto"/>
              </w:rPr>
            </w:pPr>
            <w:r>
              <w:rPr>
                <w:rFonts w:ascii="Arial" w:cs="Arial" w:eastAsia="Arial" w:hAnsi="Arial"/>
                <w:sz w:val="18"/>
                <w:szCs w:val="18"/>
                <w:color w:val="auto"/>
              </w:rPr>
              <w:t>June 1, 2006 – June 30, 2006</w:t>
            </w:r>
          </w:p>
        </w:tc>
        <w:tc>
          <w:tcPr>
            <w:tcW w:w="174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rPr>
              <w:t>—</w:t>
            </w:r>
          </w:p>
        </w:tc>
        <w:tc>
          <w:tcPr>
            <w:tcW w:w="360" w:type="dxa"/>
            <w:vAlign w:val="bottom"/>
            <w:gridSpan w:val="2"/>
          </w:tcPr>
          <w:p>
            <w:pPr>
              <w:jc w:val="right"/>
              <w:ind w:right="50"/>
              <w:spacing w:after="0"/>
              <w:rPr>
                <w:sz w:val="20"/>
                <w:szCs w:val="20"/>
                <w:color w:val="auto"/>
              </w:rPr>
            </w:pPr>
            <w:r>
              <w:rPr>
                <w:rFonts w:ascii="Arial" w:cs="Arial" w:eastAsia="Arial" w:hAnsi="Arial"/>
                <w:sz w:val="18"/>
                <w:szCs w:val="18"/>
                <w:b w:val="1"/>
                <w:bCs w:val="1"/>
                <w:color w:val="auto"/>
              </w:rPr>
              <w:t>$</w:t>
            </w:r>
          </w:p>
        </w:tc>
        <w:tc>
          <w:tcPr>
            <w:tcW w:w="1480" w:type="dxa"/>
            <w:vAlign w:val="bottom"/>
            <w:gridSpan w:val="2"/>
          </w:tcPr>
          <w:p>
            <w:pPr>
              <w:jc w:val="right"/>
              <w:ind w:right="420"/>
              <w:spacing w:after="0"/>
              <w:rPr>
                <w:sz w:val="20"/>
                <w:szCs w:val="20"/>
                <w:color w:val="auto"/>
              </w:rPr>
            </w:pPr>
            <w:r>
              <w:rPr>
                <w:rFonts w:ascii="Arial" w:cs="Arial" w:eastAsia="Arial" w:hAnsi="Arial"/>
                <w:sz w:val="18"/>
                <w:szCs w:val="18"/>
                <w:b w:val="1"/>
                <w:bCs w:val="1"/>
                <w:color w:val="auto"/>
              </w:rPr>
              <w:t>—</w:t>
            </w:r>
          </w:p>
        </w:tc>
        <w:tc>
          <w:tcPr>
            <w:tcW w:w="150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460" w:type="dxa"/>
            <w:vAlign w:val="bottom"/>
            <w:gridSpan w:val="2"/>
          </w:tcPr>
          <w:p>
            <w:pPr>
              <w:jc w:val="right"/>
              <w:ind w:right="5"/>
              <w:spacing w:after="0"/>
              <w:rPr>
                <w:sz w:val="20"/>
                <w:szCs w:val="20"/>
                <w:color w:val="auto"/>
              </w:rPr>
            </w:pPr>
            <w:r>
              <w:rPr>
                <w:rFonts w:ascii="Arial" w:cs="Arial" w:eastAsia="Arial" w:hAnsi="Arial"/>
                <w:sz w:val="18"/>
                <w:szCs w:val="18"/>
                <w:b w:val="1"/>
                <w:bCs w:val="1"/>
                <w:color w:val="auto"/>
              </w:rPr>
              <w:t>$</w:t>
            </w:r>
          </w:p>
        </w:tc>
        <w:tc>
          <w:tcPr>
            <w:tcW w:w="1960" w:type="dxa"/>
            <w:vAlign w:val="bottom"/>
            <w:gridSpan w:val="2"/>
          </w:tcPr>
          <w:p>
            <w:pPr>
              <w:jc w:val="right"/>
              <w:ind w:right="60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0"/>
        </w:trPr>
        <w:tc>
          <w:tcPr>
            <w:tcW w:w="392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1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12,781,299</w:t>
            </w:r>
          </w:p>
        </w:tc>
        <w:tc>
          <w:tcPr>
            <w:tcW w:w="3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1080" w:type="dxa"/>
            <w:vAlign w:val="bottom"/>
            <w:tcBorders>
              <w:top w:val="single" w:sz="8" w:color="CCEEFF"/>
              <w:bottom w:val="single" w:sz="8" w:color="CCEEFF"/>
            </w:tcBorders>
            <w:shd w:val="clear" w:color="auto" w:fill="CCEEFF"/>
          </w:tcPr>
          <w:p>
            <w:pPr>
              <w:spacing w:after="0"/>
              <w:rPr>
                <w:sz w:val="18"/>
                <w:szCs w:val="18"/>
                <w:color w:val="auto"/>
              </w:rPr>
            </w:pPr>
          </w:p>
        </w:tc>
        <w:tc>
          <w:tcPr>
            <w:tcW w:w="400" w:type="dxa"/>
            <w:vAlign w:val="bottom"/>
            <w:tcBorders>
              <w:top w:val="single" w:sz="8" w:color="CCEEFF"/>
              <w:bottom w:val="single" w:sz="8" w:color="CCEEFF"/>
            </w:tcBorders>
            <w:shd w:val="clear" w:color="auto" w:fill="CCEEFF"/>
          </w:tcPr>
          <w:p>
            <w:pPr>
              <w:spacing w:after="0"/>
              <w:rPr>
                <w:sz w:val="18"/>
                <w:szCs w:val="18"/>
                <w:color w:val="auto"/>
              </w:rPr>
            </w:pPr>
          </w:p>
        </w:tc>
        <w:tc>
          <w:tcPr>
            <w:tcW w:w="1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12,754,997</w:t>
            </w:r>
          </w:p>
        </w:tc>
        <w:tc>
          <w:tcPr>
            <w:tcW w:w="30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360" w:type="dxa"/>
            <w:vAlign w:val="bottom"/>
            <w:tcBorders>
              <w:top w:val="single" w:sz="8" w:color="CCEEFF"/>
              <w:bottom w:val="single" w:sz="8" w:color="CCEEFF"/>
            </w:tcBorders>
            <w:shd w:val="clear" w:color="auto" w:fill="CCEEFF"/>
          </w:tcPr>
          <w:p>
            <w:pPr>
              <w:spacing w:after="0"/>
              <w:rPr>
                <w:sz w:val="18"/>
                <w:szCs w:val="18"/>
                <w:color w:val="auto"/>
              </w:rPr>
            </w:pPr>
          </w:p>
        </w:tc>
        <w:tc>
          <w:tcPr>
            <w:tcW w:w="6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6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389380" cy="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640" w:right="120" w:hanging="632"/>
        <w:spacing w:after="0" w:line="277" w:lineRule="auto"/>
        <w:tabs>
          <w:tab w:leader="none" w:pos="665"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number of shares include shares of common stock utilized to execute certain stock incentive awards in 2006: 50 shares in January, 9,381 shares in February, 16,828 shares in March and 43 shares in April.</w:t>
      </w:r>
    </w:p>
    <w:p>
      <w:pPr>
        <w:spacing w:after="0" w:line="170" w:lineRule="exact"/>
        <w:rPr>
          <w:rFonts w:ascii="Arial" w:cs="Arial" w:eastAsia="Arial" w:hAnsi="Arial"/>
          <w:sz w:val="18"/>
          <w:szCs w:val="18"/>
          <w:color w:val="auto"/>
        </w:rPr>
      </w:pPr>
    </w:p>
    <w:p>
      <w:pPr>
        <w:ind w:left="660" w:right="80" w:hanging="652"/>
        <w:spacing w:after="0" w:line="277" w:lineRule="auto"/>
        <w:tabs>
          <w:tab w:leader="none" w:pos="681" w:val="left"/>
        </w:tabs>
        <w:numPr>
          <w:ilvl w:val="0"/>
          <w:numId w:val="37"/>
        </w:numPr>
        <w:rPr>
          <w:rFonts w:ascii="Arial" w:cs="Arial" w:eastAsia="Arial" w:hAnsi="Arial"/>
          <w:sz w:val="18"/>
          <w:szCs w:val="18"/>
          <w:color w:val="auto"/>
        </w:rPr>
      </w:pPr>
      <w:r>
        <w:rPr>
          <w:rFonts w:ascii="Arial" w:cs="Arial" w:eastAsia="Arial" w:hAnsi="Arial"/>
          <w:sz w:val="18"/>
          <w:szCs w:val="18"/>
          <w:color w:val="auto"/>
        </w:rPr>
        <w:t>In November 2005, our Board of Directors authorized a repurchase program of up to $250.0 million of our outstanding common stock. On May 18, 2006, the program announced in November 2005 was completed.</w:t>
      </w:r>
    </w:p>
    <w:p>
      <w:pPr>
        <w:spacing w:after="0" w:line="170" w:lineRule="exact"/>
        <w:rPr>
          <w:rFonts w:ascii="Arial" w:cs="Arial" w:eastAsia="Arial" w:hAnsi="Arial"/>
          <w:sz w:val="18"/>
          <w:szCs w:val="18"/>
          <w:color w:val="auto"/>
        </w:rPr>
      </w:pPr>
    </w:p>
    <w:p>
      <w:pPr>
        <w:jc w:val="both"/>
        <w:ind w:left="660" w:right="200" w:hanging="652"/>
        <w:spacing w:after="0" w:line="342" w:lineRule="auto"/>
        <w:tabs>
          <w:tab w:leader="none" w:pos="681" w:val="left"/>
        </w:tabs>
        <w:numPr>
          <w:ilvl w:val="0"/>
          <w:numId w:val="37"/>
        </w:numPr>
        <w:rPr>
          <w:rFonts w:ascii="Arial" w:cs="Arial" w:eastAsia="Arial" w:hAnsi="Arial"/>
          <w:sz w:val="16"/>
          <w:szCs w:val="16"/>
          <w:color w:val="auto"/>
        </w:rPr>
      </w:pPr>
      <w:r>
        <w:rPr>
          <w:rFonts w:ascii="Arial" w:cs="Arial" w:eastAsia="Arial" w:hAnsi="Arial"/>
          <w:sz w:val="16"/>
          <w:szCs w:val="16"/>
          <w:color w:val="auto"/>
        </w:rPr>
        <w:t>In May 2006, our Board of Directors authorized a repurchase program of up to $500.0 million of our outstanding common stock. We paid $500.0 million and received the initial delivery of 7.7 million common shares, while retaining the right to receive additional common shares depending on</w:t>
      </w:r>
    </w:p>
    <w:p>
      <w:pPr>
        <w:sectPr>
          <w:pgSz w:w="11900" w:h="16854" w:orient="portrait"/>
          <w:cols w:equalWidth="0" w:num="1">
            <w:col w:w="11420"/>
          </w:cols>
          <w:pgMar w:left="240" w:top="121" w:right="239" w:bottom="0" w:gutter="0" w:footer="0" w:header="0"/>
        </w:sectPr>
      </w:pPr>
    </w:p>
    <w:bookmarkStart w:id="62" w:name="page63"/>
    <w:bookmarkEnd w:id="62"/>
    <w:p>
      <w:pPr>
        <w:ind w:left="660" w:right="340"/>
        <w:spacing w:after="0" w:line="277" w:lineRule="auto"/>
        <w:rPr>
          <w:sz w:val="20"/>
          <w:szCs w:val="20"/>
          <w:color w:val="auto"/>
        </w:rPr>
      </w:pPr>
      <w:r>
        <w:rPr>
          <w:rFonts w:ascii="Arial" w:cs="Arial" w:eastAsia="Arial" w:hAnsi="Arial"/>
          <w:sz w:val="18"/>
          <w:szCs w:val="18"/>
          <w:color w:val="auto"/>
        </w:rPr>
        <w:t>the volume weighted average share price of our common stock over the program’s duration. The program will be completed in the fourth quarter 2006.</w:t>
      </w:r>
    </w:p>
    <w:p>
      <w:pPr>
        <w:spacing w:after="0" w:line="38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Submission of Matters to a Vote of Security Holders</w:t>
      </w:r>
    </w:p>
    <w:p>
      <w:pPr>
        <w:spacing w:after="0" w:line="229"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At the Company’s annual meeting of stockholders on May 16, 2006, the stockholders elected five Class II directors each for a term expiring at the Company’s 2009 annual meeting. The voting results were as follows:</w:t>
      </w:r>
    </w:p>
    <w:p>
      <w:pPr>
        <w:spacing w:after="0" w:line="132" w:lineRule="exact"/>
        <w:rPr>
          <w:sz w:val="20"/>
          <w:szCs w:val="20"/>
          <w:color w:val="auto"/>
        </w:rPr>
      </w:pPr>
    </w:p>
    <w:tbl>
      <w:tblPr>
        <w:tblLayout w:type="fixed"/>
        <w:tblInd w:w="25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120" w:type="dxa"/>
            <w:vAlign w:val="bottom"/>
          </w:tcPr>
          <w:p>
            <w:pPr>
              <w:spacing w:after="0"/>
              <w:rPr>
                <w:sz w:val="14"/>
                <w:szCs w:val="14"/>
                <w:color w:val="auto"/>
              </w:rPr>
            </w:pPr>
          </w:p>
        </w:tc>
        <w:tc>
          <w:tcPr>
            <w:tcW w:w="116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rPr>
              <w:t>VOTES FOR</w:t>
            </w:r>
          </w:p>
        </w:tc>
        <w:tc>
          <w:tcPr>
            <w:tcW w:w="1000" w:type="dxa"/>
            <w:vAlign w:val="bottom"/>
            <w:gridSpan w:val="2"/>
          </w:tcPr>
          <w:p>
            <w:pPr>
              <w:ind w:left="200"/>
              <w:spacing w:after="0"/>
              <w:rPr>
                <w:sz w:val="20"/>
                <w:szCs w:val="20"/>
                <w:color w:val="auto"/>
              </w:rPr>
            </w:pPr>
            <w:r>
              <w:rPr>
                <w:rFonts w:ascii="Arial" w:cs="Arial" w:eastAsia="Arial" w:hAnsi="Arial"/>
                <w:sz w:val="14"/>
                <w:szCs w:val="14"/>
                <w:b w:val="1"/>
                <w:bCs w:val="1"/>
                <w:color w:val="auto"/>
              </w:rPr>
              <w:t>VOTES</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120" w:type="dxa"/>
            <w:vAlign w:val="bottom"/>
          </w:tcPr>
          <w:p>
            <w:pPr>
              <w:spacing w:after="0"/>
              <w:rPr>
                <w:sz w:val="14"/>
                <w:szCs w:val="14"/>
                <w:color w:val="auto"/>
              </w:rPr>
            </w:pPr>
          </w:p>
        </w:tc>
        <w:tc>
          <w:tcPr>
            <w:tcW w:w="1160" w:type="dxa"/>
            <w:vAlign w:val="bottom"/>
            <w:gridSpan w:val="2"/>
            <w:vMerge w:val="continue"/>
          </w:tcPr>
          <w:p>
            <w:pPr>
              <w:spacing w:after="0"/>
              <w:rPr>
                <w:sz w:val="14"/>
                <w:szCs w:val="14"/>
                <w:color w:val="auto"/>
              </w:rPr>
            </w:pPr>
          </w:p>
        </w:tc>
        <w:tc>
          <w:tcPr>
            <w:tcW w:w="1000" w:type="dxa"/>
            <w:vAlign w:val="bottom"/>
            <w:gridSpan w:val="2"/>
          </w:tcPr>
          <w:p>
            <w:pPr>
              <w:ind w:left="40"/>
              <w:spacing w:after="0"/>
              <w:rPr>
                <w:sz w:val="20"/>
                <w:szCs w:val="20"/>
                <w:color w:val="auto"/>
              </w:rPr>
            </w:pPr>
            <w:r>
              <w:rPr>
                <w:rFonts w:ascii="Arial" w:cs="Arial" w:eastAsia="Arial" w:hAnsi="Arial"/>
                <w:sz w:val="14"/>
                <w:szCs w:val="14"/>
                <w:b w:val="1"/>
                <w:bCs w:val="1"/>
                <w:color w:val="auto"/>
              </w:rPr>
              <w:t>WITHHELD</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120" w:type="dxa"/>
            <w:vAlign w:val="bottom"/>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J. Barry Griswell</w:t>
            </w:r>
          </w:p>
        </w:tc>
        <w:tc>
          <w:tcPr>
            <w:tcW w:w="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157,502,081</w:t>
            </w: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ind w:left="180"/>
              <w:spacing w:after="0"/>
              <w:rPr>
                <w:sz w:val="20"/>
                <w:szCs w:val="20"/>
                <w:color w:val="auto"/>
              </w:rPr>
            </w:pPr>
            <w:r>
              <w:rPr>
                <w:rFonts w:ascii="Arial" w:cs="Arial" w:eastAsia="Arial" w:hAnsi="Arial"/>
                <w:sz w:val="18"/>
                <w:szCs w:val="18"/>
                <w:color w:val="auto"/>
                <w:w w:val="89"/>
              </w:rPr>
              <w:t>5,159,476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tcPr>
          <w:p>
            <w:pPr>
              <w:spacing w:after="0"/>
              <w:rPr>
                <w:sz w:val="20"/>
                <w:szCs w:val="20"/>
                <w:color w:val="auto"/>
              </w:rPr>
            </w:pPr>
            <w:r>
              <w:rPr>
                <w:rFonts w:ascii="Arial" w:cs="Arial" w:eastAsia="Arial" w:hAnsi="Arial"/>
                <w:sz w:val="18"/>
                <w:szCs w:val="18"/>
                <w:color w:val="auto"/>
              </w:rPr>
              <w:t>Richard L. Keyser</w:t>
            </w:r>
          </w:p>
        </w:tc>
        <w:tc>
          <w:tcPr>
            <w:tcW w:w="940" w:type="dxa"/>
            <w:vAlign w:val="bottom"/>
          </w:tcPr>
          <w:p>
            <w:pPr>
              <w:jc w:val="center"/>
              <w:spacing w:after="0"/>
              <w:rPr>
                <w:sz w:val="20"/>
                <w:szCs w:val="20"/>
                <w:color w:val="auto"/>
              </w:rPr>
            </w:pPr>
            <w:r>
              <w:rPr>
                <w:rFonts w:ascii="Arial" w:cs="Arial" w:eastAsia="Arial" w:hAnsi="Arial"/>
                <w:sz w:val="18"/>
                <w:szCs w:val="18"/>
                <w:color w:val="auto"/>
                <w:w w:val="89"/>
              </w:rPr>
              <w:t>159,834,387</w:t>
            </w:r>
          </w:p>
        </w:tc>
        <w:tc>
          <w:tcPr>
            <w:tcW w:w="220" w:type="dxa"/>
            <w:vAlign w:val="bottom"/>
          </w:tcPr>
          <w:p>
            <w:pPr>
              <w:spacing w:after="0"/>
              <w:rPr>
                <w:sz w:val="18"/>
                <w:szCs w:val="18"/>
                <w:color w:val="auto"/>
              </w:rPr>
            </w:pPr>
          </w:p>
        </w:tc>
        <w:tc>
          <w:tcPr>
            <w:tcW w:w="920" w:type="dxa"/>
            <w:vAlign w:val="bottom"/>
          </w:tcPr>
          <w:p>
            <w:pPr>
              <w:ind w:left="180"/>
              <w:spacing w:after="0"/>
              <w:rPr>
                <w:sz w:val="20"/>
                <w:szCs w:val="20"/>
                <w:color w:val="auto"/>
              </w:rPr>
            </w:pPr>
            <w:r>
              <w:rPr>
                <w:rFonts w:ascii="Arial" w:cs="Arial" w:eastAsia="Arial" w:hAnsi="Arial"/>
                <w:sz w:val="18"/>
                <w:szCs w:val="18"/>
                <w:color w:val="auto"/>
                <w:w w:val="89"/>
              </w:rPr>
              <w:t>2,287,170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Arjun K. Mathrani</w:t>
            </w:r>
          </w:p>
        </w:tc>
        <w:tc>
          <w:tcPr>
            <w:tcW w:w="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159,970,413</w:t>
            </w: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ind w:left="180"/>
              <w:spacing w:after="0"/>
              <w:rPr>
                <w:sz w:val="20"/>
                <w:szCs w:val="20"/>
                <w:color w:val="auto"/>
              </w:rPr>
            </w:pPr>
            <w:r>
              <w:rPr>
                <w:rFonts w:ascii="Arial" w:cs="Arial" w:eastAsia="Arial" w:hAnsi="Arial"/>
                <w:sz w:val="18"/>
                <w:szCs w:val="18"/>
                <w:color w:val="auto"/>
                <w:w w:val="89"/>
              </w:rPr>
              <w:t>2,691,144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tcPr>
          <w:p>
            <w:pPr>
              <w:spacing w:after="0"/>
              <w:rPr>
                <w:sz w:val="20"/>
                <w:szCs w:val="20"/>
                <w:color w:val="auto"/>
              </w:rPr>
            </w:pPr>
            <w:r>
              <w:rPr>
                <w:rFonts w:ascii="Arial" w:cs="Arial" w:eastAsia="Arial" w:hAnsi="Arial"/>
                <w:sz w:val="18"/>
                <w:szCs w:val="18"/>
                <w:color w:val="auto"/>
              </w:rPr>
              <w:t>Elizabeth E. Tallett</w:t>
            </w:r>
          </w:p>
        </w:tc>
        <w:tc>
          <w:tcPr>
            <w:tcW w:w="940" w:type="dxa"/>
            <w:vAlign w:val="bottom"/>
          </w:tcPr>
          <w:p>
            <w:pPr>
              <w:jc w:val="center"/>
              <w:spacing w:after="0"/>
              <w:rPr>
                <w:sz w:val="20"/>
                <w:szCs w:val="20"/>
                <w:color w:val="auto"/>
              </w:rPr>
            </w:pPr>
            <w:r>
              <w:rPr>
                <w:rFonts w:ascii="Arial" w:cs="Arial" w:eastAsia="Arial" w:hAnsi="Arial"/>
                <w:sz w:val="18"/>
                <w:szCs w:val="18"/>
                <w:color w:val="auto"/>
                <w:w w:val="89"/>
              </w:rPr>
              <w:t>154,468,902</w:t>
            </w:r>
          </w:p>
        </w:tc>
        <w:tc>
          <w:tcPr>
            <w:tcW w:w="220" w:type="dxa"/>
            <w:vAlign w:val="bottom"/>
          </w:tcPr>
          <w:p>
            <w:pPr>
              <w:spacing w:after="0"/>
              <w:rPr>
                <w:sz w:val="18"/>
                <w:szCs w:val="18"/>
                <w:color w:val="auto"/>
              </w:rPr>
            </w:pPr>
          </w:p>
        </w:tc>
        <w:tc>
          <w:tcPr>
            <w:tcW w:w="920" w:type="dxa"/>
            <w:vAlign w:val="bottom"/>
          </w:tcPr>
          <w:p>
            <w:pPr>
              <w:ind w:left="180"/>
              <w:spacing w:after="0"/>
              <w:rPr>
                <w:sz w:val="20"/>
                <w:szCs w:val="20"/>
                <w:color w:val="auto"/>
              </w:rPr>
            </w:pPr>
            <w:r>
              <w:rPr>
                <w:rFonts w:ascii="Arial" w:cs="Arial" w:eastAsia="Arial" w:hAnsi="Arial"/>
                <w:sz w:val="18"/>
                <w:szCs w:val="18"/>
                <w:color w:val="auto"/>
                <w:w w:val="89"/>
              </w:rPr>
              <w:t>8,192,655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Therese M. Vaughan</w:t>
            </w:r>
          </w:p>
        </w:tc>
        <w:tc>
          <w:tcPr>
            <w:tcW w:w="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160,132,201</w:t>
            </w: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ind w:left="180"/>
              <w:spacing w:after="0"/>
              <w:rPr>
                <w:sz w:val="20"/>
                <w:szCs w:val="20"/>
                <w:color w:val="auto"/>
              </w:rPr>
            </w:pPr>
            <w:r>
              <w:rPr>
                <w:rFonts w:ascii="Arial" w:cs="Arial" w:eastAsia="Arial" w:hAnsi="Arial"/>
                <w:sz w:val="18"/>
                <w:szCs w:val="18"/>
                <w:color w:val="auto"/>
                <w:w w:val="89"/>
              </w:rPr>
              <w:t>2,529,356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The directors whose terms of office continued and the years their terms expire are as follows: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CLASS I DIRECTORS – TERM EXPIRES IN 2008</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Betsy J. Bernard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Jocelyn Carter-Miller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Gary E. Costley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William T. Kerr</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CLASS III DIRECTORS – TERM EXPIRES IN 2007</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Michael T. Dan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David J. Drury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 Daniel Gelatt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Sandra L. Helton</w:t>
      </w:r>
    </w:p>
    <w:p>
      <w:pPr>
        <w:spacing w:after="0" w:line="211"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color w:val="auto"/>
        </w:rPr>
        <w:t>In addition, the stockholders ratified the appointment of Ernst &amp; Young LLP as the company’s independent auditors for 2006. The voting results are as follows:</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580" w:type="dxa"/>
            <w:vAlign w:val="bottom"/>
          </w:tcPr>
          <w:p>
            <w:pPr>
              <w:spacing w:after="0"/>
              <w:rPr>
                <w:sz w:val="14"/>
                <w:szCs w:val="14"/>
                <w:color w:val="auto"/>
              </w:rPr>
            </w:pPr>
          </w:p>
        </w:tc>
        <w:tc>
          <w:tcPr>
            <w:tcW w:w="2180" w:type="dxa"/>
            <w:vAlign w:val="bottom"/>
            <w:gridSpan w:val="2"/>
          </w:tcPr>
          <w:p>
            <w:pPr>
              <w:spacing w:after="0"/>
              <w:rPr>
                <w:sz w:val="20"/>
                <w:szCs w:val="20"/>
                <w:color w:val="auto"/>
              </w:rPr>
            </w:pPr>
            <w:r>
              <w:rPr>
                <w:rFonts w:ascii="Arial" w:cs="Arial" w:eastAsia="Arial" w:hAnsi="Arial"/>
                <w:sz w:val="14"/>
                <w:szCs w:val="14"/>
                <w:b w:val="1"/>
                <w:bCs w:val="1"/>
                <w:color w:val="auto"/>
              </w:rPr>
              <w:t>FOR</w:t>
            </w:r>
          </w:p>
        </w:tc>
        <w:tc>
          <w:tcPr>
            <w:tcW w:w="2120" w:type="dxa"/>
            <w:vAlign w:val="bottom"/>
            <w:gridSpan w:val="2"/>
          </w:tcPr>
          <w:p>
            <w:pPr>
              <w:ind w:left="600"/>
              <w:spacing w:after="0"/>
              <w:rPr>
                <w:sz w:val="20"/>
                <w:szCs w:val="20"/>
                <w:color w:val="auto"/>
              </w:rPr>
            </w:pPr>
            <w:r>
              <w:rPr>
                <w:rFonts w:ascii="Arial" w:cs="Arial" w:eastAsia="Arial" w:hAnsi="Arial"/>
                <w:sz w:val="14"/>
                <w:szCs w:val="14"/>
                <w:b w:val="1"/>
                <w:bCs w:val="1"/>
                <w:color w:val="auto"/>
              </w:rPr>
              <w:t>AGAINST</w:t>
            </w:r>
          </w:p>
        </w:tc>
        <w:tc>
          <w:tcPr>
            <w:tcW w:w="1960" w:type="dxa"/>
            <w:vAlign w:val="bottom"/>
            <w:gridSpan w:val="2"/>
          </w:tcPr>
          <w:p>
            <w:pPr>
              <w:ind w:left="620"/>
              <w:spacing w:after="0"/>
              <w:rPr>
                <w:sz w:val="20"/>
                <w:szCs w:val="20"/>
                <w:color w:val="auto"/>
              </w:rPr>
            </w:pPr>
            <w:r>
              <w:rPr>
                <w:rFonts w:ascii="Arial" w:cs="Arial" w:eastAsia="Arial" w:hAnsi="Arial"/>
                <w:sz w:val="14"/>
                <w:szCs w:val="14"/>
                <w:b w:val="1"/>
                <w:bCs w:val="1"/>
                <w:color w:val="auto"/>
              </w:rPr>
              <w:t>ABSTAIN</w:t>
            </w:r>
          </w:p>
        </w:tc>
        <w:tc>
          <w:tcPr>
            <w:tcW w:w="2620" w:type="dxa"/>
            <w:vAlign w:val="bottom"/>
          </w:tcPr>
          <w:p>
            <w:pPr>
              <w:spacing w:after="0"/>
              <w:rPr>
                <w:sz w:val="14"/>
                <w:szCs w:val="14"/>
                <w:color w:val="auto"/>
              </w:rPr>
            </w:pPr>
          </w:p>
        </w:tc>
      </w:tr>
      <w:tr>
        <w:trPr>
          <w:trHeight w:val="210"/>
        </w:trPr>
        <w:tc>
          <w:tcPr>
            <w:tcW w:w="2580" w:type="dxa"/>
            <w:vAlign w:val="bottom"/>
          </w:tcPr>
          <w:p>
            <w:pPr>
              <w:spacing w:after="0"/>
              <w:rPr>
                <w:sz w:val="18"/>
                <w:szCs w:val="18"/>
                <w:color w:val="auto"/>
              </w:rPr>
            </w:pPr>
          </w:p>
        </w:tc>
        <w:tc>
          <w:tcPr>
            <w:tcW w:w="192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86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88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620" w:type="dxa"/>
            <w:vAlign w:val="bottom"/>
          </w:tcPr>
          <w:p>
            <w:pPr>
              <w:spacing w:after="0"/>
              <w:rPr>
                <w:sz w:val="18"/>
                <w:szCs w:val="18"/>
                <w:color w:val="auto"/>
              </w:rPr>
            </w:pPr>
          </w:p>
        </w:tc>
      </w:tr>
      <w:tr>
        <w:trPr>
          <w:trHeight w:val="216"/>
        </w:trPr>
        <w:tc>
          <w:tcPr>
            <w:tcW w:w="2580" w:type="dxa"/>
            <w:vAlign w:val="bottom"/>
          </w:tcPr>
          <w:p>
            <w:pPr>
              <w:spacing w:after="0"/>
              <w:rPr>
                <w:sz w:val="18"/>
                <w:szCs w:val="18"/>
                <w:color w:val="auto"/>
              </w:rPr>
            </w:pPr>
          </w:p>
        </w:tc>
        <w:tc>
          <w:tcPr>
            <w:tcW w:w="1920" w:type="dxa"/>
            <w:vAlign w:val="bottom"/>
            <w:shd w:val="clear" w:color="auto" w:fill="CCEEFF"/>
          </w:tcPr>
          <w:p>
            <w:pPr>
              <w:spacing w:after="0"/>
              <w:rPr>
                <w:sz w:val="20"/>
                <w:szCs w:val="20"/>
                <w:color w:val="auto"/>
              </w:rPr>
            </w:pPr>
            <w:r>
              <w:rPr>
                <w:rFonts w:ascii="Arial" w:cs="Arial" w:eastAsia="Arial" w:hAnsi="Arial"/>
                <w:sz w:val="18"/>
                <w:szCs w:val="18"/>
                <w:color w:val="auto"/>
              </w:rPr>
              <w:t>159,271,666</w:t>
            </w:r>
          </w:p>
        </w:tc>
        <w:tc>
          <w:tcPr>
            <w:tcW w:w="260" w:type="dxa"/>
            <w:vAlign w:val="bottom"/>
            <w:shd w:val="clear" w:color="auto" w:fill="CCEEFF"/>
          </w:tcPr>
          <w:p>
            <w:pPr>
              <w:spacing w:after="0"/>
              <w:rPr>
                <w:sz w:val="18"/>
                <w:szCs w:val="18"/>
                <w:color w:val="auto"/>
              </w:rPr>
            </w:pPr>
          </w:p>
        </w:tc>
        <w:tc>
          <w:tcPr>
            <w:tcW w:w="1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1,190,660</w:t>
            </w:r>
          </w:p>
        </w:tc>
        <w:tc>
          <w:tcPr>
            <w:tcW w:w="260" w:type="dxa"/>
            <w:vAlign w:val="bottom"/>
            <w:shd w:val="clear" w:color="auto" w:fill="CCEEFF"/>
          </w:tcPr>
          <w:p>
            <w:pPr>
              <w:spacing w:after="0"/>
              <w:rPr>
                <w:sz w:val="18"/>
                <w:szCs w:val="18"/>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2,199,231</w:t>
            </w:r>
          </w:p>
        </w:tc>
        <w:tc>
          <w:tcPr>
            <w:tcW w:w="80" w:type="dxa"/>
            <w:vAlign w:val="bottom"/>
            <w:shd w:val="clear" w:color="auto" w:fill="CCEEFF"/>
          </w:tcPr>
          <w:p>
            <w:pPr>
              <w:spacing w:after="0"/>
              <w:rPr>
                <w:sz w:val="18"/>
                <w:szCs w:val="18"/>
                <w:color w:val="auto"/>
              </w:rPr>
            </w:pPr>
          </w:p>
        </w:tc>
        <w:tc>
          <w:tcPr>
            <w:tcW w:w="2620" w:type="dxa"/>
            <w:vAlign w:val="bottom"/>
          </w:tcPr>
          <w:p>
            <w:pPr>
              <w:spacing w:after="0"/>
              <w:rPr>
                <w:sz w:val="18"/>
                <w:szCs w:val="18"/>
                <w:color w:val="auto"/>
              </w:rPr>
            </w:pPr>
          </w:p>
        </w:tc>
      </w:tr>
      <w:tr>
        <w:trPr>
          <w:trHeight w:val="864"/>
        </w:trPr>
        <w:tc>
          <w:tcPr>
            <w:tcW w:w="258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60" w:type="dxa"/>
            <w:vAlign w:val="bottom"/>
          </w:tcPr>
          <w:p>
            <w:pPr>
              <w:jc w:val="right"/>
              <w:ind w:right="736"/>
              <w:spacing w:after="0"/>
              <w:rPr>
                <w:sz w:val="20"/>
                <w:szCs w:val="20"/>
                <w:color w:val="auto"/>
              </w:rPr>
            </w:pPr>
            <w:r>
              <w:rPr>
                <w:rFonts w:ascii="Arial" w:cs="Arial" w:eastAsia="Arial" w:hAnsi="Arial"/>
                <w:sz w:val="18"/>
                <w:szCs w:val="18"/>
                <w:color w:val="auto"/>
              </w:rPr>
              <w:t>90</w:t>
            </w:r>
          </w:p>
        </w:tc>
        <w:tc>
          <w:tcPr>
            <w:tcW w:w="26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20" w:type="dxa"/>
            <w:vAlign w:val="bottom"/>
          </w:tcPr>
          <w:p>
            <w:pPr>
              <w:spacing w:after="0"/>
              <w:rPr>
                <w:sz w:val="24"/>
                <w:szCs w:val="24"/>
                <w:color w:val="auto"/>
              </w:rPr>
            </w:pPr>
          </w:p>
        </w:tc>
      </w:tr>
      <w:tr>
        <w:trPr>
          <w:trHeight w:val="375"/>
        </w:trPr>
        <w:tc>
          <w:tcPr>
            <w:tcW w:w="2580" w:type="dxa"/>
            <w:vAlign w:val="bottom"/>
            <w:tcBorders>
              <w:bottom w:val="single" w:sz="8" w:color="010101"/>
            </w:tcBorders>
          </w:tcPr>
          <w:p>
            <w:pPr>
              <w:spacing w:after="0"/>
              <w:rPr>
                <w:sz w:val="24"/>
                <w:szCs w:val="24"/>
                <w:color w:val="auto"/>
              </w:rPr>
            </w:pPr>
          </w:p>
        </w:tc>
        <w:tc>
          <w:tcPr>
            <w:tcW w:w="192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186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188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262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191" w:lineRule="exact"/>
        <w:rPr>
          <w:sz w:val="20"/>
          <w:szCs w:val="20"/>
          <w:color w:val="auto"/>
        </w:rPr>
      </w:pPr>
    </w:p>
    <w:tbl>
      <w:tblPr>
        <w:tblLayout w:type="fixed"/>
        <w:tblInd w:w="1480" w:type="dxa"/>
        <w:tblCellMar>
          <w:top w:w="0" w:type="dxa"/>
          <w:left w:w="0" w:type="dxa"/>
          <w:bottom w:w="0" w:type="dxa"/>
          <w:right w:w="0" w:type="dxa"/>
        </w:tblCellMar>
      </w:tblPr>
      <w:tr>
        <w:trPr>
          <w:trHeight w:val="161"/>
        </w:trPr>
        <w:tc>
          <w:tcPr>
            <w:tcW w:w="880" w:type="dxa"/>
            <w:vAlign w:val="bottom"/>
            <w:gridSpan w:val="2"/>
          </w:tcPr>
          <w:p>
            <w:pPr>
              <w:spacing w:after="0"/>
              <w:rPr>
                <w:sz w:val="20"/>
                <w:szCs w:val="20"/>
                <w:color w:val="auto"/>
              </w:rPr>
            </w:pPr>
            <w:r>
              <w:rPr>
                <w:rFonts w:ascii="Arial" w:cs="Arial" w:eastAsia="Arial" w:hAnsi="Arial"/>
                <w:sz w:val="14"/>
                <w:szCs w:val="14"/>
                <w:b w:val="1"/>
                <w:bCs w:val="1"/>
                <w:color w:val="auto"/>
              </w:rPr>
              <w:t>Exhibit</w:t>
            </w:r>
          </w:p>
        </w:tc>
        <w:tc>
          <w:tcPr>
            <w:tcW w:w="7580" w:type="dxa"/>
            <w:vAlign w:val="bottom"/>
            <w:vMerge w:val="restart"/>
          </w:tcPr>
          <w:p>
            <w:pPr>
              <w:ind w:left="344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62"/>
        </w:trPr>
        <w:tc>
          <w:tcPr>
            <w:tcW w:w="880" w:type="dxa"/>
            <w:vAlign w:val="bottom"/>
            <w:gridSpan w:val="2"/>
          </w:tcPr>
          <w:p>
            <w:pPr>
              <w:spacing w:after="0"/>
              <w:rPr>
                <w:sz w:val="20"/>
                <w:szCs w:val="20"/>
                <w:color w:val="auto"/>
              </w:rPr>
            </w:pPr>
            <w:r>
              <w:rPr>
                <w:rFonts w:ascii="Arial" w:cs="Arial" w:eastAsia="Arial" w:hAnsi="Arial"/>
                <w:sz w:val="14"/>
                <w:szCs w:val="14"/>
                <w:b w:val="1"/>
                <w:bCs w:val="1"/>
                <w:color w:val="auto"/>
              </w:rPr>
              <w:t>Number</w:t>
            </w:r>
          </w:p>
        </w:tc>
        <w:tc>
          <w:tcPr>
            <w:tcW w:w="75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680" w:type="dxa"/>
            <w:vAlign w:val="bottom"/>
            <w:tcBorders>
              <w:top w:val="single" w:sz="8" w:color="auto"/>
            </w:tcBorders>
          </w:tcPr>
          <w:p>
            <w:pPr>
              <w:jc w:val="right"/>
              <w:ind w:right="42"/>
              <w:spacing w:after="0" w:line="195" w:lineRule="exact"/>
              <w:rPr>
                <w:sz w:val="20"/>
                <w:szCs w:val="20"/>
                <w:color w:val="auto"/>
              </w:rPr>
            </w:pPr>
            <w:r>
              <w:rPr>
                <w:rFonts w:ascii="Arial" w:cs="Arial" w:eastAsia="Arial" w:hAnsi="Arial"/>
                <w:sz w:val="18"/>
                <w:szCs w:val="18"/>
                <w:color w:val="auto"/>
              </w:rPr>
              <w:t>10.16</w:t>
            </w:r>
          </w:p>
        </w:tc>
        <w:tc>
          <w:tcPr>
            <w:tcW w:w="200" w:type="dxa"/>
            <w:vAlign w:val="bottom"/>
          </w:tcPr>
          <w:p>
            <w:pPr>
              <w:spacing w:after="0"/>
              <w:rPr>
                <w:sz w:val="16"/>
                <w:szCs w:val="16"/>
                <w:color w:val="auto"/>
              </w:rPr>
            </w:pPr>
          </w:p>
        </w:tc>
        <w:tc>
          <w:tcPr>
            <w:tcW w:w="75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Employment Agreement by and between Principal Financial Group, Inc., Principal Financial</w:t>
            </w:r>
          </w:p>
        </w:tc>
        <w:tc>
          <w:tcPr>
            <w:tcW w:w="0" w:type="dxa"/>
            <w:vAlign w:val="bottom"/>
          </w:tcPr>
          <w:p>
            <w:pPr>
              <w:spacing w:after="0"/>
              <w:rPr>
                <w:sz w:val="1"/>
                <w:szCs w:val="1"/>
                <w:color w:val="auto"/>
              </w:rPr>
            </w:pPr>
          </w:p>
        </w:tc>
      </w:tr>
      <w:tr>
        <w:trPr>
          <w:trHeight w:val="216"/>
        </w:trPr>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580" w:type="dxa"/>
            <w:vAlign w:val="bottom"/>
          </w:tcPr>
          <w:p>
            <w:pPr>
              <w:spacing w:after="0"/>
              <w:rPr>
                <w:sz w:val="20"/>
                <w:szCs w:val="20"/>
                <w:color w:val="auto"/>
              </w:rPr>
            </w:pPr>
            <w:r>
              <w:rPr>
                <w:rFonts w:ascii="Arial" w:cs="Arial" w:eastAsia="Arial" w:hAnsi="Arial"/>
                <w:sz w:val="18"/>
                <w:szCs w:val="18"/>
                <w:color w:val="auto"/>
                <w:w w:val="92"/>
              </w:rPr>
              <w:t>Services, Inc., Principal Life Insurance Company and Larry D. Zimpleman (incorporated by reference to</w:t>
            </w:r>
          </w:p>
        </w:tc>
        <w:tc>
          <w:tcPr>
            <w:tcW w:w="0" w:type="dxa"/>
            <w:vAlign w:val="bottom"/>
          </w:tcPr>
          <w:p>
            <w:pPr>
              <w:spacing w:after="0"/>
              <w:rPr>
                <w:sz w:val="1"/>
                <w:szCs w:val="1"/>
                <w:color w:val="auto"/>
              </w:rPr>
            </w:pPr>
          </w:p>
        </w:tc>
      </w:tr>
      <w:tr>
        <w:trPr>
          <w:trHeight w:val="216"/>
        </w:trPr>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580" w:type="dxa"/>
            <w:vAlign w:val="bottom"/>
          </w:tcPr>
          <w:p>
            <w:pPr>
              <w:spacing w:after="0"/>
              <w:rPr>
                <w:sz w:val="20"/>
                <w:szCs w:val="20"/>
                <w:color w:val="auto"/>
              </w:rPr>
            </w:pPr>
            <w:r>
              <w:rPr>
                <w:rFonts w:ascii="Arial" w:cs="Arial" w:eastAsia="Arial" w:hAnsi="Arial"/>
                <w:sz w:val="18"/>
                <w:szCs w:val="18"/>
                <w:color w:val="auto"/>
                <w:w w:val="94"/>
              </w:rPr>
              <w:t>the written description of such agreement included in Principal Financial Group, Inc.’s Current Report</w:t>
            </w:r>
          </w:p>
        </w:tc>
        <w:tc>
          <w:tcPr>
            <w:tcW w:w="0" w:type="dxa"/>
            <w:vAlign w:val="bottom"/>
          </w:tcPr>
          <w:p>
            <w:pPr>
              <w:spacing w:after="0"/>
              <w:rPr>
                <w:sz w:val="1"/>
                <w:szCs w:val="1"/>
                <w:color w:val="auto"/>
              </w:rPr>
            </w:pPr>
          </w:p>
        </w:tc>
      </w:tr>
      <w:tr>
        <w:trPr>
          <w:trHeight w:val="230"/>
        </w:trPr>
        <w:tc>
          <w:tcPr>
            <w:tcW w:w="6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580" w:type="dxa"/>
            <w:vAlign w:val="bottom"/>
          </w:tcPr>
          <w:p>
            <w:pPr>
              <w:spacing w:after="0"/>
              <w:rPr>
                <w:sz w:val="20"/>
                <w:szCs w:val="20"/>
                <w:color w:val="auto"/>
              </w:rPr>
            </w:pPr>
            <w:r>
              <w:rPr>
                <w:rFonts w:ascii="Arial" w:cs="Arial" w:eastAsia="Arial" w:hAnsi="Arial"/>
                <w:sz w:val="18"/>
                <w:szCs w:val="18"/>
                <w:color w:val="auto"/>
              </w:rPr>
              <w:t>on Form 8-K filed on May 19, 2006 (Commission File No. 1-16725))</w:t>
            </w:r>
          </w:p>
        </w:tc>
        <w:tc>
          <w:tcPr>
            <w:tcW w:w="0" w:type="dxa"/>
            <w:vAlign w:val="bottom"/>
          </w:tcPr>
          <w:p>
            <w:pPr>
              <w:spacing w:after="0"/>
              <w:rPr>
                <w:sz w:val="1"/>
                <w:szCs w:val="1"/>
                <w:color w:val="auto"/>
              </w:rPr>
            </w:pPr>
          </w:p>
        </w:tc>
      </w:tr>
    </w:tbl>
    <w:p>
      <w:pPr>
        <w:ind w:left="2360" w:hanging="731"/>
        <w:spacing w:after="0"/>
        <w:tabs>
          <w:tab w:leader="none" w:pos="23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Statement Regarding Computation of Ratio of Earnings to Fixed Charges</w:t>
      </w:r>
    </w:p>
    <w:p>
      <w:pPr>
        <w:spacing w:after="0" w:line="9" w:lineRule="exact"/>
        <w:rPr>
          <w:rFonts w:ascii="Arial" w:cs="Arial" w:eastAsia="Arial" w:hAnsi="Arial"/>
          <w:sz w:val="18"/>
          <w:szCs w:val="18"/>
          <w:color w:val="auto"/>
        </w:rPr>
      </w:pPr>
    </w:p>
    <w:p>
      <w:pPr>
        <w:ind w:left="1620"/>
        <w:spacing w:after="0"/>
        <w:rPr>
          <w:rFonts w:ascii="Arial" w:cs="Arial" w:eastAsia="Arial" w:hAnsi="Arial"/>
          <w:sz w:val="18"/>
          <w:szCs w:val="18"/>
          <w:color w:val="auto"/>
        </w:rPr>
      </w:pPr>
      <w:r>
        <w:rPr>
          <w:rFonts w:ascii="Arial" w:cs="Arial" w:eastAsia="Arial" w:hAnsi="Arial"/>
          <w:sz w:val="18"/>
          <w:szCs w:val="18"/>
          <w:color w:val="auto"/>
        </w:rPr>
        <w:t>31.1</w:t>
      </w:r>
      <w:r>
        <w:rPr>
          <w:rFonts w:ascii="Arial" w:cs="Arial" w:eastAsia="Arial" w:hAnsi="Arial"/>
          <w:sz w:val="17"/>
          <w:szCs w:val="17"/>
          <w:color w:val="auto"/>
        </w:rPr>
        <w:t>Certification of J. Barry Griswell</w:t>
      </w:r>
    </w:p>
    <w:p>
      <w:pPr>
        <w:spacing w:after="0" w:line="9" w:lineRule="exact"/>
        <w:rPr>
          <w:rFonts w:ascii="Arial" w:cs="Arial" w:eastAsia="Arial" w:hAnsi="Arial"/>
          <w:sz w:val="18"/>
          <w:szCs w:val="18"/>
          <w:color w:val="auto"/>
        </w:rPr>
      </w:pPr>
    </w:p>
    <w:p>
      <w:pPr>
        <w:ind w:left="1620"/>
        <w:spacing w:after="0"/>
        <w:rPr>
          <w:rFonts w:ascii="Arial" w:cs="Arial" w:eastAsia="Arial" w:hAnsi="Arial"/>
          <w:sz w:val="18"/>
          <w:szCs w:val="18"/>
          <w:color w:val="auto"/>
        </w:rPr>
      </w:pPr>
      <w:r>
        <w:rPr>
          <w:rFonts w:ascii="Arial" w:cs="Arial" w:eastAsia="Arial" w:hAnsi="Arial"/>
          <w:sz w:val="18"/>
          <w:szCs w:val="18"/>
          <w:color w:val="auto"/>
        </w:rPr>
        <w:t>31.2</w:t>
      </w:r>
      <w:r>
        <w:rPr>
          <w:rFonts w:ascii="Arial" w:cs="Arial" w:eastAsia="Arial" w:hAnsi="Arial"/>
          <w:sz w:val="16"/>
          <w:szCs w:val="16"/>
          <w:color w:val="auto"/>
        </w:rPr>
        <w:t>Certification of Michael H. Gersie</w:t>
      </w:r>
    </w:p>
    <w:p>
      <w:pPr>
        <w:spacing w:after="0" w:line="9" w:lineRule="exact"/>
        <w:rPr>
          <w:rFonts w:ascii="Arial" w:cs="Arial" w:eastAsia="Arial" w:hAnsi="Arial"/>
          <w:sz w:val="18"/>
          <w:szCs w:val="18"/>
          <w:color w:val="auto"/>
        </w:rPr>
      </w:pPr>
    </w:p>
    <w:p>
      <w:pPr>
        <w:ind w:left="2360" w:right="1860" w:hanging="729"/>
        <w:spacing w:after="0" w:line="250" w:lineRule="auto"/>
        <w:rPr>
          <w:rFonts w:ascii="Arial" w:cs="Arial" w:eastAsia="Arial" w:hAnsi="Arial"/>
          <w:sz w:val="18"/>
          <w:szCs w:val="18"/>
          <w:color w:val="auto"/>
        </w:rPr>
      </w:pPr>
      <w:r>
        <w:rPr>
          <w:rFonts w:ascii="Arial" w:cs="Arial" w:eastAsia="Arial" w:hAnsi="Arial"/>
          <w:sz w:val="18"/>
          <w:szCs w:val="18"/>
          <w:color w:val="auto"/>
        </w:rPr>
        <w:t>32.1Certification Pursuant to Section 1350 of Chapter 63 of Title 18 of the United States Code – J. Barry Griswell</w:t>
      </w:r>
    </w:p>
    <w:p>
      <w:pPr>
        <w:ind w:left="2360" w:right="1620" w:hanging="729"/>
        <w:spacing w:after="0" w:line="261" w:lineRule="auto"/>
        <w:rPr>
          <w:rFonts w:ascii="Arial" w:cs="Arial" w:eastAsia="Arial" w:hAnsi="Arial"/>
          <w:sz w:val="18"/>
          <w:szCs w:val="18"/>
          <w:color w:val="auto"/>
        </w:rPr>
      </w:pPr>
      <w:r>
        <w:rPr>
          <w:rFonts w:ascii="Arial" w:cs="Arial" w:eastAsia="Arial" w:hAnsi="Arial"/>
          <w:sz w:val="18"/>
          <w:szCs w:val="18"/>
          <w:color w:val="auto"/>
        </w:rPr>
        <w:t>32.2Certification Pursuant to Section 1350 of Chapter 63 of Title 18 of the United States Code – Michael H. Gersie</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60"/>
          </w:cols>
          <w:pgMar w:left="240" w:top="125" w:right="199" w:bottom="721" w:gutter="0" w:footer="0" w:header="0"/>
        </w:sectPr>
      </w:pPr>
    </w:p>
    <w:bookmarkStart w:id="63" w:name="page64"/>
    <w:bookmarkEnd w:id="63"/>
    <w:p>
      <w:pPr>
        <w:jc w:val="center"/>
        <w:ind w:right="40"/>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PRINCIPAL FINANCIAL GROUP, INC.</w:t>
      </w:r>
    </w:p>
    <w:p>
      <w:pPr>
        <w:spacing w:after="0" w:line="23" w:lineRule="exact"/>
        <w:rPr>
          <w:sz w:val="20"/>
          <w:szCs w:val="20"/>
          <w:color w:val="auto"/>
        </w:rPr>
      </w:pPr>
    </w:p>
    <w:p>
      <w:pPr>
        <w:ind w:left="6200" w:right="3380" w:hanging="6536"/>
        <w:spacing w:after="0" w:line="273" w:lineRule="auto"/>
        <w:tabs>
          <w:tab w:leader="none" w:pos="6180" w:val="left"/>
        </w:tabs>
        <w:rPr>
          <w:sz w:val="20"/>
          <w:szCs w:val="20"/>
          <w:color w:val="auto"/>
        </w:rPr>
      </w:pPr>
      <w:r>
        <w:rPr>
          <w:rFonts w:ascii="Arial" w:cs="Arial" w:eastAsia="Arial" w:hAnsi="Arial"/>
          <w:sz w:val="18"/>
          <w:szCs w:val="18"/>
          <w:color w:val="auto"/>
        </w:rPr>
        <w:t>Dated: August 2, 2006</w:t>
      </w:r>
      <w:r>
        <w:rPr>
          <w:sz w:val="20"/>
          <w:szCs w:val="20"/>
          <w:color w:val="auto"/>
        </w:rPr>
        <w:tab/>
      </w:r>
      <w:r>
        <w:rPr>
          <w:rFonts w:ascii="Arial" w:cs="Arial" w:eastAsia="Arial" w:hAnsi="Arial"/>
          <w:sz w:val="17"/>
          <w:szCs w:val="17"/>
          <w:color w:val="auto"/>
        </w:rPr>
        <w:t>By /s/ Michael H. Gersie Michael H. Gersie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4156075</wp:posOffset>
            </wp:positionH>
            <wp:positionV relativeFrom="paragraph">
              <wp:posOffset>-144780</wp:posOffset>
            </wp:positionV>
            <wp:extent cx="3095625" cy="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3095625" cy="8890"/>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8"/>
          <w:szCs w:val="18"/>
          <w:color w:val="auto"/>
        </w:rPr>
        <w:t>Executive Vice President and Chief Financial</w:t>
      </w:r>
    </w:p>
    <w:p>
      <w:pPr>
        <w:spacing w:after="0" w:line="9"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Officer</w:t>
      </w:r>
    </w:p>
    <w:p>
      <w:pPr>
        <w:spacing w:after="0" w:line="211"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Duly Authorized Officer, Principal Financial</w:t>
      </w:r>
    </w:p>
    <w:p>
      <w:pPr>
        <w:spacing w:after="0" w:line="23"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Officer, and Chief Accounting Officer</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 Index</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80" w:type="dxa"/>
            <w:vAlign w:val="bottom"/>
            <w:gridSpan w:val="3"/>
          </w:tcPr>
          <w:p>
            <w:pPr>
              <w:spacing w:after="0"/>
              <w:rPr>
                <w:sz w:val="20"/>
                <w:szCs w:val="20"/>
                <w:color w:val="auto"/>
              </w:rPr>
            </w:pPr>
            <w:r>
              <w:rPr>
                <w:rFonts w:ascii="Arial" w:cs="Arial" w:eastAsia="Arial" w:hAnsi="Arial"/>
                <w:sz w:val="14"/>
                <w:szCs w:val="14"/>
                <w:b w:val="1"/>
                <w:bCs w:val="1"/>
                <w:color w:val="auto"/>
              </w:rPr>
              <w:t>Exhibit</w:t>
            </w:r>
          </w:p>
        </w:tc>
        <w:tc>
          <w:tcPr>
            <w:tcW w:w="10240" w:type="dxa"/>
            <w:vAlign w:val="bottom"/>
            <w:vMerge w:val="restart"/>
          </w:tcPr>
          <w:p>
            <w:pPr>
              <w:ind w:left="4760"/>
              <w:spacing w:after="0"/>
              <w:rPr>
                <w:sz w:val="20"/>
                <w:szCs w:val="20"/>
                <w:color w:val="auto"/>
              </w:rPr>
            </w:pPr>
            <w:r>
              <w:rPr>
                <w:rFonts w:ascii="Arial" w:cs="Arial" w:eastAsia="Arial" w:hAnsi="Arial"/>
                <w:sz w:val="14"/>
                <w:szCs w:val="14"/>
                <w:b w:val="1"/>
                <w:bCs w:val="1"/>
                <w:color w:val="auto"/>
              </w:rPr>
              <w:t>Description</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180" w:type="dxa"/>
            <w:vAlign w:val="bottom"/>
            <w:gridSpan w:val="3"/>
          </w:tcPr>
          <w:p>
            <w:pPr>
              <w:spacing w:after="0"/>
              <w:rPr>
                <w:sz w:val="20"/>
                <w:szCs w:val="20"/>
                <w:color w:val="auto"/>
              </w:rPr>
            </w:pPr>
            <w:r>
              <w:rPr>
                <w:rFonts w:ascii="Arial" w:cs="Arial" w:eastAsia="Arial" w:hAnsi="Arial"/>
                <w:sz w:val="14"/>
                <w:szCs w:val="14"/>
                <w:b w:val="1"/>
                <w:bCs w:val="1"/>
                <w:color w:val="auto"/>
              </w:rPr>
              <w:t>Number</w:t>
            </w:r>
          </w:p>
        </w:tc>
        <w:tc>
          <w:tcPr>
            <w:tcW w:w="102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900" w:type="dxa"/>
            <w:vAlign w:val="bottom"/>
            <w:tcBorders>
              <w:top w:val="single" w:sz="8" w:color="auto"/>
            </w:tcBorders>
          </w:tcPr>
          <w:p>
            <w:pPr>
              <w:ind w:left="240"/>
              <w:spacing w:after="0" w:line="195" w:lineRule="exact"/>
              <w:rPr>
                <w:sz w:val="20"/>
                <w:szCs w:val="20"/>
                <w:color w:val="auto"/>
              </w:rPr>
            </w:pPr>
            <w:r>
              <w:rPr>
                <w:rFonts w:ascii="Arial" w:cs="Arial" w:eastAsia="Arial" w:hAnsi="Arial"/>
                <w:sz w:val="18"/>
                <w:szCs w:val="18"/>
                <w:color w:val="auto"/>
              </w:rPr>
              <w:t>10.16</w:t>
            </w:r>
          </w:p>
        </w:tc>
        <w:tc>
          <w:tcPr>
            <w:tcW w:w="260" w:type="dxa"/>
            <w:vAlign w:val="bottom"/>
          </w:tcPr>
          <w:p>
            <w:pPr>
              <w:spacing w:after="0"/>
              <w:rPr>
                <w:sz w:val="16"/>
                <w:szCs w:val="16"/>
                <w:color w:val="auto"/>
              </w:rPr>
            </w:pPr>
          </w:p>
        </w:tc>
        <w:tc>
          <w:tcPr>
            <w:tcW w:w="102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w w:val="98"/>
              </w:rPr>
              <w:t>Employment Agreement by and between Principal Financial Group, Inc., Principal Financial Services, Inc., Principal Life Insurance</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40" w:type="dxa"/>
            <w:vAlign w:val="bottom"/>
          </w:tcPr>
          <w:p>
            <w:pPr>
              <w:spacing w:after="0"/>
              <w:rPr>
                <w:sz w:val="20"/>
                <w:szCs w:val="20"/>
                <w:color w:val="auto"/>
              </w:rPr>
            </w:pPr>
            <w:r>
              <w:rPr>
                <w:rFonts w:ascii="Arial" w:cs="Arial" w:eastAsia="Arial" w:hAnsi="Arial"/>
                <w:sz w:val="18"/>
                <w:szCs w:val="18"/>
                <w:color w:val="auto"/>
                <w:w w:val="93"/>
              </w:rPr>
              <w:t>Company and Larry D. Zimpleman (incorporated by reference to the written description of such agreement included in Principal Financial</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40" w:type="dxa"/>
            <w:vAlign w:val="bottom"/>
          </w:tcPr>
          <w:p>
            <w:pPr>
              <w:spacing w:after="0"/>
              <w:rPr>
                <w:sz w:val="20"/>
                <w:szCs w:val="20"/>
                <w:color w:val="auto"/>
              </w:rPr>
            </w:pPr>
            <w:r>
              <w:rPr>
                <w:rFonts w:ascii="Arial" w:cs="Arial" w:eastAsia="Arial" w:hAnsi="Arial"/>
                <w:sz w:val="18"/>
                <w:szCs w:val="18"/>
                <w:color w:val="auto"/>
              </w:rPr>
              <w:t>Group, Inc.’s Current Report on Form 8-K filed on May 19, 2006 (Commission File No. 1-16725))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gridSpan w:val="2"/>
          </w:tcPr>
          <w:p>
            <w:pPr>
              <w:ind w:left="260"/>
              <w:spacing w:after="0"/>
              <w:rPr>
                <w:sz w:val="20"/>
                <w:szCs w:val="20"/>
                <w:color w:val="auto"/>
              </w:rPr>
            </w:pPr>
            <w:r>
              <w:rPr>
                <w:rFonts w:ascii="Arial" w:cs="Arial" w:eastAsia="Arial" w:hAnsi="Arial"/>
                <w:sz w:val="18"/>
                <w:szCs w:val="18"/>
                <w:color w:val="auto"/>
              </w:rPr>
              <w:t>12</w:t>
            </w:r>
          </w:p>
        </w:tc>
        <w:tc>
          <w:tcPr>
            <w:tcW w:w="260" w:type="dxa"/>
            <w:vAlign w:val="bottom"/>
          </w:tcPr>
          <w:p>
            <w:pPr>
              <w:spacing w:after="0"/>
              <w:rPr>
                <w:sz w:val="18"/>
                <w:szCs w:val="18"/>
                <w:color w:val="auto"/>
              </w:rPr>
            </w:pPr>
          </w:p>
        </w:tc>
        <w:tc>
          <w:tcPr>
            <w:tcW w:w="10240" w:type="dxa"/>
            <w:vAlign w:val="bottom"/>
          </w:tcPr>
          <w:p>
            <w:pPr>
              <w:spacing w:after="0"/>
              <w:rPr>
                <w:sz w:val="20"/>
                <w:szCs w:val="20"/>
                <w:color w:val="auto"/>
              </w:rPr>
            </w:pPr>
            <w:r>
              <w:rPr>
                <w:rFonts w:ascii="Arial" w:cs="Arial" w:eastAsia="Arial" w:hAnsi="Arial"/>
                <w:sz w:val="18"/>
                <w:szCs w:val="18"/>
                <w:color w:val="auto"/>
              </w:rPr>
              <w:t>Statement Regarding Computation of Ratio of Earnings to Fixed Charges</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gridSpan w:val="2"/>
          </w:tcPr>
          <w:p>
            <w:pPr>
              <w:ind w:left="260"/>
              <w:spacing w:after="0"/>
              <w:rPr>
                <w:sz w:val="20"/>
                <w:szCs w:val="20"/>
                <w:color w:val="auto"/>
              </w:rPr>
            </w:pPr>
            <w:r>
              <w:rPr>
                <w:rFonts w:ascii="Arial" w:cs="Arial" w:eastAsia="Arial" w:hAnsi="Arial"/>
                <w:sz w:val="18"/>
                <w:szCs w:val="18"/>
                <w:color w:val="auto"/>
              </w:rPr>
              <w:t>31.1</w:t>
            </w:r>
          </w:p>
        </w:tc>
        <w:tc>
          <w:tcPr>
            <w:tcW w:w="260" w:type="dxa"/>
            <w:vAlign w:val="bottom"/>
          </w:tcPr>
          <w:p>
            <w:pPr>
              <w:spacing w:after="0"/>
              <w:rPr>
                <w:sz w:val="18"/>
                <w:szCs w:val="18"/>
                <w:color w:val="auto"/>
              </w:rPr>
            </w:pPr>
          </w:p>
        </w:tc>
        <w:tc>
          <w:tcPr>
            <w:tcW w:w="10240" w:type="dxa"/>
            <w:vAlign w:val="bottom"/>
          </w:tcPr>
          <w:p>
            <w:pPr>
              <w:spacing w:after="0"/>
              <w:rPr>
                <w:sz w:val="20"/>
                <w:szCs w:val="20"/>
                <w:color w:val="auto"/>
              </w:rPr>
            </w:pPr>
            <w:r>
              <w:rPr>
                <w:rFonts w:ascii="Arial" w:cs="Arial" w:eastAsia="Arial" w:hAnsi="Arial"/>
                <w:sz w:val="18"/>
                <w:szCs w:val="18"/>
                <w:color w:val="auto"/>
              </w:rPr>
              <w:t>Certification of J. Barry Griswell</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gridSpan w:val="2"/>
          </w:tcPr>
          <w:p>
            <w:pPr>
              <w:ind w:left="260"/>
              <w:spacing w:after="0"/>
              <w:rPr>
                <w:sz w:val="20"/>
                <w:szCs w:val="20"/>
                <w:color w:val="auto"/>
              </w:rPr>
            </w:pPr>
            <w:r>
              <w:rPr>
                <w:rFonts w:ascii="Arial" w:cs="Arial" w:eastAsia="Arial" w:hAnsi="Arial"/>
                <w:sz w:val="18"/>
                <w:szCs w:val="18"/>
                <w:color w:val="auto"/>
              </w:rPr>
              <w:t>31.2</w:t>
            </w:r>
          </w:p>
        </w:tc>
        <w:tc>
          <w:tcPr>
            <w:tcW w:w="260" w:type="dxa"/>
            <w:vAlign w:val="bottom"/>
          </w:tcPr>
          <w:p>
            <w:pPr>
              <w:spacing w:after="0"/>
              <w:rPr>
                <w:sz w:val="18"/>
                <w:szCs w:val="18"/>
                <w:color w:val="auto"/>
              </w:rPr>
            </w:pPr>
          </w:p>
        </w:tc>
        <w:tc>
          <w:tcPr>
            <w:tcW w:w="10240" w:type="dxa"/>
            <w:vAlign w:val="bottom"/>
          </w:tcPr>
          <w:p>
            <w:pPr>
              <w:spacing w:after="0"/>
              <w:rPr>
                <w:sz w:val="20"/>
                <w:szCs w:val="20"/>
                <w:color w:val="auto"/>
              </w:rPr>
            </w:pPr>
            <w:r>
              <w:rPr>
                <w:rFonts w:ascii="Arial" w:cs="Arial" w:eastAsia="Arial" w:hAnsi="Arial"/>
                <w:sz w:val="18"/>
                <w:szCs w:val="18"/>
                <w:color w:val="auto"/>
              </w:rPr>
              <w:t>Certification of Michael H. Gersie</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gridSpan w:val="2"/>
          </w:tcPr>
          <w:p>
            <w:pPr>
              <w:ind w:left="260"/>
              <w:spacing w:after="0"/>
              <w:rPr>
                <w:sz w:val="20"/>
                <w:szCs w:val="20"/>
                <w:color w:val="auto"/>
              </w:rPr>
            </w:pPr>
            <w:r>
              <w:rPr>
                <w:rFonts w:ascii="Arial" w:cs="Arial" w:eastAsia="Arial" w:hAnsi="Arial"/>
                <w:sz w:val="18"/>
                <w:szCs w:val="18"/>
                <w:color w:val="auto"/>
              </w:rPr>
              <w:t>32.1</w:t>
            </w:r>
          </w:p>
        </w:tc>
        <w:tc>
          <w:tcPr>
            <w:tcW w:w="260" w:type="dxa"/>
            <w:vAlign w:val="bottom"/>
          </w:tcPr>
          <w:p>
            <w:pPr>
              <w:spacing w:after="0"/>
              <w:rPr>
                <w:sz w:val="18"/>
                <w:szCs w:val="18"/>
                <w:color w:val="auto"/>
              </w:rPr>
            </w:pPr>
          </w:p>
        </w:tc>
        <w:tc>
          <w:tcPr>
            <w:tcW w:w="10240" w:type="dxa"/>
            <w:vAlign w:val="bottom"/>
          </w:tcPr>
          <w:p>
            <w:pPr>
              <w:spacing w:after="0"/>
              <w:rPr>
                <w:sz w:val="20"/>
                <w:szCs w:val="20"/>
                <w:color w:val="auto"/>
              </w:rPr>
            </w:pPr>
            <w:r>
              <w:rPr>
                <w:rFonts w:ascii="Arial" w:cs="Arial" w:eastAsia="Arial" w:hAnsi="Arial"/>
                <w:sz w:val="18"/>
                <w:szCs w:val="18"/>
                <w:color w:val="auto"/>
              </w:rPr>
              <w:t>Certification Pursuant to Section 1350 of Chapter 63 of Title 18 of the United States Code – J. Barry Griswell</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920" w:type="dxa"/>
            <w:vAlign w:val="bottom"/>
            <w:gridSpan w:val="2"/>
          </w:tcPr>
          <w:p>
            <w:pPr>
              <w:ind w:left="260"/>
              <w:spacing w:after="0"/>
              <w:rPr>
                <w:sz w:val="20"/>
                <w:szCs w:val="20"/>
                <w:color w:val="auto"/>
              </w:rPr>
            </w:pPr>
            <w:r>
              <w:rPr>
                <w:rFonts w:ascii="Arial" w:cs="Arial" w:eastAsia="Arial" w:hAnsi="Arial"/>
                <w:sz w:val="18"/>
                <w:szCs w:val="18"/>
                <w:color w:val="auto"/>
              </w:rPr>
              <w:t>32.2</w:t>
            </w:r>
          </w:p>
        </w:tc>
        <w:tc>
          <w:tcPr>
            <w:tcW w:w="260" w:type="dxa"/>
            <w:vAlign w:val="bottom"/>
          </w:tcPr>
          <w:p>
            <w:pPr>
              <w:spacing w:after="0"/>
              <w:rPr>
                <w:sz w:val="20"/>
                <w:szCs w:val="20"/>
                <w:color w:val="auto"/>
              </w:rPr>
            </w:pPr>
          </w:p>
        </w:tc>
        <w:tc>
          <w:tcPr>
            <w:tcW w:w="10240" w:type="dxa"/>
            <w:vAlign w:val="bottom"/>
          </w:tcPr>
          <w:p>
            <w:pPr>
              <w:spacing w:after="0"/>
              <w:rPr>
                <w:sz w:val="20"/>
                <w:szCs w:val="20"/>
                <w:color w:val="auto"/>
              </w:rPr>
            </w:pPr>
            <w:r>
              <w:rPr>
                <w:rFonts w:ascii="Arial" w:cs="Arial" w:eastAsia="Arial" w:hAnsi="Arial"/>
                <w:sz w:val="18"/>
                <w:szCs w:val="18"/>
                <w:color w:val="auto"/>
              </w:rPr>
              <w:t>Certification Pursuant to Section 1350 of Chapter 63 of Title 18 of the United States Code – Michael H. Gersie</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864"/>
        </w:trPr>
        <w:tc>
          <w:tcPr>
            <w:tcW w:w="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240" w:type="dxa"/>
            <w:vAlign w:val="bottom"/>
          </w:tcPr>
          <w:p>
            <w:pPr>
              <w:ind w:left="4440"/>
              <w:spacing w:after="0"/>
              <w:rPr>
                <w:sz w:val="20"/>
                <w:szCs w:val="20"/>
                <w:color w:val="auto"/>
              </w:rPr>
            </w:pPr>
            <w:r>
              <w:rPr>
                <w:rFonts w:ascii="Arial" w:cs="Arial" w:eastAsia="Arial" w:hAnsi="Arial"/>
                <w:sz w:val="18"/>
                <w:szCs w:val="18"/>
                <w:color w:val="auto"/>
              </w:rPr>
              <w:t>93</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20" w:type="dxa"/>
            <w:vAlign w:val="bottom"/>
            <w:tcBorders>
              <w:bottom w:val="single" w:sz="8" w:color="010101"/>
            </w:tcBorders>
          </w:tcPr>
          <w:p>
            <w:pPr>
              <w:spacing w:after="0"/>
              <w:rPr>
                <w:sz w:val="24"/>
                <w:szCs w:val="24"/>
                <w:color w:val="auto"/>
              </w:rPr>
            </w:pPr>
          </w:p>
        </w:tc>
        <w:tc>
          <w:tcPr>
            <w:tcW w:w="90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1024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1" w:right="199" w:bottom="1440" w:gutter="0" w:footer="0" w:header="0"/>
        </w:sectPr>
      </w:pPr>
    </w:p>
    <w:bookmarkStart w:id="64" w:name="page65"/>
    <w:bookmarkEnd w:id="64"/>
    <w:tbl>
      <w:tblPr>
        <w:tblLayout w:type="fixed"/>
        <w:tblInd w:w="3820" w:type="dxa"/>
        <w:tblCellMar>
          <w:top w:w="0" w:type="dxa"/>
          <w:left w:w="0" w:type="dxa"/>
          <w:bottom w:w="0" w:type="dxa"/>
          <w:right w:w="0" w:type="dxa"/>
        </w:tblCellMar>
      </w:tblPr>
      <w:tr>
        <w:trPr>
          <w:trHeight w:val="234"/>
        </w:trPr>
        <w:tc>
          <w:tcPr>
            <w:tcW w:w="1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140" w:type="dxa"/>
            <w:vAlign w:val="bottom"/>
            <w:gridSpan w:val="2"/>
          </w:tcPr>
          <w:p>
            <w:pPr>
              <w:ind w:left="340"/>
              <w:spacing w:after="0"/>
              <w:rPr>
                <w:sz w:val="20"/>
                <w:szCs w:val="20"/>
                <w:color w:val="auto"/>
              </w:rPr>
            </w:pPr>
            <w:r>
              <w:rPr>
                <w:rFonts w:ascii="Arial" w:cs="Arial" w:eastAsia="Arial" w:hAnsi="Arial"/>
                <w:sz w:val="18"/>
                <w:szCs w:val="18"/>
                <w:b w:val="1"/>
                <w:bCs w:val="1"/>
                <w:color w:val="auto"/>
                <w:w w:val="91"/>
              </w:rPr>
              <w:t>Exhibit 12</w:t>
            </w:r>
          </w:p>
        </w:tc>
      </w:tr>
      <w:tr>
        <w:trPr>
          <w:trHeight w:val="432"/>
        </w:trPr>
        <w:tc>
          <w:tcPr>
            <w:tcW w:w="180" w:type="dxa"/>
            <w:vAlign w:val="bottom"/>
          </w:tcPr>
          <w:p>
            <w:pPr>
              <w:spacing w:after="0"/>
              <w:rPr>
                <w:sz w:val="24"/>
                <w:szCs w:val="24"/>
                <w:color w:val="auto"/>
              </w:rPr>
            </w:pPr>
          </w:p>
        </w:tc>
        <w:tc>
          <w:tcPr>
            <w:tcW w:w="3100" w:type="dxa"/>
            <w:vAlign w:val="bottom"/>
            <w:gridSpan w:val="4"/>
          </w:tcPr>
          <w:p>
            <w:pPr>
              <w:jc w:val="center"/>
              <w:ind w:left="244"/>
              <w:spacing w:after="0"/>
              <w:rPr>
                <w:sz w:val="20"/>
                <w:szCs w:val="20"/>
                <w:color w:val="auto"/>
              </w:rPr>
            </w:pPr>
            <w:r>
              <w:rPr>
                <w:rFonts w:ascii="Arial" w:cs="Arial" w:eastAsia="Arial" w:hAnsi="Arial"/>
                <w:sz w:val="18"/>
                <w:szCs w:val="18"/>
                <w:b w:val="1"/>
                <w:bCs w:val="1"/>
                <w:color w:val="auto"/>
                <w:w w:val="93"/>
              </w:rPr>
              <w:t>Principal Financial Group, Inc.</w:t>
            </w:r>
          </w:p>
        </w:tc>
        <w:tc>
          <w:tcPr>
            <w:tcW w:w="9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32"/>
        </w:trPr>
        <w:tc>
          <w:tcPr>
            <w:tcW w:w="4260" w:type="dxa"/>
            <w:vAlign w:val="bottom"/>
            <w:gridSpan w:val="6"/>
          </w:tcPr>
          <w:p>
            <w:pPr>
              <w:jc w:val="center"/>
              <w:ind w:right="408"/>
              <w:spacing w:after="0"/>
              <w:rPr>
                <w:sz w:val="20"/>
                <w:szCs w:val="20"/>
                <w:color w:val="auto"/>
              </w:rPr>
            </w:pPr>
            <w:r>
              <w:rPr>
                <w:rFonts w:ascii="Arial" w:cs="Arial" w:eastAsia="Arial" w:hAnsi="Arial"/>
                <w:sz w:val="18"/>
                <w:szCs w:val="18"/>
                <w:b w:val="1"/>
                <w:bCs w:val="1"/>
                <w:color w:val="auto"/>
                <w:w w:val="90"/>
              </w:rPr>
              <w:t>Computation of Earnings to Fixed Charges Ratio</w:t>
            </w:r>
          </w:p>
        </w:tc>
        <w:tc>
          <w:tcPr>
            <w:tcW w:w="14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324"/>
        </w:trPr>
        <w:tc>
          <w:tcPr>
            <w:tcW w:w="180" w:type="dxa"/>
            <w:vAlign w:val="bottom"/>
          </w:tcPr>
          <w:p>
            <w:pPr>
              <w:spacing w:after="0"/>
              <w:rPr>
                <w:sz w:val="24"/>
                <w:szCs w:val="24"/>
                <w:color w:val="auto"/>
              </w:rPr>
            </w:pPr>
          </w:p>
        </w:tc>
        <w:tc>
          <w:tcPr>
            <w:tcW w:w="214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0"/>
              </w:rPr>
              <w:t>For the six months</w:t>
            </w:r>
          </w:p>
        </w:tc>
        <w:tc>
          <w:tcPr>
            <w:tcW w:w="9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420" w:type="dxa"/>
            <w:vAlign w:val="bottom"/>
          </w:tcPr>
          <w:p>
            <w:pPr>
              <w:jc w:val="center"/>
              <w:ind w:right="48"/>
              <w:spacing w:after="0"/>
              <w:rPr>
                <w:sz w:val="20"/>
                <w:szCs w:val="20"/>
                <w:color w:val="auto"/>
              </w:rPr>
            </w:pPr>
            <w:r>
              <w:rPr>
                <w:rFonts w:ascii="Arial" w:cs="Arial" w:eastAsia="Arial" w:hAnsi="Arial"/>
                <w:sz w:val="14"/>
                <w:szCs w:val="14"/>
                <w:b w:val="1"/>
                <w:bCs w:val="1"/>
                <w:color w:val="auto"/>
                <w:w w:val="91"/>
              </w:rPr>
              <w:t>For the years ended</w:t>
            </w:r>
          </w:p>
        </w:tc>
        <w:tc>
          <w:tcPr>
            <w:tcW w:w="7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162"/>
        </w:trPr>
        <w:tc>
          <w:tcPr>
            <w:tcW w:w="180" w:type="dxa"/>
            <w:vAlign w:val="bottom"/>
          </w:tcPr>
          <w:p>
            <w:pPr>
              <w:spacing w:after="0"/>
              <w:rPr>
                <w:sz w:val="14"/>
                <w:szCs w:val="14"/>
                <w:color w:val="auto"/>
              </w:rPr>
            </w:pPr>
          </w:p>
        </w:tc>
        <w:tc>
          <w:tcPr>
            <w:tcW w:w="214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88"/>
              </w:rPr>
              <w:t>ended June 30,</w:t>
            </w:r>
          </w:p>
        </w:tc>
        <w:tc>
          <w:tcPr>
            <w:tcW w:w="9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420" w:type="dxa"/>
            <w:vAlign w:val="bottom"/>
          </w:tcPr>
          <w:p>
            <w:pPr>
              <w:jc w:val="center"/>
              <w:ind w:right="28"/>
              <w:spacing w:after="0"/>
              <w:rPr>
                <w:sz w:val="20"/>
                <w:szCs w:val="20"/>
                <w:color w:val="auto"/>
              </w:rPr>
            </w:pPr>
            <w:r>
              <w:rPr>
                <w:rFonts w:ascii="Arial" w:cs="Arial" w:eastAsia="Arial" w:hAnsi="Arial"/>
                <w:sz w:val="14"/>
                <w:szCs w:val="14"/>
                <w:b w:val="1"/>
                <w:bCs w:val="1"/>
                <w:color w:val="auto"/>
                <w:w w:val="92"/>
              </w:rPr>
              <w:t>December 31,</w:t>
            </w:r>
          </w:p>
        </w:tc>
        <w:tc>
          <w:tcPr>
            <w:tcW w:w="7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0" w:type="dxa"/>
            <w:vAlign w:val="bottom"/>
          </w:tcPr>
          <w:p>
            <w:pPr>
              <w:spacing w:after="0"/>
              <w:rPr>
                <w:sz w:val="14"/>
                <w:szCs w:val="14"/>
                <w:color w:val="auto"/>
              </w:rPr>
            </w:pPr>
          </w:p>
        </w:tc>
      </w:tr>
      <w:tr>
        <w:trPr>
          <w:trHeight w:val="129"/>
        </w:trPr>
        <w:tc>
          <w:tcPr>
            <w:tcW w:w="180" w:type="dxa"/>
            <w:vAlign w:val="bottom"/>
          </w:tcPr>
          <w:p>
            <w:pPr>
              <w:spacing w:after="0"/>
              <w:rPr>
                <w:sz w:val="11"/>
                <w:szCs w:val="11"/>
                <w:color w:val="auto"/>
              </w:rPr>
            </w:pPr>
          </w:p>
        </w:tc>
        <w:tc>
          <w:tcPr>
            <w:tcW w:w="940" w:type="dxa"/>
            <w:vAlign w:val="bottom"/>
            <w:tcBorders>
              <w:top w:val="single" w:sz="8" w:color="auto"/>
              <w:bottom w:val="single" w:sz="8" w:color="auto"/>
            </w:tcBorders>
          </w:tcPr>
          <w:p>
            <w:pPr>
              <w:jc w:val="right"/>
              <w:ind w:right="324"/>
              <w:spacing w:after="0" w:line="129" w:lineRule="exact"/>
              <w:rPr>
                <w:sz w:val="20"/>
                <w:szCs w:val="20"/>
                <w:color w:val="auto"/>
              </w:rPr>
            </w:pPr>
            <w:r>
              <w:rPr>
                <w:rFonts w:ascii="Arial" w:cs="Arial" w:eastAsia="Arial" w:hAnsi="Arial"/>
                <w:sz w:val="14"/>
                <w:szCs w:val="14"/>
                <w:b w:val="1"/>
                <w:bCs w:val="1"/>
                <w:color w:val="auto"/>
              </w:rPr>
              <w:t>2006</w:t>
            </w:r>
          </w:p>
        </w:tc>
        <w:tc>
          <w:tcPr>
            <w:tcW w:w="940" w:type="dxa"/>
            <w:vAlign w:val="bottom"/>
            <w:tcBorders>
              <w:top w:val="single" w:sz="8" w:color="auto"/>
              <w:bottom w:val="single" w:sz="8" w:color="auto"/>
            </w:tcBorders>
          </w:tcPr>
          <w:p>
            <w:pPr>
              <w:jc w:val="right"/>
              <w:ind w:right="188"/>
              <w:spacing w:after="0" w:line="129" w:lineRule="exact"/>
              <w:rPr>
                <w:sz w:val="20"/>
                <w:szCs w:val="20"/>
                <w:color w:val="auto"/>
              </w:rPr>
            </w:pPr>
            <w:r>
              <w:rPr>
                <w:rFonts w:ascii="Arial" w:cs="Arial" w:eastAsia="Arial" w:hAnsi="Arial"/>
                <w:sz w:val="14"/>
                <w:szCs w:val="14"/>
                <w:b w:val="1"/>
                <w:bCs w:val="1"/>
                <w:color w:val="auto"/>
              </w:rPr>
              <w:t>2005</w:t>
            </w:r>
          </w:p>
        </w:tc>
        <w:tc>
          <w:tcPr>
            <w:tcW w:w="260" w:type="dxa"/>
            <w:vAlign w:val="bottom"/>
            <w:tcBorders>
              <w:bottom w:val="single" w:sz="8" w:color="auto"/>
            </w:tcBorders>
          </w:tcPr>
          <w:p>
            <w:pPr>
              <w:spacing w:after="0"/>
              <w:rPr>
                <w:sz w:val="11"/>
                <w:szCs w:val="11"/>
                <w:color w:val="auto"/>
              </w:rPr>
            </w:pPr>
          </w:p>
        </w:tc>
        <w:tc>
          <w:tcPr>
            <w:tcW w:w="960" w:type="dxa"/>
            <w:vAlign w:val="bottom"/>
            <w:tcBorders>
              <w:top w:val="single" w:sz="8" w:color="auto"/>
              <w:bottom w:val="single" w:sz="8" w:color="auto"/>
            </w:tcBorders>
          </w:tcPr>
          <w:p>
            <w:pPr>
              <w:jc w:val="right"/>
              <w:ind w:right="348"/>
              <w:spacing w:after="0" w:line="129" w:lineRule="exact"/>
              <w:rPr>
                <w:sz w:val="20"/>
                <w:szCs w:val="20"/>
                <w:color w:val="auto"/>
              </w:rPr>
            </w:pPr>
            <w:r>
              <w:rPr>
                <w:rFonts w:ascii="Arial" w:cs="Arial" w:eastAsia="Arial" w:hAnsi="Arial"/>
                <w:sz w:val="14"/>
                <w:szCs w:val="14"/>
                <w:b w:val="1"/>
                <w:bCs w:val="1"/>
                <w:color w:val="auto"/>
              </w:rPr>
              <w:t>2005</w:t>
            </w:r>
          </w:p>
        </w:tc>
        <w:tc>
          <w:tcPr>
            <w:tcW w:w="980" w:type="dxa"/>
            <w:vAlign w:val="bottom"/>
            <w:tcBorders>
              <w:top w:val="single" w:sz="8" w:color="auto"/>
              <w:bottom w:val="single" w:sz="8" w:color="auto"/>
            </w:tcBorders>
          </w:tcPr>
          <w:p>
            <w:pPr>
              <w:jc w:val="right"/>
              <w:ind w:right="248"/>
              <w:spacing w:after="0" w:line="129" w:lineRule="exact"/>
              <w:rPr>
                <w:sz w:val="20"/>
                <w:szCs w:val="20"/>
                <w:color w:val="auto"/>
              </w:rPr>
            </w:pPr>
            <w:r>
              <w:rPr>
                <w:rFonts w:ascii="Arial" w:cs="Arial" w:eastAsia="Arial" w:hAnsi="Arial"/>
                <w:sz w:val="14"/>
                <w:szCs w:val="14"/>
                <w:b w:val="1"/>
                <w:bCs w:val="1"/>
                <w:color w:val="auto"/>
              </w:rPr>
              <w:t>2004</w:t>
            </w:r>
          </w:p>
        </w:tc>
        <w:tc>
          <w:tcPr>
            <w:tcW w:w="1420" w:type="dxa"/>
            <w:vAlign w:val="bottom"/>
            <w:tcBorders>
              <w:top w:val="single" w:sz="8" w:color="auto"/>
              <w:bottom w:val="single" w:sz="8" w:color="auto"/>
            </w:tcBorders>
          </w:tcPr>
          <w:p>
            <w:pPr>
              <w:jc w:val="right"/>
              <w:ind w:right="588"/>
              <w:spacing w:after="0" w:line="129" w:lineRule="exact"/>
              <w:rPr>
                <w:sz w:val="20"/>
                <w:szCs w:val="20"/>
                <w:color w:val="auto"/>
              </w:rPr>
            </w:pPr>
            <w:r>
              <w:rPr>
                <w:rFonts w:ascii="Arial" w:cs="Arial" w:eastAsia="Arial" w:hAnsi="Arial"/>
                <w:sz w:val="14"/>
                <w:szCs w:val="14"/>
                <w:b w:val="1"/>
                <w:bCs w:val="1"/>
                <w:color w:val="auto"/>
              </w:rPr>
              <w:t>2003</w:t>
            </w:r>
          </w:p>
        </w:tc>
        <w:tc>
          <w:tcPr>
            <w:tcW w:w="780" w:type="dxa"/>
            <w:vAlign w:val="bottom"/>
            <w:tcBorders>
              <w:top w:val="single" w:sz="8" w:color="auto"/>
              <w:bottom w:val="single" w:sz="8" w:color="auto"/>
            </w:tcBorders>
          </w:tcPr>
          <w:p>
            <w:pPr>
              <w:jc w:val="right"/>
              <w:ind w:right="268"/>
              <w:spacing w:after="0" w:line="129" w:lineRule="exact"/>
              <w:rPr>
                <w:sz w:val="20"/>
                <w:szCs w:val="20"/>
                <w:color w:val="auto"/>
              </w:rPr>
            </w:pPr>
            <w:r>
              <w:rPr>
                <w:rFonts w:ascii="Arial" w:cs="Arial" w:eastAsia="Arial" w:hAnsi="Arial"/>
                <w:sz w:val="14"/>
                <w:szCs w:val="14"/>
                <w:b w:val="1"/>
                <w:bCs w:val="1"/>
                <w:color w:val="auto"/>
              </w:rPr>
              <w:t>2002</w:t>
            </w:r>
          </w:p>
        </w:tc>
        <w:tc>
          <w:tcPr>
            <w:tcW w:w="1060" w:type="dxa"/>
            <w:vAlign w:val="bottom"/>
            <w:tcBorders>
              <w:top w:val="single" w:sz="8" w:color="auto"/>
              <w:bottom w:val="single" w:sz="8" w:color="auto"/>
            </w:tcBorders>
          </w:tcPr>
          <w:p>
            <w:pPr>
              <w:jc w:val="right"/>
              <w:ind w:right="199"/>
              <w:spacing w:after="0" w:line="129" w:lineRule="exact"/>
              <w:rPr>
                <w:sz w:val="20"/>
                <w:szCs w:val="20"/>
                <w:color w:val="auto"/>
              </w:rPr>
            </w:pPr>
            <w:r>
              <w:rPr>
                <w:rFonts w:ascii="Arial" w:cs="Arial" w:eastAsia="Arial" w:hAnsi="Arial"/>
                <w:sz w:val="14"/>
                <w:szCs w:val="14"/>
                <w:b w:val="1"/>
                <w:bCs w:val="1"/>
                <w:color w:val="auto"/>
              </w:rPr>
              <w:t>2001</w:t>
            </w:r>
          </w:p>
        </w:tc>
        <w:tc>
          <w:tcPr>
            <w:tcW w:w="80" w:type="dxa"/>
            <w:vAlign w:val="bottom"/>
          </w:tcPr>
          <w:p>
            <w:pPr>
              <w:spacing w:after="0"/>
              <w:rPr>
                <w:sz w:val="11"/>
                <w:szCs w:val="11"/>
                <w:color w:val="auto"/>
              </w:rPr>
            </w:pPr>
          </w:p>
        </w:tc>
      </w:tr>
      <w:tr>
        <w:trPr>
          <w:trHeight w:val="180"/>
        </w:trPr>
        <w:tc>
          <w:tcPr>
            <w:tcW w:w="1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b w:val="1"/>
                <w:bCs w:val="1"/>
                <w:color w:val="auto"/>
              </w:rPr>
              <w:t>(in millions)</w:t>
            </w:r>
          </w:p>
        </w:tc>
        <w:tc>
          <w:tcPr>
            <w:tcW w:w="14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80" w:type="dxa"/>
            <w:vAlign w:val="bottom"/>
          </w:tcPr>
          <w:p>
            <w:pPr>
              <w:spacing w:after="0"/>
              <w:rPr>
                <w:sz w:val="15"/>
                <w:szCs w:val="15"/>
                <w:color w:val="auto"/>
              </w:rPr>
            </w:pPr>
          </w:p>
        </w:tc>
      </w:tr>
    </w:tbl>
    <w:p>
      <w:pPr>
        <w:spacing w:after="0" w:line="151" w:lineRule="exact"/>
        <w:rPr>
          <w:sz w:val="20"/>
          <w:szCs w:val="20"/>
          <w:color w:val="auto"/>
        </w:rPr>
      </w:pPr>
    </w:p>
    <w:p>
      <w:pPr>
        <w:ind w:left="480" w:hanging="472"/>
        <w:spacing w:after="0"/>
        <w:tabs>
          <w:tab w:leader="none" w:pos="4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Income from continuing operations before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6620" cy="27432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46620" cy="27432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07"/>
        </w:trPr>
        <w:tc>
          <w:tcPr>
            <w:tcW w:w="320" w:type="dxa"/>
            <w:vAlign w:val="bottom"/>
          </w:tcPr>
          <w:p>
            <w:pPr>
              <w:spacing w:after="0"/>
              <w:rPr>
                <w:sz w:val="17"/>
                <w:szCs w:val="17"/>
                <w:color w:val="auto"/>
              </w:rPr>
            </w:pPr>
          </w:p>
        </w:tc>
        <w:tc>
          <w:tcPr>
            <w:tcW w:w="3060" w:type="dxa"/>
            <w:vAlign w:val="bottom"/>
          </w:tcPr>
          <w:p>
            <w:pPr>
              <w:ind w:left="340"/>
              <w:spacing w:after="0"/>
              <w:rPr>
                <w:sz w:val="20"/>
                <w:szCs w:val="20"/>
                <w:color w:val="auto"/>
              </w:rPr>
            </w:pPr>
            <w:r>
              <w:rPr>
                <w:rFonts w:ascii="Arial" w:cs="Arial" w:eastAsia="Arial" w:hAnsi="Arial"/>
                <w:sz w:val="18"/>
                <w:szCs w:val="18"/>
                <w:color w:val="auto"/>
              </w:rPr>
              <w:t>income taxes</w:t>
            </w:r>
          </w:p>
        </w:tc>
        <w:tc>
          <w:tcPr>
            <w:tcW w:w="86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700" w:type="dxa"/>
            <w:vAlign w:val="bottom"/>
          </w:tcPr>
          <w:p>
            <w:pPr>
              <w:jc w:val="right"/>
              <w:ind w:right="50"/>
              <w:spacing w:after="0"/>
              <w:rPr>
                <w:sz w:val="20"/>
                <w:szCs w:val="20"/>
                <w:color w:val="auto"/>
              </w:rPr>
            </w:pPr>
            <w:r>
              <w:rPr>
                <w:rFonts w:ascii="Arial" w:cs="Arial" w:eastAsia="Arial" w:hAnsi="Arial"/>
                <w:sz w:val="18"/>
                <w:szCs w:val="18"/>
                <w:b w:val="1"/>
                <w:bCs w:val="1"/>
                <w:color w:val="auto"/>
              </w:rPr>
              <w:t>670.1</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30"/>
              <w:spacing w:after="0"/>
              <w:rPr>
                <w:sz w:val="20"/>
                <w:szCs w:val="20"/>
                <w:color w:val="auto"/>
              </w:rPr>
            </w:pPr>
            <w:r>
              <w:rPr>
                <w:rFonts w:ascii="Arial" w:cs="Arial" w:eastAsia="Arial" w:hAnsi="Arial"/>
                <w:sz w:val="18"/>
                <w:szCs w:val="18"/>
                <w:color w:val="auto"/>
              </w:rPr>
              <w:t>562.5</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  1,124.3</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879.1</w:t>
            </w:r>
          </w:p>
        </w:tc>
        <w:tc>
          <w:tcPr>
            <w:tcW w:w="3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820.3</w:t>
            </w:r>
          </w:p>
        </w:tc>
        <w:tc>
          <w:tcPr>
            <w:tcW w:w="4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371.5</w:t>
            </w:r>
          </w:p>
        </w:tc>
        <w:tc>
          <w:tcPr>
            <w:tcW w:w="4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249.9</w:t>
            </w:r>
          </w:p>
        </w:tc>
      </w:tr>
      <w:tr>
        <w:trPr>
          <w:trHeight w:val="234"/>
        </w:trPr>
        <w:tc>
          <w:tcPr>
            <w:tcW w:w="320" w:type="dxa"/>
            <w:vAlign w:val="bottom"/>
          </w:tcPr>
          <w:p>
            <w:pPr>
              <w:jc w:val="right"/>
              <w:ind w:right="90"/>
              <w:spacing w:after="0"/>
              <w:rPr>
                <w:sz w:val="20"/>
                <w:szCs w:val="20"/>
                <w:color w:val="auto"/>
              </w:rPr>
            </w:pPr>
            <w:r>
              <w:rPr>
                <w:rFonts w:ascii="Arial" w:cs="Arial" w:eastAsia="Arial" w:hAnsi="Arial"/>
                <w:sz w:val="18"/>
                <w:szCs w:val="18"/>
                <w:color w:val="auto"/>
                <w:w w:val="79"/>
              </w:rPr>
              <w:t>2.</w:t>
            </w:r>
          </w:p>
        </w:tc>
        <w:tc>
          <w:tcPr>
            <w:tcW w:w="3060" w:type="dxa"/>
            <w:vAlign w:val="bottom"/>
          </w:tcPr>
          <w:p>
            <w:pPr>
              <w:ind w:left="160"/>
              <w:spacing w:after="0"/>
              <w:rPr>
                <w:sz w:val="20"/>
                <w:szCs w:val="20"/>
                <w:color w:val="auto"/>
              </w:rPr>
            </w:pPr>
            <w:r>
              <w:rPr>
                <w:rFonts w:ascii="Arial" w:cs="Arial" w:eastAsia="Arial" w:hAnsi="Arial"/>
                <w:sz w:val="18"/>
                <w:szCs w:val="18"/>
                <w:color w:val="auto"/>
              </w:rPr>
              <w:t>Interest expense</w:t>
            </w:r>
          </w:p>
        </w:tc>
        <w:tc>
          <w:tcPr>
            <w:tcW w:w="860" w:type="dxa"/>
            <w:vAlign w:val="bottom"/>
          </w:tcPr>
          <w:p>
            <w:pPr>
              <w:spacing w:after="0"/>
              <w:rPr>
                <w:sz w:val="20"/>
                <w:szCs w:val="20"/>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b w:val="1"/>
                <w:bCs w:val="1"/>
                <w:color w:val="auto"/>
              </w:rPr>
              <w:t>42.8</w:t>
            </w:r>
          </w:p>
        </w:tc>
        <w:tc>
          <w:tcPr>
            <w:tcW w:w="380" w:type="dxa"/>
            <w:vAlign w:val="bottom"/>
          </w:tcPr>
          <w:p>
            <w:pPr>
              <w:spacing w:after="0"/>
              <w:rPr>
                <w:sz w:val="20"/>
                <w:szCs w:val="20"/>
                <w:color w:val="auto"/>
              </w:rPr>
            </w:pPr>
          </w:p>
        </w:tc>
        <w:tc>
          <w:tcPr>
            <w:tcW w:w="680" w:type="dxa"/>
            <w:vAlign w:val="bottom"/>
          </w:tcPr>
          <w:p>
            <w:pPr>
              <w:jc w:val="right"/>
              <w:ind w:right="30"/>
              <w:spacing w:after="0"/>
              <w:rPr>
                <w:sz w:val="20"/>
                <w:szCs w:val="20"/>
                <w:color w:val="auto"/>
              </w:rPr>
            </w:pPr>
            <w:r>
              <w:rPr>
                <w:rFonts w:ascii="Arial" w:cs="Arial" w:eastAsia="Arial" w:hAnsi="Arial"/>
                <w:sz w:val="18"/>
                <w:szCs w:val="18"/>
                <w:color w:val="auto"/>
              </w:rPr>
              <w:t>41.3</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81.1</w:t>
            </w:r>
          </w:p>
        </w:tc>
        <w:tc>
          <w:tcPr>
            <w:tcW w:w="380" w:type="dxa"/>
            <w:vAlign w:val="bottom"/>
          </w:tcPr>
          <w:p>
            <w:pPr>
              <w:spacing w:after="0"/>
              <w:rPr>
                <w:sz w:val="20"/>
                <w:szCs w:val="20"/>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96.9</w:t>
            </w:r>
          </w:p>
        </w:tc>
        <w:tc>
          <w:tcPr>
            <w:tcW w:w="380" w:type="dxa"/>
            <w:vAlign w:val="bottom"/>
          </w:tcPr>
          <w:p>
            <w:pPr>
              <w:spacing w:after="0"/>
              <w:rPr>
                <w:sz w:val="20"/>
                <w:szCs w:val="20"/>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117.5</w:t>
            </w:r>
          </w:p>
        </w:tc>
        <w:tc>
          <w:tcPr>
            <w:tcW w:w="400" w:type="dxa"/>
            <w:vAlign w:val="bottom"/>
          </w:tcPr>
          <w:p>
            <w:pPr>
              <w:spacing w:after="0"/>
              <w:rPr>
                <w:sz w:val="20"/>
                <w:szCs w:val="20"/>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99.7</w:t>
            </w:r>
          </w:p>
        </w:tc>
        <w:tc>
          <w:tcPr>
            <w:tcW w:w="400" w:type="dxa"/>
            <w:vAlign w:val="bottom"/>
          </w:tcPr>
          <w:p>
            <w:pPr>
              <w:spacing w:after="0"/>
              <w:rPr>
                <w:sz w:val="20"/>
                <w:szCs w:val="20"/>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97.2</w:t>
            </w:r>
          </w:p>
        </w:tc>
      </w:tr>
      <w:tr>
        <w:trPr>
          <w:trHeight w:val="216"/>
        </w:trPr>
        <w:tc>
          <w:tcPr>
            <w:tcW w:w="3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3.</w:t>
            </w:r>
          </w:p>
        </w:tc>
        <w:tc>
          <w:tcPr>
            <w:tcW w:w="30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Interest factor of rental expense</w:t>
            </w:r>
          </w:p>
        </w:tc>
        <w:tc>
          <w:tcPr>
            <w:tcW w:w="86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3.5</w:t>
            </w:r>
          </w:p>
        </w:tc>
        <w:tc>
          <w:tcPr>
            <w:tcW w:w="38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2.3</w:t>
            </w:r>
          </w:p>
        </w:tc>
        <w:tc>
          <w:tcPr>
            <w:tcW w:w="10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7.0</w:t>
            </w:r>
          </w:p>
        </w:tc>
        <w:tc>
          <w:tcPr>
            <w:tcW w:w="38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4.6</w:t>
            </w:r>
          </w:p>
        </w:tc>
        <w:tc>
          <w:tcPr>
            <w:tcW w:w="38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4.8</w:t>
            </w:r>
          </w:p>
        </w:tc>
        <w:tc>
          <w:tcPr>
            <w:tcW w:w="40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8.0</w:t>
            </w:r>
          </w:p>
        </w:tc>
        <w:tc>
          <w:tcPr>
            <w:tcW w:w="40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9.4</w:t>
            </w:r>
          </w:p>
        </w:tc>
      </w:tr>
    </w:tbl>
    <w:p>
      <w:pPr>
        <w:ind w:left="480" w:hanging="472"/>
        <w:spacing w:after="0"/>
        <w:tabs>
          <w:tab w:leader="none" w:pos="4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Undistributed (income) loss from equity</w:t>
      </w:r>
    </w:p>
    <w:p>
      <w:pPr>
        <w:spacing w:after="0" w:line="9" w:lineRule="exact"/>
        <w:rPr>
          <w:sz w:val="20"/>
          <w:szCs w:val="20"/>
          <w:color w:val="auto"/>
        </w:rPr>
      </w:pPr>
    </w:p>
    <w:tbl>
      <w:tblPr>
        <w:tblLayout w:type="fixed"/>
        <w:tblInd w:w="660" w:type="dxa"/>
        <w:tblCellMar>
          <w:top w:w="0" w:type="dxa"/>
          <w:left w:w="0" w:type="dxa"/>
          <w:bottom w:w="0" w:type="dxa"/>
          <w:right w:w="0" w:type="dxa"/>
        </w:tblCellMar>
      </w:tblPr>
      <w:tr>
        <w:trPr>
          <w:trHeight w:val="218"/>
        </w:trPr>
        <w:tc>
          <w:tcPr>
            <w:tcW w:w="2220" w:type="dxa"/>
            <w:vAlign w:val="bottom"/>
          </w:tcPr>
          <w:p>
            <w:pPr>
              <w:spacing w:after="0"/>
              <w:rPr>
                <w:sz w:val="20"/>
                <w:szCs w:val="20"/>
                <w:color w:val="auto"/>
              </w:rPr>
            </w:pPr>
            <w:r>
              <w:rPr>
                <w:rFonts w:ascii="Arial" w:cs="Arial" w:eastAsia="Arial" w:hAnsi="Arial"/>
                <w:sz w:val="18"/>
                <w:szCs w:val="18"/>
                <w:color w:val="auto"/>
              </w:rPr>
              <w:t>investees</w:t>
            </w:r>
          </w:p>
        </w:tc>
        <w:tc>
          <w:tcPr>
            <w:tcW w:w="2300" w:type="dxa"/>
            <w:vAlign w:val="bottom"/>
          </w:tcPr>
          <w:p>
            <w:pPr>
              <w:jc w:val="right"/>
              <w:ind w:right="210"/>
              <w:spacing w:after="0"/>
              <w:rPr>
                <w:sz w:val="20"/>
                <w:szCs w:val="20"/>
                <w:color w:val="auto"/>
              </w:rPr>
            </w:pPr>
            <w:r>
              <w:rPr>
                <w:rFonts w:ascii="Arial" w:cs="Arial" w:eastAsia="Arial" w:hAnsi="Arial"/>
                <w:sz w:val="18"/>
                <w:szCs w:val="18"/>
                <w:b w:val="1"/>
                <w:bCs w:val="1"/>
                <w:color w:val="auto"/>
              </w:rPr>
              <w:t>(30.3)</w:t>
            </w:r>
          </w:p>
        </w:tc>
        <w:tc>
          <w:tcPr>
            <w:tcW w:w="1080" w:type="dxa"/>
            <w:vAlign w:val="bottom"/>
          </w:tcPr>
          <w:p>
            <w:pPr>
              <w:jc w:val="right"/>
              <w:ind w:right="230"/>
              <w:spacing w:after="0"/>
              <w:rPr>
                <w:sz w:val="20"/>
                <w:szCs w:val="20"/>
                <w:color w:val="auto"/>
              </w:rPr>
            </w:pPr>
            <w:r>
              <w:rPr>
                <w:rFonts w:ascii="Arial" w:cs="Arial" w:eastAsia="Arial" w:hAnsi="Arial"/>
                <w:sz w:val="18"/>
                <w:szCs w:val="18"/>
                <w:color w:val="auto"/>
              </w:rPr>
              <w:t>(15.6)</w:t>
            </w:r>
          </w:p>
        </w:tc>
        <w:tc>
          <w:tcPr>
            <w:tcW w:w="1080" w:type="dxa"/>
            <w:vAlign w:val="bottom"/>
          </w:tcPr>
          <w:p>
            <w:pPr>
              <w:jc w:val="right"/>
              <w:ind w:right="230"/>
              <w:spacing w:after="0"/>
              <w:rPr>
                <w:sz w:val="20"/>
                <w:szCs w:val="20"/>
                <w:color w:val="auto"/>
              </w:rPr>
            </w:pPr>
            <w:r>
              <w:rPr>
                <w:rFonts w:ascii="Arial" w:cs="Arial" w:eastAsia="Arial" w:hAnsi="Arial"/>
                <w:sz w:val="18"/>
                <w:szCs w:val="18"/>
                <w:color w:val="auto"/>
              </w:rPr>
              <w:t>(34.1)</w:t>
            </w:r>
          </w:p>
        </w:tc>
        <w:tc>
          <w:tcPr>
            <w:tcW w:w="1080" w:type="dxa"/>
            <w:vAlign w:val="bottom"/>
          </w:tcPr>
          <w:p>
            <w:pPr>
              <w:jc w:val="right"/>
              <w:ind w:right="230"/>
              <w:spacing w:after="0"/>
              <w:rPr>
                <w:sz w:val="20"/>
                <w:szCs w:val="20"/>
                <w:color w:val="auto"/>
              </w:rPr>
            </w:pPr>
            <w:r>
              <w:rPr>
                <w:rFonts w:ascii="Arial" w:cs="Arial" w:eastAsia="Arial" w:hAnsi="Arial"/>
                <w:sz w:val="18"/>
                <w:szCs w:val="18"/>
                <w:color w:val="auto"/>
              </w:rPr>
              <w:t>(19.4)</w:t>
            </w:r>
          </w:p>
        </w:tc>
        <w:tc>
          <w:tcPr>
            <w:tcW w:w="1160" w:type="dxa"/>
            <w:vAlign w:val="bottom"/>
          </w:tcPr>
          <w:p>
            <w:pPr>
              <w:jc w:val="right"/>
              <w:ind w:right="310"/>
              <w:spacing w:after="0"/>
              <w:rPr>
                <w:sz w:val="20"/>
                <w:szCs w:val="20"/>
                <w:color w:val="auto"/>
              </w:rPr>
            </w:pPr>
            <w:r>
              <w:rPr>
                <w:rFonts w:ascii="Arial" w:cs="Arial" w:eastAsia="Arial" w:hAnsi="Arial"/>
                <w:sz w:val="18"/>
                <w:szCs w:val="18"/>
                <w:color w:val="auto"/>
              </w:rPr>
              <w:t>(18.3)</w:t>
            </w:r>
          </w:p>
        </w:tc>
        <w:tc>
          <w:tcPr>
            <w:tcW w:w="1000" w:type="dxa"/>
            <w:vAlign w:val="bottom"/>
          </w:tcPr>
          <w:p>
            <w:pPr>
              <w:jc w:val="right"/>
              <w:ind w:right="290"/>
              <w:spacing w:after="0"/>
              <w:rPr>
                <w:sz w:val="20"/>
                <w:szCs w:val="20"/>
                <w:color w:val="auto"/>
              </w:rPr>
            </w:pPr>
            <w:r>
              <w:rPr>
                <w:rFonts w:ascii="Arial" w:cs="Arial" w:eastAsia="Arial" w:hAnsi="Arial"/>
                <w:sz w:val="18"/>
                <w:szCs w:val="18"/>
                <w:color w:val="auto"/>
              </w:rPr>
              <w:t>4.3</w:t>
            </w:r>
          </w:p>
        </w:tc>
        <w:tc>
          <w:tcPr>
            <w:tcW w:w="820" w:type="dxa"/>
            <w:vAlign w:val="bottom"/>
          </w:tcPr>
          <w:p>
            <w:pPr>
              <w:jc w:val="right"/>
              <w:spacing w:after="0"/>
              <w:rPr>
                <w:sz w:val="20"/>
                <w:szCs w:val="20"/>
                <w:color w:val="auto"/>
              </w:rPr>
            </w:pPr>
            <w:r>
              <w:rPr>
                <w:rFonts w:ascii="Arial" w:cs="Arial" w:eastAsia="Arial" w:hAnsi="Arial"/>
                <w:sz w:val="18"/>
                <w:szCs w:val="18"/>
                <w:color w:val="auto"/>
              </w:rPr>
              <w:t>(17.4)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wp:posOffset>
            </wp:positionV>
            <wp:extent cx="7246620" cy="27432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46620" cy="274320"/>
                    </a:xfrm>
                    <a:prstGeom prst="rect">
                      <a:avLst/>
                    </a:prstGeom>
                    <a:noFill/>
                  </pic:spPr>
                </pic:pic>
              </a:graphicData>
            </a:graphic>
          </wp:anchor>
        </w:drawing>
      </w:r>
    </w:p>
    <w:p>
      <w:pPr>
        <w:ind w:left="480" w:hanging="472"/>
        <w:spacing w:after="0"/>
        <w:tabs>
          <w:tab w:leader="none" w:pos="4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Earnings before interest credited on</w:t>
      </w:r>
    </w:p>
    <w:tbl>
      <w:tblPr>
        <w:tblLayout w:type="fixed"/>
        <w:tblInd w:w="0" w:type="dxa"/>
        <w:tblCellMar>
          <w:top w:w="0" w:type="dxa"/>
          <w:left w:w="0" w:type="dxa"/>
          <w:bottom w:w="0" w:type="dxa"/>
          <w:right w:w="0" w:type="dxa"/>
        </w:tblCellMar>
      </w:tblPr>
      <w:tr>
        <w:trPr>
          <w:trHeight w:val="205"/>
        </w:trPr>
        <w:tc>
          <w:tcPr>
            <w:tcW w:w="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320" w:type="dxa"/>
            <w:vAlign w:val="bottom"/>
          </w:tcPr>
          <w:p>
            <w:pPr>
              <w:ind w:left="300"/>
              <w:spacing w:after="0" w:line="205" w:lineRule="exact"/>
              <w:rPr>
                <w:sz w:val="20"/>
                <w:szCs w:val="20"/>
                <w:color w:val="auto"/>
              </w:rPr>
            </w:pPr>
            <w:r>
              <w:rPr>
                <w:rFonts w:ascii="Arial" w:cs="Arial" w:eastAsia="Arial" w:hAnsi="Arial"/>
                <w:sz w:val="18"/>
                <w:szCs w:val="18"/>
                <w:color w:val="auto"/>
              </w:rPr>
              <w:t>investment products</w:t>
            </w:r>
          </w:p>
        </w:tc>
        <w:tc>
          <w:tcPr>
            <w:tcW w:w="3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jc w:val="right"/>
              <w:spacing w:after="0" w:line="205" w:lineRule="exact"/>
              <w:rPr>
                <w:sz w:val="20"/>
                <w:szCs w:val="20"/>
                <w:color w:val="auto"/>
              </w:rPr>
            </w:pPr>
            <w:r>
              <w:rPr>
                <w:rFonts w:ascii="Arial" w:cs="Arial" w:eastAsia="Arial" w:hAnsi="Arial"/>
                <w:sz w:val="18"/>
                <w:szCs w:val="18"/>
                <w:b w:val="1"/>
                <w:bCs w:val="1"/>
                <w:color w:val="auto"/>
              </w:rPr>
              <w:t>686.1</w:t>
            </w: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Pr>
          <w:p>
            <w:pPr>
              <w:jc w:val="right"/>
              <w:spacing w:after="0" w:line="205" w:lineRule="exact"/>
              <w:rPr>
                <w:sz w:val="20"/>
                <w:szCs w:val="20"/>
                <w:color w:val="auto"/>
              </w:rPr>
            </w:pPr>
            <w:r>
              <w:rPr>
                <w:rFonts w:ascii="Arial" w:cs="Arial" w:eastAsia="Arial" w:hAnsi="Arial"/>
                <w:sz w:val="18"/>
                <w:szCs w:val="18"/>
                <w:color w:val="auto"/>
              </w:rPr>
              <w:t>590.5</w:t>
            </w: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jc w:val="right"/>
              <w:spacing w:after="0" w:line="205" w:lineRule="exact"/>
              <w:rPr>
                <w:sz w:val="20"/>
                <w:szCs w:val="20"/>
                <w:color w:val="auto"/>
              </w:rPr>
            </w:pPr>
            <w:r>
              <w:rPr>
                <w:rFonts w:ascii="Arial" w:cs="Arial" w:eastAsia="Arial" w:hAnsi="Arial"/>
                <w:sz w:val="18"/>
                <w:szCs w:val="18"/>
                <w:color w:val="auto"/>
              </w:rPr>
              <w:t>1,178.3</w:t>
            </w: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jc w:val="right"/>
              <w:spacing w:after="0" w:line="205" w:lineRule="exact"/>
              <w:rPr>
                <w:sz w:val="20"/>
                <w:szCs w:val="20"/>
                <w:color w:val="auto"/>
              </w:rPr>
            </w:pPr>
            <w:r>
              <w:rPr>
                <w:rFonts w:ascii="Arial" w:cs="Arial" w:eastAsia="Arial" w:hAnsi="Arial"/>
                <w:sz w:val="18"/>
                <w:szCs w:val="18"/>
                <w:color w:val="auto"/>
              </w:rPr>
              <w:t>961.2</w:t>
            </w: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jc w:val="right"/>
              <w:spacing w:after="0" w:line="205" w:lineRule="exact"/>
              <w:rPr>
                <w:sz w:val="20"/>
                <w:szCs w:val="20"/>
                <w:color w:val="auto"/>
              </w:rPr>
            </w:pPr>
            <w:r>
              <w:rPr>
                <w:rFonts w:ascii="Arial" w:cs="Arial" w:eastAsia="Arial" w:hAnsi="Arial"/>
                <w:sz w:val="18"/>
                <w:szCs w:val="18"/>
                <w:color w:val="auto"/>
              </w:rPr>
              <w:t>924.3</w:t>
            </w: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tcPr>
          <w:p>
            <w:pPr>
              <w:jc w:val="right"/>
              <w:spacing w:after="0" w:line="205" w:lineRule="exact"/>
              <w:rPr>
                <w:sz w:val="20"/>
                <w:szCs w:val="20"/>
                <w:color w:val="auto"/>
              </w:rPr>
            </w:pPr>
            <w:r>
              <w:rPr>
                <w:rFonts w:ascii="Arial" w:cs="Arial" w:eastAsia="Arial" w:hAnsi="Arial"/>
                <w:sz w:val="18"/>
                <w:szCs w:val="18"/>
                <w:color w:val="auto"/>
              </w:rPr>
              <w:t>483.5</w:t>
            </w: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jc w:val="right"/>
              <w:spacing w:after="0" w:line="205" w:lineRule="exact"/>
              <w:rPr>
                <w:sz w:val="20"/>
                <w:szCs w:val="20"/>
                <w:color w:val="auto"/>
              </w:rPr>
            </w:pPr>
            <w:r>
              <w:rPr>
                <w:rFonts w:ascii="Arial" w:cs="Arial" w:eastAsia="Arial" w:hAnsi="Arial"/>
                <w:sz w:val="18"/>
                <w:szCs w:val="18"/>
                <w:color w:val="auto"/>
              </w:rPr>
              <w:t>339.1</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60" w:type="dxa"/>
            <w:vAlign w:val="bottom"/>
            <w:gridSpan w:val="2"/>
          </w:tcPr>
          <w:p>
            <w:pPr>
              <w:spacing w:after="0"/>
              <w:rPr>
                <w:sz w:val="20"/>
                <w:szCs w:val="20"/>
                <w:color w:val="auto"/>
              </w:rPr>
            </w:pPr>
            <w:r>
              <w:rPr>
                <w:rFonts w:ascii="Arial" w:cs="Arial" w:eastAsia="Arial" w:hAnsi="Arial"/>
                <w:sz w:val="18"/>
                <w:szCs w:val="18"/>
                <w:color w:val="auto"/>
              </w:rPr>
              <w:t>6.</w:t>
            </w:r>
          </w:p>
        </w:tc>
        <w:tc>
          <w:tcPr>
            <w:tcW w:w="3320" w:type="dxa"/>
            <w:vAlign w:val="bottom"/>
          </w:tcPr>
          <w:p>
            <w:pPr>
              <w:ind w:left="120"/>
              <w:spacing w:after="0"/>
              <w:rPr>
                <w:sz w:val="20"/>
                <w:szCs w:val="20"/>
                <w:color w:val="auto"/>
              </w:rPr>
            </w:pPr>
            <w:r>
              <w:rPr>
                <w:rFonts w:ascii="Arial" w:cs="Arial" w:eastAsia="Arial" w:hAnsi="Arial"/>
                <w:sz w:val="18"/>
                <w:szCs w:val="18"/>
                <w:color w:val="auto"/>
                <w:w w:val="99"/>
              </w:rPr>
              <w:t>Interest credited on investment products</w:t>
            </w:r>
          </w:p>
        </w:tc>
        <w:tc>
          <w:tcPr>
            <w:tcW w:w="3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433.7</w:t>
            </w: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409.1</w:t>
            </w:r>
          </w:p>
        </w:tc>
        <w:tc>
          <w:tcPr>
            <w:tcW w:w="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832.2</w:t>
            </w:r>
          </w:p>
        </w:tc>
        <w:tc>
          <w:tcPr>
            <w:tcW w:w="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763.7</w:t>
            </w:r>
          </w:p>
        </w:tc>
        <w:tc>
          <w:tcPr>
            <w:tcW w:w="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735.7</w:t>
            </w:r>
          </w:p>
        </w:tc>
        <w:tc>
          <w:tcPr>
            <w:tcW w:w="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743.4</w:t>
            </w:r>
          </w:p>
        </w:tc>
        <w:tc>
          <w:tcPr>
            <w:tcW w:w="2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773.1</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7.</w:t>
            </w:r>
          </w:p>
        </w:tc>
        <w:tc>
          <w:tcPr>
            <w:tcW w:w="3320" w:type="dxa"/>
            <w:vAlign w:val="bottom"/>
            <w:tcBorders>
              <w:top w:val="single" w:sz="8" w:color="CCEEFF"/>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Earnings</w:t>
            </w:r>
          </w:p>
        </w:tc>
        <w:tc>
          <w:tcPr>
            <w:tcW w:w="32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b w:val="1"/>
                <w:bCs w:val="1"/>
                <w:color w:val="auto"/>
                <w:w w:val="71"/>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1,119.8</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999.6</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2,010.5</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1,724.9</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1,660.0</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1,226.9</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1,112.2</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340" w:type="dxa"/>
            <w:vAlign w:val="bottom"/>
          </w:tcPr>
          <w:p>
            <w:pPr>
              <w:spacing w:after="0"/>
              <w:rPr>
                <w:sz w:val="17"/>
                <w:szCs w:val="17"/>
                <w:color w:val="auto"/>
              </w:rPr>
            </w:pPr>
          </w:p>
        </w:tc>
        <w:tc>
          <w:tcPr>
            <w:tcW w:w="33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40" w:type="dxa"/>
            <w:vAlign w:val="bottom"/>
            <w:shd w:val="clear" w:color="auto" w:fill="CCEEFF"/>
          </w:tcPr>
          <w:p>
            <w:pPr>
              <w:spacing w:after="0"/>
              <w:rPr>
                <w:sz w:val="20"/>
                <w:szCs w:val="20"/>
                <w:color w:val="auto"/>
              </w:rPr>
            </w:pPr>
            <w:r>
              <w:rPr>
                <w:rFonts w:ascii="Arial" w:cs="Arial" w:eastAsia="Arial" w:hAnsi="Arial"/>
                <w:sz w:val="18"/>
                <w:szCs w:val="18"/>
                <w:color w:val="auto"/>
              </w:rPr>
              <w:t>8.</w:t>
            </w:r>
          </w:p>
        </w:tc>
        <w:tc>
          <w:tcPr>
            <w:tcW w:w="33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Interest expense</w:t>
            </w:r>
          </w:p>
        </w:tc>
        <w:tc>
          <w:tcPr>
            <w:tcW w:w="50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b w:val="1"/>
                <w:bCs w:val="1"/>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42.8</w:t>
            </w: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41.3</w:t>
            </w:r>
          </w:p>
        </w:tc>
        <w:tc>
          <w:tcPr>
            <w:tcW w:w="44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81.1</w:t>
            </w:r>
          </w:p>
        </w:tc>
        <w:tc>
          <w:tcPr>
            <w:tcW w:w="44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96.9</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117.5</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99.7</w:t>
            </w:r>
          </w:p>
        </w:tc>
        <w:tc>
          <w:tcPr>
            <w:tcW w:w="46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tcPr>
          <w:p>
            <w:pPr>
              <w:spacing w:after="0"/>
              <w:rPr>
                <w:sz w:val="20"/>
                <w:szCs w:val="20"/>
                <w:color w:val="auto"/>
              </w:rPr>
            </w:pPr>
            <w:r>
              <w:rPr>
                <w:rFonts w:ascii="Arial" w:cs="Arial" w:eastAsia="Arial" w:hAnsi="Arial"/>
                <w:sz w:val="18"/>
                <w:szCs w:val="18"/>
                <w:color w:val="auto"/>
              </w:rPr>
              <w:t>9.</w:t>
            </w:r>
          </w:p>
        </w:tc>
        <w:tc>
          <w:tcPr>
            <w:tcW w:w="3320" w:type="dxa"/>
            <w:vAlign w:val="bottom"/>
          </w:tcPr>
          <w:p>
            <w:pPr>
              <w:ind w:left="120"/>
              <w:spacing w:after="0"/>
              <w:rPr>
                <w:sz w:val="20"/>
                <w:szCs w:val="20"/>
                <w:color w:val="auto"/>
              </w:rPr>
            </w:pPr>
            <w:r>
              <w:rPr>
                <w:rFonts w:ascii="Arial" w:cs="Arial" w:eastAsia="Arial" w:hAnsi="Arial"/>
                <w:sz w:val="18"/>
                <w:szCs w:val="18"/>
                <w:color w:val="auto"/>
              </w:rPr>
              <w:t>Interest factor of rental expense</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3.5</w:t>
            </w: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2.3</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7.0</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4.6</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4.8</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8.0</w:t>
            </w: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9.4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20"/>
                <w:szCs w:val="20"/>
                <w:color w:val="auto"/>
              </w:rPr>
            </w:pPr>
            <w:r>
              <w:rPr>
                <w:rFonts w:ascii="Arial" w:cs="Arial" w:eastAsia="Arial" w:hAnsi="Arial"/>
                <w:sz w:val="18"/>
                <w:szCs w:val="18"/>
                <w:color w:val="auto"/>
              </w:rPr>
              <w:t>10.</w:t>
            </w:r>
          </w:p>
        </w:tc>
        <w:tc>
          <w:tcPr>
            <w:tcW w:w="33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Preferred stock dividends by registrant</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16.5</w:t>
            </w: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ind w:left="660" w:right="8000" w:hanging="652"/>
        <w:spacing w:after="0" w:line="265" w:lineRule="auto"/>
        <w:tabs>
          <w:tab w:leader="none" w:pos="480" w:val="left"/>
        </w:tabs>
        <w:numPr>
          <w:ilvl w:val="0"/>
          <w:numId w:val="42"/>
        </w:numPr>
        <w:rPr>
          <w:rFonts w:ascii="Arial" w:cs="Arial" w:eastAsia="Arial" w:hAnsi="Arial"/>
          <w:sz w:val="17"/>
          <w:szCs w:val="17"/>
          <w:color w:val="auto"/>
        </w:rPr>
      </w:pPr>
      <w:r>
        <w:rPr>
          <w:rFonts w:ascii="Arial" w:cs="Arial" w:eastAsia="Arial" w:hAnsi="Arial"/>
          <w:sz w:val="17"/>
          <w:szCs w:val="17"/>
          <w:color w:val="auto"/>
        </w:rPr>
        <w:t>Preferred stock dividend requirements of majority-owned subsidiaries (non-</w:t>
      </w:r>
    </w:p>
    <w:p>
      <w:pPr>
        <w:ind w:left="660"/>
        <w:spacing w:after="0"/>
        <w:tabs>
          <w:tab w:leader="none" w:pos="4600" w:val="left"/>
          <w:tab w:leader="none" w:pos="5680" w:val="left"/>
          <w:tab w:leader="none" w:pos="6760" w:val="left"/>
          <w:tab w:leader="none" w:pos="7840" w:val="left"/>
          <w:tab w:leader="none" w:pos="8860" w:val="left"/>
          <w:tab w:leader="none" w:pos="9960" w:val="left"/>
          <w:tab w:leader="none" w:pos="11120" w:val="left"/>
        </w:tabs>
        <w:rPr>
          <w:sz w:val="20"/>
          <w:szCs w:val="20"/>
          <w:color w:val="auto"/>
        </w:rPr>
      </w:pPr>
      <w:r>
        <w:rPr>
          <w:rFonts w:ascii="Arial" w:cs="Arial" w:eastAsia="Arial" w:hAnsi="Arial"/>
          <w:sz w:val="18"/>
          <w:szCs w:val="18"/>
          <w:color w:val="auto"/>
        </w:rPr>
        <w:t>intercompany)</w:t>
      </w:r>
      <w:r>
        <w:rPr>
          <w:sz w:val="20"/>
          <w:szCs w:val="20"/>
          <w:color w:val="auto"/>
        </w:rPr>
        <w:tab/>
      </w:r>
      <w:r>
        <w:rPr>
          <w:rFonts w:ascii="Arial" w:cs="Arial" w:eastAsia="Arial" w:hAnsi="Arial"/>
          <w:sz w:val="18"/>
          <w:szCs w:val="18"/>
          <w:b w:val="1"/>
          <w:bCs w:val="1"/>
          <w:color w:val="auto"/>
        </w:rPr>
        <w:t>—</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1.2</w:t>
      </w:r>
      <w:r>
        <w:rPr>
          <w:sz w:val="20"/>
          <w:szCs w:val="20"/>
          <w:color w:val="auto"/>
        </w:rPr>
        <w:tab/>
      </w:r>
      <w:r>
        <w:rPr>
          <w:rFonts w:ascii="Arial" w:cs="Arial" w:eastAsia="Arial" w:hAnsi="Arial"/>
          <w:sz w:val="18"/>
          <w:szCs w:val="18"/>
          <w:color w:val="auto"/>
        </w:rPr>
        <w:t>0.4</w:t>
      </w:r>
      <w:r>
        <w:rPr>
          <w:sz w:val="20"/>
          <w:szCs w:val="20"/>
          <w:color w:val="auto"/>
        </w:rPr>
        <w:tab/>
      </w:r>
      <w:r>
        <w:rPr>
          <w:rFonts w:ascii="Arial" w:cs="Arial" w:eastAsia="Arial" w:hAnsi="Arial"/>
          <w:sz w:val="18"/>
          <w:szCs w:val="18"/>
          <w:color w:val="auto"/>
        </w:rPr>
        <w:t>—</w:t>
      </w:r>
    </w:p>
    <w:p>
      <w:pPr>
        <w:spacing w:after="0" w:line="9" w:lineRule="exact"/>
        <w:rPr>
          <w:sz w:val="20"/>
          <w:szCs w:val="20"/>
          <w:color w:val="auto"/>
        </w:rPr>
      </w:pPr>
    </w:p>
    <w:p>
      <w:pPr>
        <w:ind w:left="480" w:hanging="472"/>
        <w:spacing w:after="0"/>
        <w:tabs>
          <w:tab w:leader="none" w:pos="4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Fixed charges before interest credited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27432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46620" cy="27432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640" w:type="dxa"/>
            <w:vAlign w:val="bottom"/>
          </w:tcPr>
          <w:p>
            <w:pPr>
              <w:ind w:left="300"/>
              <w:spacing w:after="0"/>
              <w:rPr>
                <w:sz w:val="20"/>
                <w:szCs w:val="20"/>
                <w:color w:val="auto"/>
              </w:rPr>
            </w:pPr>
            <w:r>
              <w:rPr>
                <w:rFonts w:ascii="Arial" w:cs="Arial" w:eastAsia="Arial" w:hAnsi="Arial"/>
                <w:sz w:val="18"/>
                <w:szCs w:val="18"/>
                <w:color w:val="auto"/>
              </w:rPr>
              <w:t>investment products</w:t>
            </w:r>
          </w:p>
        </w:tc>
        <w:tc>
          <w:tcPr>
            <w:tcW w:w="24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8"/>
                <w:szCs w:val="18"/>
                <w:b w:val="1"/>
                <w:bCs w:val="1"/>
                <w:color w:val="auto"/>
              </w:rPr>
              <w:t>62.8</w:t>
            </w: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43.6</w:t>
            </w: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105.8</w:t>
            </w: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101.5</w:t>
            </w: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123.5</w:t>
            </w:r>
          </w:p>
        </w:tc>
        <w:tc>
          <w:tcPr>
            <w:tcW w:w="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108.1</w:t>
            </w:r>
          </w:p>
        </w:tc>
        <w:tc>
          <w:tcPr>
            <w:tcW w:w="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106.6</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60" w:type="dxa"/>
            <w:vAlign w:val="bottom"/>
            <w:gridSpan w:val="2"/>
          </w:tcPr>
          <w:p>
            <w:pPr>
              <w:jc w:val="right"/>
              <w:ind w:right="30"/>
              <w:spacing w:after="0"/>
              <w:rPr>
                <w:sz w:val="20"/>
                <w:szCs w:val="20"/>
                <w:color w:val="auto"/>
              </w:rPr>
            </w:pPr>
            <w:r>
              <w:rPr>
                <w:rFonts w:ascii="Arial" w:cs="Arial" w:eastAsia="Arial" w:hAnsi="Arial"/>
                <w:sz w:val="18"/>
                <w:szCs w:val="18"/>
                <w:color w:val="auto"/>
                <w:w w:val="87"/>
              </w:rPr>
              <w:t>13.</w:t>
            </w:r>
          </w:p>
        </w:tc>
        <w:tc>
          <w:tcPr>
            <w:tcW w:w="3640" w:type="dxa"/>
            <w:vAlign w:val="bottom"/>
          </w:tcPr>
          <w:p>
            <w:pPr>
              <w:ind w:left="120"/>
              <w:spacing w:after="0"/>
              <w:rPr>
                <w:sz w:val="20"/>
                <w:szCs w:val="20"/>
                <w:color w:val="auto"/>
              </w:rPr>
            </w:pPr>
            <w:r>
              <w:rPr>
                <w:rFonts w:ascii="Arial" w:cs="Arial" w:eastAsia="Arial" w:hAnsi="Arial"/>
                <w:sz w:val="18"/>
                <w:szCs w:val="18"/>
                <w:color w:val="auto"/>
              </w:rPr>
              <w:t>Interest credited on investment products</w:t>
            </w:r>
          </w:p>
        </w:tc>
        <w:tc>
          <w:tcPr>
            <w:tcW w:w="24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b w:val="1"/>
                <w:bCs w:val="1"/>
                <w:color w:val="auto"/>
              </w:rPr>
              <w:t>433.7</w:t>
            </w: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409.1</w:t>
            </w: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832.2</w:t>
            </w: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763.7</w:t>
            </w: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735.7</w:t>
            </w: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743.4</w:t>
            </w: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773.1</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0" w:type="dxa"/>
            <w:vAlign w:val="bottom"/>
            <w:tcBorders>
              <w:top w:val="single" w:sz="8" w:color="CCEEFF"/>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14.</w:t>
            </w:r>
          </w:p>
        </w:tc>
        <w:tc>
          <w:tcPr>
            <w:tcW w:w="3640" w:type="dxa"/>
            <w:vAlign w:val="bottom"/>
            <w:tcBorders>
              <w:top w:val="single" w:sz="8" w:color="CCEEFF"/>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Fixed charges</w:t>
            </w:r>
          </w:p>
        </w:tc>
        <w:tc>
          <w:tcPr>
            <w:tcW w:w="240" w:type="dxa"/>
            <w:vAlign w:val="bottom"/>
            <w:tcBorders>
              <w:top w:val="single" w:sz="8" w:color="auto"/>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b w:val="1"/>
                <w:bCs w:val="1"/>
                <w:color w:val="auto"/>
                <w:w w:val="71"/>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496.</w:t>
            </w:r>
            <w:r>
              <w:rPr>
                <w:rFonts w:ascii="Arial" w:cs="Arial" w:eastAsia="Arial" w:hAnsi="Arial"/>
                <w:sz w:val="18"/>
                <w:szCs w:val="18"/>
                <w:b w:val="1"/>
                <w:bCs w:val="1"/>
                <w:u w:val="single" w:color="auto"/>
                <w:color w:val="auto"/>
              </w:rPr>
              <w:t>5</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452.7</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938.</w:t>
            </w:r>
            <w:r>
              <w:rPr>
                <w:rFonts w:ascii="Arial" w:cs="Arial" w:eastAsia="Arial" w:hAnsi="Arial"/>
                <w:sz w:val="18"/>
                <w:szCs w:val="18"/>
                <w:u w:val="single" w:color="auto"/>
                <w:color w:val="auto"/>
              </w:rPr>
              <w:t>0</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865.</w:t>
            </w:r>
            <w:r>
              <w:rPr>
                <w:rFonts w:ascii="Arial" w:cs="Arial" w:eastAsia="Arial" w:hAnsi="Arial"/>
                <w:sz w:val="18"/>
                <w:szCs w:val="18"/>
                <w:u w:val="single" w:color="auto"/>
                <w:color w:val="auto"/>
              </w:rPr>
              <w:t>2</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859.</w:t>
            </w:r>
            <w:r>
              <w:rPr>
                <w:rFonts w:ascii="Arial" w:cs="Arial" w:eastAsia="Arial" w:hAnsi="Arial"/>
                <w:sz w:val="18"/>
                <w:szCs w:val="18"/>
                <w:u w:val="single" w:color="auto"/>
                <w:color w:val="auto"/>
              </w:rPr>
              <w:t>2</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851.</w:t>
            </w:r>
            <w:r>
              <w:rPr>
                <w:rFonts w:ascii="Arial" w:cs="Arial" w:eastAsia="Arial" w:hAnsi="Arial"/>
                <w:sz w:val="18"/>
                <w:szCs w:val="18"/>
                <w:u w:val="single" w:color="auto"/>
                <w:color w:val="auto"/>
              </w:rPr>
              <w:t>5</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879.7</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6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340" w:type="dxa"/>
            <w:vAlign w:val="bottom"/>
          </w:tcPr>
          <w:p>
            <w:pPr>
              <w:spacing w:after="0"/>
              <w:rPr>
                <w:sz w:val="17"/>
                <w:szCs w:val="17"/>
                <w:color w:val="auto"/>
              </w:rPr>
            </w:pPr>
          </w:p>
        </w:tc>
        <w:tc>
          <w:tcPr>
            <w:tcW w:w="36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340" w:type="dxa"/>
            <w:vAlign w:val="bottom"/>
            <w:shd w:val="clear" w:color="auto" w:fill="CCEEFF"/>
          </w:tcPr>
          <w:p>
            <w:pPr>
              <w:jc w:val="right"/>
              <w:ind w:right="30"/>
              <w:spacing w:after="0" w:line="201" w:lineRule="exact"/>
              <w:rPr>
                <w:sz w:val="20"/>
                <w:szCs w:val="20"/>
                <w:color w:val="auto"/>
              </w:rPr>
            </w:pPr>
            <w:r>
              <w:rPr>
                <w:rFonts w:ascii="Arial" w:cs="Arial" w:eastAsia="Arial" w:hAnsi="Arial"/>
                <w:sz w:val="18"/>
                <w:szCs w:val="18"/>
                <w:color w:val="auto"/>
                <w:w w:val="79"/>
              </w:rPr>
              <w:t>15.</w:t>
            </w:r>
          </w:p>
        </w:tc>
        <w:tc>
          <w:tcPr>
            <w:tcW w:w="3640" w:type="dxa"/>
            <w:vAlign w:val="bottom"/>
            <w:shd w:val="clear" w:color="auto" w:fill="CCEEFF"/>
          </w:tcPr>
          <w:p>
            <w:pPr>
              <w:ind w:left="120"/>
              <w:spacing w:after="0" w:line="201" w:lineRule="exact"/>
              <w:rPr>
                <w:sz w:val="20"/>
                <w:szCs w:val="20"/>
                <w:color w:val="auto"/>
              </w:rPr>
            </w:pPr>
            <w:r>
              <w:rPr>
                <w:rFonts w:ascii="Arial" w:cs="Arial" w:eastAsia="Arial" w:hAnsi="Arial"/>
                <w:sz w:val="18"/>
                <w:szCs w:val="18"/>
                <w:color w:val="auto"/>
              </w:rPr>
              <w:t>Ratio of earnings to fixed charges before</w:t>
            </w:r>
          </w:p>
        </w:tc>
        <w:tc>
          <w:tcPr>
            <w:tcW w:w="2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640" w:type="dxa"/>
            <w:vAlign w:val="bottom"/>
            <w:shd w:val="clear" w:color="auto" w:fill="CCEEFF"/>
          </w:tcPr>
          <w:p>
            <w:pPr>
              <w:ind w:left="300"/>
              <w:spacing w:after="0"/>
              <w:rPr>
                <w:sz w:val="20"/>
                <w:szCs w:val="20"/>
                <w:color w:val="auto"/>
              </w:rPr>
            </w:pPr>
            <w:r>
              <w:rPr>
                <w:rFonts w:ascii="Arial" w:cs="Arial" w:eastAsia="Arial" w:hAnsi="Arial"/>
                <w:sz w:val="18"/>
                <w:szCs w:val="18"/>
                <w:color w:val="auto"/>
              </w:rPr>
              <w:t>interest credited on investment products</w:t>
            </w:r>
          </w:p>
        </w:tc>
        <w:tc>
          <w:tcPr>
            <w:tcW w:w="240" w:type="dxa"/>
            <w:vAlign w:val="bottom"/>
            <w:shd w:val="clear" w:color="auto" w:fill="CCEEFF"/>
          </w:tcPr>
          <w:p>
            <w:pPr>
              <w:spacing w:after="0"/>
              <w:rPr>
                <w:sz w:val="18"/>
                <w:szCs w:val="18"/>
                <w:color w:val="auto"/>
              </w:rPr>
            </w:pP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10.9</w:t>
            </w: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3640" w:type="dxa"/>
            <w:vAlign w:val="bottom"/>
            <w:shd w:val="clear" w:color="auto" w:fill="CCEEFF"/>
          </w:tcPr>
          <w:p>
            <w:pPr>
              <w:ind w:left="300"/>
              <w:spacing w:after="0"/>
              <w:rPr>
                <w:sz w:val="20"/>
                <w:szCs w:val="20"/>
                <w:color w:val="auto"/>
              </w:rPr>
            </w:pPr>
            <w:r>
              <w:rPr>
                <w:rFonts w:ascii="Arial" w:cs="Arial" w:eastAsia="Arial" w:hAnsi="Arial"/>
                <w:sz w:val="18"/>
                <w:szCs w:val="18"/>
                <w:color w:val="auto"/>
              </w:rPr>
              <w:t>(Line item 5/Line item 12)</w:t>
            </w:r>
          </w:p>
        </w:tc>
        <w:tc>
          <w:tcPr>
            <w:tcW w:w="240" w:type="dxa"/>
            <w:vAlign w:val="bottom"/>
            <w:shd w:val="clear" w:color="auto" w:fill="CCEEFF"/>
          </w:tcPr>
          <w:p>
            <w:pPr>
              <w:spacing w:after="0"/>
              <w:rPr>
                <w:sz w:val="20"/>
                <w:szCs w:val="20"/>
                <w:color w:val="auto"/>
              </w:rPr>
            </w:pPr>
          </w:p>
        </w:tc>
        <w:tc>
          <w:tcPr>
            <w:tcW w:w="580" w:type="dxa"/>
            <w:vAlign w:val="bottom"/>
            <w:vMerge w:val="continue"/>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w:t>
            </w:r>
          </w:p>
        </w:tc>
        <w:tc>
          <w:tcPr>
            <w:tcW w:w="2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w:t>
            </w:r>
          </w:p>
        </w:tc>
        <w:tc>
          <w:tcPr>
            <w:tcW w:w="2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2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480" w:hanging="472"/>
        <w:spacing w:after="0"/>
        <w:tabs>
          <w:tab w:leader="none" w:pos="4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Ratio of earnings to fixed charges (Line item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6620" cy="27432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46620" cy="274320"/>
                    </a:xfrm>
                    <a:prstGeom prst="rect">
                      <a:avLst/>
                    </a:prstGeom>
                    <a:noFill/>
                  </pic:spPr>
                </pic:pic>
              </a:graphicData>
            </a:graphic>
          </wp:anchor>
        </w:drawing>
      </w:r>
    </w:p>
    <w:p>
      <w:pPr>
        <w:spacing w:after="0" w:line="3" w:lineRule="exact"/>
        <w:rPr>
          <w:sz w:val="20"/>
          <w:szCs w:val="20"/>
          <w:color w:val="auto"/>
        </w:rPr>
      </w:pPr>
    </w:p>
    <w:tbl>
      <w:tblPr>
        <w:tblLayout w:type="fixed"/>
        <w:tblInd w:w="660" w:type="dxa"/>
        <w:tblCellMar>
          <w:top w:w="0" w:type="dxa"/>
          <w:left w:w="0" w:type="dxa"/>
          <w:bottom w:w="0" w:type="dxa"/>
          <w:right w:w="0" w:type="dxa"/>
        </w:tblCellMar>
      </w:tblPr>
      <w:tr>
        <w:trPr>
          <w:trHeight w:val="234"/>
        </w:trPr>
        <w:tc>
          <w:tcPr>
            <w:tcW w:w="2520" w:type="dxa"/>
            <w:vAlign w:val="bottom"/>
          </w:tcPr>
          <w:p>
            <w:pPr>
              <w:spacing w:after="0"/>
              <w:rPr>
                <w:sz w:val="20"/>
                <w:szCs w:val="20"/>
                <w:color w:val="auto"/>
              </w:rPr>
            </w:pPr>
            <w:r>
              <w:rPr>
                <w:rFonts w:ascii="Arial" w:cs="Arial" w:eastAsia="Arial" w:hAnsi="Arial"/>
                <w:sz w:val="18"/>
                <w:szCs w:val="18"/>
                <w:color w:val="auto"/>
              </w:rPr>
              <w:t>7/Line item 14)</w:t>
            </w:r>
          </w:p>
        </w:tc>
        <w:tc>
          <w:tcPr>
            <w:tcW w:w="2040" w:type="dxa"/>
            <w:vAlign w:val="bottom"/>
          </w:tcPr>
          <w:p>
            <w:pPr>
              <w:jc w:val="right"/>
              <w:ind w:right="330"/>
              <w:spacing w:after="0"/>
              <w:rPr>
                <w:sz w:val="20"/>
                <w:szCs w:val="20"/>
                <w:color w:val="auto"/>
              </w:rPr>
            </w:pPr>
            <w:r>
              <w:rPr>
                <w:rFonts w:ascii="Arial" w:cs="Arial" w:eastAsia="Arial" w:hAnsi="Arial"/>
                <w:sz w:val="18"/>
                <w:szCs w:val="18"/>
                <w:b w:val="1"/>
                <w:bCs w:val="1"/>
                <w:color w:val="auto"/>
              </w:rPr>
              <w:t>2.3</w:t>
            </w:r>
          </w:p>
        </w:tc>
        <w:tc>
          <w:tcPr>
            <w:tcW w:w="1080" w:type="dxa"/>
            <w:vAlign w:val="bottom"/>
          </w:tcPr>
          <w:p>
            <w:pPr>
              <w:jc w:val="right"/>
              <w:ind w:right="330"/>
              <w:spacing w:after="0"/>
              <w:rPr>
                <w:sz w:val="20"/>
                <w:szCs w:val="20"/>
                <w:color w:val="auto"/>
              </w:rPr>
            </w:pPr>
            <w:r>
              <w:rPr>
                <w:rFonts w:ascii="Arial" w:cs="Arial" w:eastAsia="Arial" w:hAnsi="Arial"/>
                <w:sz w:val="18"/>
                <w:szCs w:val="18"/>
                <w:color w:val="auto"/>
              </w:rPr>
              <w:t>2.2</w:t>
            </w:r>
          </w:p>
        </w:tc>
        <w:tc>
          <w:tcPr>
            <w:tcW w:w="1080" w:type="dxa"/>
            <w:vAlign w:val="bottom"/>
          </w:tcPr>
          <w:p>
            <w:pPr>
              <w:jc w:val="right"/>
              <w:ind w:right="330"/>
              <w:spacing w:after="0"/>
              <w:rPr>
                <w:sz w:val="20"/>
                <w:szCs w:val="20"/>
                <w:color w:val="auto"/>
              </w:rPr>
            </w:pPr>
            <w:r>
              <w:rPr>
                <w:rFonts w:ascii="Arial" w:cs="Arial" w:eastAsia="Arial" w:hAnsi="Arial"/>
                <w:sz w:val="18"/>
                <w:szCs w:val="18"/>
                <w:color w:val="auto"/>
              </w:rPr>
              <w:t>2.1</w:t>
            </w:r>
          </w:p>
        </w:tc>
        <w:tc>
          <w:tcPr>
            <w:tcW w:w="1080" w:type="dxa"/>
            <w:vAlign w:val="bottom"/>
          </w:tcPr>
          <w:p>
            <w:pPr>
              <w:jc w:val="right"/>
              <w:ind w:right="330"/>
              <w:spacing w:after="0"/>
              <w:rPr>
                <w:sz w:val="20"/>
                <w:szCs w:val="20"/>
                <w:color w:val="auto"/>
              </w:rPr>
            </w:pPr>
            <w:r>
              <w:rPr>
                <w:rFonts w:ascii="Arial" w:cs="Arial" w:eastAsia="Arial" w:hAnsi="Arial"/>
                <w:sz w:val="18"/>
                <w:szCs w:val="18"/>
                <w:color w:val="auto"/>
              </w:rPr>
              <w:t>2.0</w:t>
            </w:r>
          </w:p>
        </w:tc>
        <w:tc>
          <w:tcPr>
            <w:tcW w:w="1080" w:type="dxa"/>
            <w:vAlign w:val="bottom"/>
          </w:tcPr>
          <w:p>
            <w:pPr>
              <w:jc w:val="right"/>
              <w:ind w:right="330"/>
              <w:spacing w:after="0"/>
              <w:rPr>
                <w:sz w:val="20"/>
                <w:szCs w:val="20"/>
                <w:color w:val="auto"/>
              </w:rPr>
            </w:pPr>
            <w:r>
              <w:rPr>
                <w:rFonts w:ascii="Arial" w:cs="Arial" w:eastAsia="Arial" w:hAnsi="Arial"/>
                <w:sz w:val="18"/>
                <w:szCs w:val="18"/>
                <w:color w:val="auto"/>
              </w:rPr>
              <w:t>1.9</w:t>
            </w:r>
          </w:p>
        </w:tc>
        <w:tc>
          <w:tcPr>
            <w:tcW w:w="1120" w:type="dxa"/>
            <w:vAlign w:val="bottom"/>
          </w:tcPr>
          <w:p>
            <w:pPr>
              <w:jc w:val="right"/>
              <w:ind w:right="370"/>
              <w:spacing w:after="0"/>
              <w:rPr>
                <w:sz w:val="20"/>
                <w:szCs w:val="20"/>
                <w:color w:val="auto"/>
              </w:rPr>
            </w:pPr>
            <w:r>
              <w:rPr>
                <w:rFonts w:ascii="Arial" w:cs="Arial" w:eastAsia="Arial" w:hAnsi="Arial"/>
                <w:sz w:val="18"/>
                <w:szCs w:val="18"/>
                <w:color w:val="auto"/>
              </w:rPr>
              <w:t>1.4</w:t>
            </w:r>
          </w:p>
        </w:tc>
        <w:tc>
          <w:tcPr>
            <w:tcW w:w="660" w:type="dxa"/>
            <w:vAlign w:val="bottom"/>
          </w:tcPr>
          <w:p>
            <w:pPr>
              <w:jc w:val="right"/>
              <w:spacing w:after="0"/>
              <w:rPr>
                <w:sz w:val="20"/>
                <w:szCs w:val="20"/>
                <w:color w:val="auto"/>
              </w:rPr>
            </w:pPr>
            <w:r>
              <w:rPr>
                <w:rFonts w:ascii="Arial" w:cs="Arial" w:eastAsia="Arial" w:hAnsi="Arial"/>
                <w:sz w:val="18"/>
                <w:szCs w:val="18"/>
                <w:color w:val="auto"/>
              </w:rPr>
              <w:t>1.3</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65" w:name="page66"/>
    <w:bookmarkEnd w:id="65"/>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J. Barry Griswell, certify that:</w:t>
      </w:r>
    </w:p>
    <w:p>
      <w:pPr>
        <w:spacing w:after="0" w:line="225" w:lineRule="exact"/>
        <w:rPr>
          <w:sz w:val="20"/>
          <w:szCs w:val="20"/>
          <w:color w:val="auto"/>
        </w:rPr>
      </w:pPr>
    </w:p>
    <w:p>
      <w:pPr>
        <w:ind w:left="180" w:hanging="172"/>
        <w:spacing w:after="0"/>
        <w:tabs>
          <w:tab w:leader="none" w:pos="1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Principal Financial Group, Inc.;</w:t>
      </w:r>
    </w:p>
    <w:p>
      <w:pPr>
        <w:spacing w:after="0" w:line="225" w:lineRule="exact"/>
        <w:rPr>
          <w:rFonts w:ascii="Arial" w:cs="Arial" w:eastAsia="Arial" w:hAnsi="Arial"/>
          <w:sz w:val="18"/>
          <w:szCs w:val="18"/>
          <w:color w:val="auto"/>
        </w:rPr>
      </w:pPr>
    </w:p>
    <w:p>
      <w:pPr>
        <w:ind w:left="260" w:right="200" w:hanging="252"/>
        <w:spacing w:after="0" w:line="342" w:lineRule="auto"/>
        <w:tabs>
          <w:tab w:leader="none" w:pos="197" w:val="left"/>
        </w:tabs>
        <w:numPr>
          <w:ilvl w:val="0"/>
          <w:numId w:val="45"/>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left="260" w:right="60" w:hanging="252"/>
        <w:spacing w:after="0" w:line="277" w:lineRule="auto"/>
        <w:tabs>
          <w:tab w:leader="none" w:pos="197" w:val="left"/>
        </w:tabs>
        <w:numPr>
          <w:ilvl w:val="0"/>
          <w:numId w:val="45"/>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ind w:left="260" w:hanging="252"/>
        <w:spacing w:after="0" w:line="264" w:lineRule="auto"/>
        <w:tabs>
          <w:tab w:leader="none" w:pos="197"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48" w:lineRule="exact"/>
        <w:rPr>
          <w:rFonts w:ascii="Arial" w:cs="Arial" w:eastAsia="Arial" w:hAnsi="Arial"/>
          <w:sz w:val="18"/>
          <w:szCs w:val="18"/>
          <w:color w:val="auto"/>
        </w:rPr>
      </w:pPr>
    </w:p>
    <w:p>
      <w:pPr>
        <w:ind w:left="580" w:right="100" w:hanging="325"/>
        <w:spacing w:after="0" w:line="271" w:lineRule="auto"/>
        <w:tabs>
          <w:tab w:leader="none" w:pos="584" w:val="left"/>
        </w:tabs>
        <w:numPr>
          <w:ilvl w:val="1"/>
          <w:numId w:val="4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44" w:lineRule="exact"/>
        <w:rPr>
          <w:rFonts w:ascii="Arial" w:cs="Arial" w:eastAsia="Arial" w:hAnsi="Arial"/>
          <w:sz w:val="18"/>
          <w:szCs w:val="18"/>
          <w:color w:val="auto"/>
        </w:rPr>
      </w:pPr>
    </w:p>
    <w:p>
      <w:pPr>
        <w:ind w:left="580" w:right="80" w:hanging="325"/>
        <w:spacing w:after="0" w:line="271" w:lineRule="auto"/>
        <w:tabs>
          <w:tab w:leader="none" w:pos="595" w:val="left"/>
        </w:tabs>
        <w:numPr>
          <w:ilvl w:val="1"/>
          <w:numId w:val="4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44" w:lineRule="exact"/>
        <w:rPr>
          <w:rFonts w:ascii="Arial" w:cs="Arial" w:eastAsia="Arial" w:hAnsi="Arial"/>
          <w:sz w:val="18"/>
          <w:szCs w:val="18"/>
          <w:color w:val="auto"/>
        </w:rPr>
      </w:pPr>
    </w:p>
    <w:p>
      <w:pPr>
        <w:ind w:left="580" w:right="160" w:hanging="325"/>
        <w:spacing w:after="0" w:line="324" w:lineRule="auto"/>
        <w:tabs>
          <w:tab w:leader="none" w:pos="584" w:val="left"/>
        </w:tabs>
        <w:numPr>
          <w:ilvl w:val="1"/>
          <w:numId w:val="45"/>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201" w:lineRule="exact"/>
        <w:rPr>
          <w:rFonts w:ascii="Arial" w:cs="Arial" w:eastAsia="Arial" w:hAnsi="Arial"/>
          <w:sz w:val="17"/>
          <w:szCs w:val="17"/>
          <w:color w:val="auto"/>
        </w:rPr>
      </w:pPr>
    </w:p>
    <w:p>
      <w:pPr>
        <w:ind w:left="580" w:right="20" w:hanging="325"/>
        <w:spacing w:after="0" w:line="271" w:lineRule="auto"/>
        <w:tabs>
          <w:tab w:leader="none" w:pos="595" w:val="left"/>
        </w:tabs>
        <w:numPr>
          <w:ilvl w:val="1"/>
          <w:numId w:val="4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6" w:lineRule="exact"/>
        <w:rPr>
          <w:rFonts w:ascii="Arial" w:cs="Arial" w:eastAsia="Arial" w:hAnsi="Arial"/>
          <w:sz w:val="18"/>
          <w:szCs w:val="18"/>
          <w:color w:val="auto"/>
        </w:rPr>
      </w:pPr>
    </w:p>
    <w:p>
      <w:pPr>
        <w:ind w:left="260" w:right="460" w:hanging="252"/>
        <w:spacing w:after="0" w:line="308" w:lineRule="auto"/>
        <w:tabs>
          <w:tab w:leader="none" w:pos="197" w:val="left"/>
        </w:tabs>
        <w:numPr>
          <w:ilvl w:val="0"/>
          <w:numId w:val="45"/>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registrant’s board of directors (or persons performing the equivalent functions):</w:t>
      </w:r>
    </w:p>
    <w:p>
      <w:pPr>
        <w:spacing w:after="0" w:line="214" w:lineRule="exact"/>
        <w:rPr>
          <w:rFonts w:ascii="Arial" w:cs="Arial" w:eastAsia="Arial" w:hAnsi="Arial"/>
          <w:sz w:val="17"/>
          <w:szCs w:val="17"/>
          <w:color w:val="auto"/>
        </w:rPr>
      </w:pPr>
    </w:p>
    <w:p>
      <w:pPr>
        <w:ind w:left="580" w:right="80" w:hanging="325"/>
        <w:spacing w:after="0" w:line="293" w:lineRule="auto"/>
        <w:tabs>
          <w:tab w:leader="none" w:pos="584" w:val="left"/>
        </w:tabs>
        <w:numPr>
          <w:ilvl w:val="1"/>
          <w:numId w:val="45"/>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23" w:lineRule="exact"/>
        <w:rPr>
          <w:rFonts w:ascii="Arial" w:cs="Arial" w:eastAsia="Arial" w:hAnsi="Arial"/>
          <w:sz w:val="18"/>
          <w:szCs w:val="18"/>
          <w:color w:val="auto"/>
        </w:rPr>
      </w:pPr>
    </w:p>
    <w:p>
      <w:pPr>
        <w:ind w:left="580" w:right="100" w:hanging="325"/>
        <w:spacing w:after="0" w:line="293" w:lineRule="auto"/>
        <w:tabs>
          <w:tab w:leader="none" w:pos="595" w:val="left"/>
        </w:tabs>
        <w:numPr>
          <w:ilvl w:val="1"/>
          <w:numId w:val="4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color w:val="auto"/>
        </w:rPr>
        <w:t>Date: August 2, 2006</w:t>
      </w:r>
    </w:p>
    <w:p>
      <w:pPr>
        <w:spacing w:after="0" w:line="225"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/s/ J. Barry Griswell</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J. Barry Griswell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3983990</wp:posOffset>
            </wp:positionH>
            <wp:positionV relativeFrom="paragraph">
              <wp:posOffset>-130810</wp:posOffset>
            </wp:positionV>
            <wp:extent cx="3267075"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3267075" cy="8890"/>
                    </a:xfrm>
                    <a:prstGeom prst="rect">
                      <a:avLst/>
                    </a:prstGeom>
                    <a:noFill/>
                  </pic:spPr>
                </pic:pic>
              </a:graphicData>
            </a:graphic>
          </wp:anchor>
        </w:drawing>
      </w:r>
    </w:p>
    <w:p>
      <w:pPr>
        <w:spacing w:after="0" w:line="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Chairman, President and Chief Executive Officer</w:t>
      </w: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66" w:name="page67"/>
    <w:bookmarkEnd w:id="66"/>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Michael H. Gersie, certify that:</w:t>
      </w:r>
    </w:p>
    <w:p>
      <w:pPr>
        <w:spacing w:after="0" w:line="225" w:lineRule="exact"/>
        <w:rPr>
          <w:sz w:val="20"/>
          <w:szCs w:val="20"/>
          <w:color w:val="auto"/>
        </w:rPr>
      </w:pPr>
    </w:p>
    <w:p>
      <w:pPr>
        <w:ind w:left="240" w:hanging="232"/>
        <w:spacing w:after="0"/>
        <w:tabs>
          <w:tab w:leader="none" w:pos="2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Principal Financial Group, Inc.;</w:t>
      </w:r>
    </w:p>
    <w:p>
      <w:pPr>
        <w:spacing w:after="0" w:line="225" w:lineRule="exact"/>
        <w:rPr>
          <w:rFonts w:ascii="Arial" w:cs="Arial" w:eastAsia="Arial" w:hAnsi="Arial"/>
          <w:sz w:val="18"/>
          <w:szCs w:val="18"/>
          <w:color w:val="auto"/>
        </w:rPr>
      </w:pPr>
    </w:p>
    <w:p>
      <w:pPr>
        <w:ind w:left="260" w:right="200" w:hanging="252"/>
        <w:spacing w:after="0" w:line="342" w:lineRule="auto"/>
        <w:tabs>
          <w:tab w:leader="none" w:pos="242" w:val="left"/>
        </w:tabs>
        <w:numPr>
          <w:ilvl w:val="0"/>
          <w:numId w:val="46"/>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left="260" w:hanging="252"/>
        <w:spacing w:after="0" w:line="277" w:lineRule="auto"/>
        <w:tabs>
          <w:tab w:leader="none" w:pos="242" w:val="left"/>
        </w:tabs>
        <w:numPr>
          <w:ilvl w:val="0"/>
          <w:numId w:val="46"/>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ind w:left="260" w:right="20" w:hanging="252"/>
        <w:spacing w:after="0" w:line="264" w:lineRule="auto"/>
        <w:tabs>
          <w:tab w:leader="none" w:pos="239"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48" w:lineRule="exact"/>
        <w:rPr>
          <w:rFonts w:ascii="Arial" w:cs="Arial" w:eastAsia="Arial" w:hAnsi="Arial"/>
          <w:sz w:val="18"/>
          <w:szCs w:val="18"/>
          <w:color w:val="auto"/>
        </w:rPr>
      </w:pPr>
    </w:p>
    <w:p>
      <w:pPr>
        <w:ind w:left="580" w:right="120" w:hanging="329"/>
        <w:spacing w:after="0" w:line="271" w:lineRule="auto"/>
        <w:tabs>
          <w:tab w:leader="none" w:pos="584" w:val="left"/>
        </w:tabs>
        <w:numPr>
          <w:ilvl w:val="1"/>
          <w:numId w:val="4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44" w:lineRule="exact"/>
        <w:rPr>
          <w:rFonts w:ascii="Arial" w:cs="Arial" w:eastAsia="Arial" w:hAnsi="Arial"/>
          <w:sz w:val="18"/>
          <w:szCs w:val="18"/>
          <w:color w:val="auto"/>
        </w:rPr>
      </w:pPr>
    </w:p>
    <w:p>
      <w:pPr>
        <w:ind w:left="580" w:right="100" w:hanging="329"/>
        <w:spacing w:after="0" w:line="271" w:lineRule="auto"/>
        <w:tabs>
          <w:tab w:leader="none" w:pos="595" w:val="left"/>
        </w:tabs>
        <w:numPr>
          <w:ilvl w:val="1"/>
          <w:numId w:val="4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44" w:lineRule="exact"/>
        <w:rPr>
          <w:rFonts w:ascii="Arial" w:cs="Arial" w:eastAsia="Arial" w:hAnsi="Arial"/>
          <w:sz w:val="18"/>
          <w:szCs w:val="18"/>
          <w:color w:val="auto"/>
        </w:rPr>
      </w:pPr>
    </w:p>
    <w:p>
      <w:pPr>
        <w:ind w:left="580" w:right="160" w:hanging="329"/>
        <w:spacing w:after="0" w:line="324" w:lineRule="auto"/>
        <w:tabs>
          <w:tab w:leader="none" w:pos="584" w:val="left"/>
        </w:tabs>
        <w:numPr>
          <w:ilvl w:val="1"/>
          <w:numId w:val="46"/>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201" w:lineRule="exact"/>
        <w:rPr>
          <w:rFonts w:ascii="Arial" w:cs="Arial" w:eastAsia="Arial" w:hAnsi="Arial"/>
          <w:sz w:val="17"/>
          <w:szCs w:val="17"/>
          <w:color w:val="auto"/>
        </w:rPr>
      </w:pPr>
    </w:p>
    <w:p>
      <w:pPr>
        <w:ind w:left="580" w:right="20" w:hanging="329"/>
        <w:spacing w:after="0" w:line="271" w:lineRule="auto"/>
        <w:tabs>
          <w:tab w:leader="none" w:pos="595" w:val="left"/>
        </w:tabs>
        <w:numPr>
          <w:ilvl w:val="1"/>
          <w:numId w:val="4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6" w:lineRule="exact"/>
        <w:rPr>
          <w:rFonts w:ascii="Arial" w:cs="Arial" w:eastAsia="Arial" w:hAnsi="Arial"/>
          <w:sz w:val="18"/>
          <w:szCs w:val="18"/>
          <w:color w:val="auto"/>
        </w:rPr>
      </w:pPr>
    </w:p>
    <w:p>
      <w:pPr>
        <w:ind w:left="260" w:right="420" w:hanging="252"/>
        <w:spacing w:after="0" w:line="308" w:lineRule="auto"/>
        <w:tabs>
          <w:tab w:leader="none" w:pos="239" w:val="left"/>
        </w:tabs>
        <w:numPr>
          <w:ilvl w:val="0"/>
          <w:numId w:val="46"/>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registrant’s board of directors (or persons performing the equivalent functions):</w:t>
      </w:r>
    </w:p>
    <w:p>
      <w:pPr>
        <w:spacing w:after="0" w:line="214" w:lineRule="exact"/>
        <w:rPr>
          <w:rFonts w:ascii="Arial" w:cs="Arial" w:eastAsia="Arial" w:hAnsi="Arial"/>
          <w:sz w:val="17"/>
          <w:szCs w:val="17"/>
          <w:color w:val="auto"/>
        </w:rPr>
      </w:pPr>
    </w:p>
    <w:p>
      <w:pPr>
        <w:ind w:left="580" w:right="80" w:hanging="329"/>
        <w:spacing w:after="0" w:line="293" w:lineRule="auto"/>
        <w:tabs>
          <w:tab w:leader="none" w:pos="584" w:val="left"/>
        </w:tabs>
        <w:numPr>
          <w:ilvl w:val="1"/>
          <w:numId w:val="4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23" w:lineRule="exact"/>
        <w:rPr>
          <w:rFonts w:ascii="Arial" w:cs="Arial" w:eastAsia="Arial" w:hAnsi="Arial"/>
          <w:sz w:val="18"/>
          <w:szCs w:val="18"/>
          <w:color w:val="auto"/>
        </w:rPr>
      </w:pPr>
    </w:p>
    <w:p>
      <w:pPr>
        <w:ind w:left="580" w:right="120" w:hanging="329"/>
        <w:spacing w:after="0" w:line="293" w:lineRule="auto"/>
        <w:tabs>
          <w:tab w:leader="none" w:pos="595" w:val="left"/>
        </w:tabs>
        <w:numPr>
          <w:ilvl w:val="1"/>
          <w:numId w:val="4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color w:val="auto"/>
        </w:rPr>
        <w:t>Date: August 2, 2006</w:t>
      </w:r>
    </w:p>
    <w:p>
      <w:pPr>
        <w:spacing w:after="0" w:line="225" w:lineRule="exact"/>
        <w:rPr>
          <w:sz w:val="20"/>
          <w:szCs w:val="20"/>
          <w:color w:val="auto"/>
        </w:rPr>
      </w:pPr>
    </w:p>
    <w:p>
      <w:pPr>
        <w:ind w:left="6680"/>
        <w:spacing w:after="0"/>
        <w:rPr>
          <w:sz w:val="20"/>
          <w:szCs w:val="20"/>
          <w:color w:val="auto"/>
        </w:rPr>
      </w:pPr>
      <w:r>
        <w:rPr>
          <w:rFonts w:ascii="Arial" w:cs="Arial" w:eastAsia="Arial" w:hAnsi="Arial"/>
          <w:sz w:val="18"/>
          <w:szCs w:val="18"/>
          <w:color w:val="auto"/>
        </w:rPr>
        <w:t>/s/ Michael H. Gersie</w:t>
      </w:r>
    </w:p>
    <w:p>
      <w:pPr>
        <w:spacing w:after="0" w:line="23" w:lineRule="exact"/>
        <w:rPr>
          <w:sz w:val="20"/>
          <w:szCs w:val="20"/>
          <w:color w:val="auto"/>
        </w:rPr>
      </w:pPr>
    </w:p>
    <w:p>
      <w:pPr>
        <w:ind w:left="6680"/>
        <w:spacing w:after="0"/>
        <w:rPr>
          <w:sz w:val="20"/>
          <w:szCs w:val="20"/>
          <w:color w:val="auto"/>
        </w:rPr>
      </w:pPr>
      <w:r>
        <w:rPr>
          <w:rFonts w:ascii="Arial" w:cs="Arial" w:eastAsia="Arial" w:hAnsi="Arial"/>
          <w:sz w:val="18"/>
          <w:szCs w:val="18"/>
          <w:color w:val="auto"/>
        </w:rPr>
        <w:t>Michael H. Gersie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4241800</wp:posOffset>
            </wp:positionH>
            <wp:positionV relativeFrom="paragraph">
              <wp:posOffset>-130810</wp:posOffset>
            </wp:positionV>
            <wp:extent cx="3009900" cy="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3009900" cy="8890"/>
                    </a:xfrm>
                    <a:prstGeom prst="rect">
                      <a:avLst/>
                    </a:prstGeom>
                    <a:noFill/>
                  </pic:spPr>
                </pic:pic>
              </a:graphicData>
            </a:graphic>
          </wp:anchor>
        </w:drawing>
      </w:r>
    </w:p>
    <w:p>
      <w:pPr>
        <w:spacing w:after="0" w:line="3" w:lineRule="exact"/>
        <w:rPr>
          <w:sz w:val="20"/>
          <w:szCs w:val="20"/>
          <w:color w:val="auto"/>
        </w:rPr>
      </w:pPr>
    </w:p>
    <w:p>
      <w:pPr>
        <w:ind w:left="6680"/>
        <w:spacing w:after="0"/>
        <w:rPr>
          <w:sz w:val="20"/>
          <w:szCs w:val="20"/>
          <w:color w:val="auto"/>
        </w:rPr>
      </w:pPr>
      <w:r>
        <w:rPr>
          <w:rFonts w:ascii="Arial" w:cs="Arial" w:eastAsia="Arial" w:hAnsi="Arial"/>
          <w:sz w:val="18"/>
          <w:szCs w:val="18"/>
          <w:color w:val="auto"/>
        </w:rPr>
        <w:t>Executive Vice President and Chief</w:t>
      </w:r>
    </w:p>
    <w:p>
      <w:pPr>
        <w:spacing w:after="0" w:line="9" w:lineRule="exact"/>
        <w:rPr>
          <w:sz w:val="20"/>
          <w:szCs w:val="20"/>
          <w:color w:val="auto"/>
        </w:rPr>
      </w:pPr>
    </w:p>
    <w:p>
      <w:pPr>
        <w:ind w:left="6680"/>
        <w:spacing w:after="0"/>
        <w:rPr>
          <w:sz w:val="20"/>
          <w:szCs w:val="20"/>
          <w:color w:val="auto"/>
        </w:rPr>
      </w:pPr>
      <w:r>
        <w:rPr>
          <w:rFonts w:ascii="Arial" w:cs="Arial" w:eastAsia="Arial" w:hAnsi="Arial"/>
          <w:sz w:val="18"/>
          <w:szCs w:val="18"/>
          <w:color w:val="auto"/>
        </w:rPr>
        <w:t>Financial Officer</w:t>
      </w: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67" w:name="page68"/>
    <w:bookmarkEnd w:id="67"/>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1350 of Chapter 63</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Title 18 of the United States Code</w:t>
      </w:r>
    </w:p>
    <w:p>
      <w:pPr>
        <w:spacing w:after="0" w:line="211"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I, J. Barry Griswell, Chairman, President and Chief Executive Officer of Principal Financial Group, Inc., certify that (i) the Form 10-Q for the quarter ended June 30, 2006 fully complies with the requirements of Section 13(a) of the Securities Exchange Act of 1934 and (ii) the information contained in the Form 10-Q for the quarter ended June 30, 2006 fairly presents, in all material respects, the financial condition and results of operations of Principal Financial Group, Inc.</w:t>
      </w:r>
    </w:p>
    <w:p>
      <w:pPr>
        <w:spacing w:after="0" w:line="18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J. Barry Griswell</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J. Barry Griswell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Chairman, President and Chief Executive Officer</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Date: August 2, 2006</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68" w:name="page69"/>
    <w:bookmarkEnd w:id="68"/>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1350 of Chapter 63</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Title 18 of the United States Code</w:t>
      </w:r>
    </w:p>
    <w:p>
      <w:pPr>
        <w:spacing w:after="0" w:line="211"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I, Michael H. Gersie, Executive Vice President and Chief Financial Officer of Principal Financial Group, Inc., certify that (i) the Form 10-Q for the quarter ended June 30, 2006 fully complies with the requirements of Section 13(a) of the Securities Exchange Act of 1934 and (ii) the information contained in the Form 10-Q for the quarter ended June 30, 2006 fairly presents, in all material respects, the financial condition and results of operations of Principal Financial Group, Inc.</w:t>
      </w:r>
    </w:p>
    <w:p>
      <w:pPr>
        <w:spacing w:after="0" w:line="18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Michael H. Gersie</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Michael H. Gersie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Executive Vice President and Chief Financial Officer</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Date: August 2, 2006</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763845E"/>
    <w:multiLevelType w:val="hybridMultilevel"/>
    <w:lvl w:ilvl="0">
      <w:lvlJc w:val="left"/>
      <w:lvlText w:val="x"/>
      <w:numFmt w:val="bullet"/>
      <w:start w:val="1"/>
    </w:lvl>
  </w:abstractNum>
  <w:abstractNum w:abstractNumId="1">
    <w:nsid w:val="75A2A8D4"/>
    <w:multiLevelType w:val="hybridMultilevel"/>
    <w:lvl w:ilvl="0">
      <w:lvlJc w:val="left"/>
      <w:lvlText w:val="o"/>
      <w:numFmt w:val="bullet"/>
      <w:start w:val="1"/>
    </w:lvl>
  </w:abstractNum>
  <w:abstractNum w:abstractNumId="2">
    <w:nsid w:val="8EDBDAB"/>
    <w:multiLevelType w:val="hybridMultilevel"/>
    <w:lvl w:ilvl="0">
      <w:lvlJc w:val="left"/>
      <w:lvlText w:val="%1."/>
      <w:numFmt w:val="decimal"/>
      <w:start w:val="1"/>
    </w:lvl>
  </w:abstractNum>
  <w:abstractNum w:abstractNumId="3">
    <w:nsid w:val="79838CB2"/>
    <w:multiLevelType w:val="hybridMultilevel"/>
    <w:lvl w:ilvl="0">
      <w:lvlJc w:val="left"/>
      <w:lvlText w:val="%1."/>
      <w:numFmt w:val="decimal"/>
      <w:start w:val="4"/>
    </w:lvl>
  </w:abstractNum>
  <w:abstractNum w:abstractNumId="4">
    <w:nsid w:val="4353D0CD"/>
    <w:multiLevelType w:val="hybridMultilevel"/>
    <w:lvl w:ilvl="0">
      <w:lvlJc w:val="left"/>
      <w:lvlText w:val="%1."/>
      <w:numFmt w:val="decimal"/>
      <w:start w:val="5"/>
    </w:lvl>
  </w:abstractNum>
  <w:abstractNum w:abstractNumId="5">
    <w:nsid w:val="B03E0C6"/>
    <w:multiLevelType w:val="hybridMultilevel"/>
    <w:lvl w:ilvl="0">
      <w:lvlJc w:val="left"/>
      <w:lvlText w:val="%1."/>
      <w:numFmt w:val="decimal"/>
      <w:start w:val="6"/>
    </w:lvl>
  </w:abstractNum>
  <w:abstractNum w:abstractNumId="6">
    <w:nsid w:val="189A769B"/>
    <w:multiLevelType w:val="hybridMultilevel"/>
    <w:lvl w:ilvl="0">
      <w:lvlJc w:val="left"/>
      <w:lvlText w:val="(%1)"/>
      <w:numFmt w:val="decimal"/>
      <w:start w:val="1"/>
    </w:lvl>
  </w:abstractNum>
  <w:abstractNum w:abstractNumId="7">
    <w:nsid w:val="54E49EB4"/>
    <w:multiLevelType w:val="hybridMultilevel"/>
    <w:lvl w:ilvl="0">
      <w:lvlJc w:val="left"/>
      <w:lvlText w:val="%1."/>
      <w:numFmt w:val="decimal"/>
      <w:start w:val="9"/>
    </w:lvl>
  </w:abstractNum>
  <w:abstractNum w:abstractNumId="8">
    <w:nsid w:val="71F32454"/>
    <w:multiLevelType w:val="hybridMultilevel"/>
    <w:lvl w:ilvl="0">
      <w:lvlJc w:val="left"/>
      <w:lvlText w:val="(%1)"/>
      <w:numFmt w:val="decimal"/>
      <w:start w:val="12"/>
    </w:lvl>
  </w:abstractNum>
  <w:abstractNum w:abstractNumId="9">
    <w:nsid w:val="2CA88611"/>
    <w:multiLevelType w:val="hybridMultilevel"/>
    <w:lvl w:ilvl="0">
      <w:lvlJc w:val="left"/>
      <w:lvlText w:val="·"/>
      <w:numFmt w:val="bullet"/>
      <w:start w:val="1"/>
    </w:lvl>
  </w:abstractNum>
  <w:abstractNum w:abstractNumId="10">
    <w:nsid w:val="836C40E"/>
    <w:multiLevelType w:val="hybridMultilevel"/>
    <w:lvl w:ilvl="0">
      <w:lvlJc w:val="left"/>
      <w:lvlText w:val="·"/>
      <w:numFmt w:val="bullet"/>
      <w:start w:val="1"/>
    </w:lvl>
  </w:abstractNum>
  <w:abstractNum w:abstractNumId="11">
    <w:nsid w:val="2901D82"/>
    <w:multiLevelType w:val="hybridMultilevel"/>
    <w:lvl w:ilvl="0">
      <w:lvlJc w:val="left"/>
      <w:lvlText w:val="(%1)"/>
      <w:numFmt w:val="decimal"/>
      <w:start w:val="1"/>
    </w:lvl>
  </w:abstractNum>
  <w:abstractNum w:abstractNumId="12">
    <w:nsid w:val="3A95F874"/>
    <w:multiLevelType w:val="hybridMultilevel"/>
    <w:lvl w:ilvl="0">
      <w:lvlJc w:val="left"/>
      <w:lvlText w:val="(%1)"/>
      <w:numFmt w:val="decimal"/>
      <w:start w:val="1"/>
    </w:lvl>
  </w:abstractNum>
  <w:abstractNum w:abstractNumId="13">
    <w:nsid w:val="8138641"/>
    <w:multiLevelType w:val="hybridMultilevel"/>
    <w:lvl w:ilvl="0">
      <w:lvlJc w:val="left"/>
      <w:lvlText w:val="(%1)"/>
      <w:numFmt w:val="decimal"/>
      <w:start w:val="3"/>
    </w:lvl>
  </w:abstractNum>
  <w:abstractNum w:abstractNumId="14">
    <w:nsid w:val="1E7FF521"/>
    <w:multiLevelType w:val="hybridMultilevel"/>
    <w:lvl w:ilvl="0">
      <w:lvlJc w:val="left"/>
      <w:lvlText w:val="(%1)"/>
      <w:numFmt w:val="decimal"/>
      <w:start w:val="1"/>
    </w:lvl>
  </w:abstractNum>
  <w:abstractNum w:abstractNumId="15">
    <w:nsid w:val="7C3DBD3D"/>
    <w:multiLevelType w:val="hybridMultilevel"/>
    <w:lvl w:ilvl="0">
      <w:lvlJc w:val="left"/>
      <w:lvlText w:val="(%1)"/>
      <w:numFmt w:val="decimal"/>
      <w:start w:val="3"/>
    </w:lvl>
  </w:abstractNum>
  <w:abstractNum w:abstractNumId="16">
    <w:nsid w:val="737B8DDC"/>
    <w:multiLevelType w:val="hybridMultilevel"/>
    <w:lvl w:ilvl="0">
      <w:lvlJc w:val="left"/>
      <w:lvlText w:val="(%1)"/>
      <w:numFmt w:val="decimal"/>
      <w:start w:val="5"/>
    </w:lvl>
  </w:abstractNum>
  <w:abstractNum w:abstractNumId="17">
    <w:nsid w:val="6CEAF087"/>
    <w:multiLevelType w:val="hybridMultilevel"/>
    <w:lvl w:ilvl="0">
      <w:lvlJc w:val="left"/>
      <w:lvlText w:val="(%1)"/>
      <w:numFmt w:val="decimal"/>
      <w:start w:val="1"/>
    </w:lvl>
  </w:abstractNum>
  <w:abstractNum w:abstractNumId="18">
    <w:nsid w:val="22221A70"/>
    <w:multiLevelType w:val="hybridMultilevel"/>
    <w:lvl w:ilvl="0">
      <w:lvlJc w:val="left"/>
      <w:lvlText w:val="(%1)"/>
      <w:numFmt w:val="decimal"/>
      <w:start w:val="1"/>
    </w:lvl>
  </w:abstractNum>
  <w:abstractNum w:abstractNumId="19">
    <w:nsid w:val="4516DDE9"/>
    <w:multiLevelType w:val="hybridMultilevel"/>
    <w:lvl w:ilvl="0">
      <w:lvlJc w:val="left"/>
      <w:lvlText w:val="(%1)"/>
      <w:numFmt w:val="decimal"/>
      <w:start w:val="1"/>
    </w:lvl>
  </w:abstractNum>
  <w:abstractNum w:abstractNumId="20">
    <w:nsid w:val="3006C83E"/>
    <w:multiLevelType w:val="hybridMultilevel"/>
    <w:lvl w:ilvl="0">
      <w:lvlJc w:val="left"/>
      <w:lvlText w:val="(%1)"/>
      <w:numFmt w:val="decimal"/>
      <w:start w:val="1"/>
    </w:lvl>
  </w:abstractNum>
  <w:abstractNum w:abstractNumId="21">
    <w:nsid w:val="614FD4A1"/>
    <w:multiLevelType w:val="hybridMultilevel"/>
    <w:lvl w:ilvl="0">
      <w:lvlJc w:val="left"/>
      <w:lvlText w:val="·"/>
      <w:numFmt w:val="bullet"/>
      <w:start w:val="1"/>
    </w:lvl>
  </w:abstractNum>
  <w:abstractNum w:abstractNumId="22">
    <w:nsid w:val="419AC241"/>
    <w:multiLevelType w:val="hybridMultilevel"/>
    <w:lvl w:ilvl="0">
      <w:lvlJc w:val="left"/>
      <w:lvlText w:val="·"/>
      <w:numFmt w:val="bullet"/>
      <w:start w:val="1"/>
    </w:lvl>
  </w:abstractNum>
  <w:abstractNum w:abstractNumId="23">
    <w:nsid w:val="5577F8E1"/>
    <w:multiLevelType w:val="hybridMultilevel"/>
    <w:lvl w:ilvl="0">
      <w:lvlJc w:val="left"/>
      <w:lvlText w:val="·"/>
      <w:numFmt w:val="bullet"/>
      <w:start w:val="1"/>
    </w:lvl>
  </w:abstractNum>
  <w:abstractNum w:abstractNumId="24">
    <w:nsid w:val="440BADFC"/>
    <w:multiLevelType w:val="hybridMultilevel"/>
    <w:lvl w:ilvl="0">
      <w:lvlJc w:val="left"/>
      <w:lvlText w:val="·"/>
      <w:numFmt w:val="bullet"/>
      <w:start w:val="1"/>
    </w:lvl>
  </w:abstractNum>
  <w:abstractNum w:abstractNumId="25">
    <w:nsid w:val="5072367"/>
    <w:multiLevelType w:val="hybridMultilevel"/>
    <w:lvl w:ilvl="0">
      <w:lvlJc w:val="left"/>
      <w:lvlText w:val="(%1)"/>
      <w:numFmt w:val="decimal"/>
      <w:start w:val="1"/>
    </w:lvl>
  </w:abstractNum>
  <w:abstractNum w:abstractNumId="26">
    <w:nsid w:val="3804823E"/>
    <w:multiLevelType w:val="hybridMultilevel"/>
    <w:lvl w:ilvl="0">
      <w:lvlJc w:val="left"/>
      <w:lvlText w:val="(%1)"/>
      <w:numFmt w:val="decimal"/>
      <w:start w:val="1"/>
    </w:lvl>
  </w:abstractNum>
  <w:abstractNum w:abstractNumId="27">
    <w:nsid w:val="77465F01"/>
    <w:multiLevelType w:val="hybridMultilevel"/>
    <w:lvl w:ilvl="0">
      <w:lvlJc w:val="left"/>
      <w:lvlText w:val="(%1)"/>
      <w:numFmt w:val="decimal"/>
      <w:start w:val="1"/>
    </w:lvl>
  </w:abstractNum>
  <w:abstractNum w:abstractNumId="28">
    <w:nsid w:val="7724C67E"/>
    <w:multiLevelType w:val="hybridMultilevel"/>
    <w:lvl w:ilvl="0">
      <w:lvlJc w:val="left"/>
      <w:lvlText w:val="·"/>
      <w:numFmt w:val="bullet"/>
      <w:start w:val="1"/>
    </w:lvl>
  </w:abstractNum>
  <w:abstractNum w:abstractNumId="29">
    <w:nsid w:val="5C482A97"/>
    <w:multiLevelType w:val="hybridMultilevel"/>
    <w:lvl w:ilvl="0">
      <w:lvlJc w:val="left"/>
      <w:lvlText w:val="(%1)"/>
      <w:numFmt w:val="decimal"/>
      <w:start w:val="1"/>
    </w:lvl>
  </w:abstractNum>
  <w:abstractNum w:abstractNumId="30">
    <w:nsid w:val="2463B9EA"/>
    <w:multiLevelType w:val="hybridMultilevel"/>
    <w:lvl w:ilvl="0">
      <w:lvlJc w:val="left"/>
      <w:lvlText w:val="·"/>
      <w:numFmt w:val="bullet"/>
      <w:start w:val="1"/>
    </w:lvl>
  </w:abstractNum>
  <w:abstractNum w:abstractNumId="31">
    <w:nsid w:val="5E884ADC"/>
    <w:multiLevelType w:val="hybridMultilevel"/>
    <w:lvl w:ilvl="0">
      <w:lvlJc w:val="left"/>
      <w:lvlText w:val="·"/>
      <w:numFmt w:val="bullet"/>
      <w:start w:val="1"/>
    </w:lvl>
  </w:abstractNum>
  <w:abstractNum w:abstractNumId="32">
    <w:nsid w:val="51EAD36B"/>
    <w:multiLevelType w:val="hybridMultilevel"/>
    <w:lvl w:ilvl="0">
      <w:lvlJc w:val="left"/>
      <w:lvlText w:val="(%1)"/>
      <w:numFmt w:val="decimal"/>
      <w:start w:val="4"/>
    </w:lvl>
  </w:abstractNum>
  <w:abstractNum w:abstractNumId="33">
    <w:nsid w:val="2D517796"/>
    <w:multiLevelType w:val="hybridMultilevel"/>
    <w:lvl w:ilvl="0">
      <w:lvlJc w:val="left"/>
      <w:lvlText w:val="(%1)"/>
      <w:numFmt w:val="decimal"/>
      <w:start w:val="1"/>
    </w:lvl>
  </w:abstractNum>
  <w:abstractNum w:abstractNumId="34">
    <w:nsid w:val="580BD78F"/>
    <w:multiLevelType w:val="hybridMultilevel"/>
    <w:lvl w:ilvl="0">
      <w:lvlJc w:val="left"/>
      <w:lvlText w:val="·"/>
      <w:numFmt w:val="bullet"/>
      <w:start w:val="1"/>
    </w:lvl>
  </w:abstractNum>
  <w:abstractNum w:abstractNumId="35">
    <w:nsid w:val="153EA438"/>
    <w:multiLevelType w:val="hybridMultilevel"/>
    <w:lvl w:ilvl="0">
      <w:lvlJc w:val="left"/>
      <w:lvlText w:val="·"/>
      <w:numFmt w:val="bullet"/>
      <w:start w:val="1"/>
    </w:lvl>
  </w:abstractNum>
  <w:abstractNum w:abstractNumId="36">
    <w:nsid w:val="3855585C"/>
    <w:multiLevelType w:val="hybridMultilevel"/>
    <w:lvl w:ilvl="0">
      <w:lvlJc w:val="left"/>
      <w:lvlText w:val="(%1)"/>
      <w:numFmt w:val="decimal"/>
      <w:start w:val="1"/>
    </w:lvl>
  </w:abstractNum>
  <w:abstractNum w:abstractNumId="37">
    <w:nsid w:val="70A64E2A"/>
    <w:multiLevelType w:val="hybridMultilevel"/>
    <w:lvl w:ilvl="0">
      <w:lvlJc w:val="left"/>
      <w:lvlText w:val="%1"/>
      <w:numFmt w:val="decimal"/>
      <w:start w:val="12"/>
    </w:lvl>
  </w:abstractNum>
  <w:abstractNum w:abstractNumId="38">
    <w:nsid w:val="6A2342EC"/>
    <w:multiLevelType w:val="hybridMultilevel"/>
    <w:lvl w:ilvl="0">
      <w:lvlJc w:val="left"/>
      <w:lvlText w:val="%1."/>
      <w:numFmt w:val="decimal"/>
      <w:start w:val="1"/>
    </w:lvl>
  </w:abstractNum>
  <w:abstractNum w:abstractNumId="39">
    <w:nsid w:val="2A487CB0"/>
    <w:multiLevelType w:val="hybridMultilevel"/>
    <w:lvl w:ilvl="0">
      <w:lvlJc w:val="left"/>
      <w:lvlText w:val="%1."/>
      <w:numFmt w:val="decimal"/>
      <w:start w:val="4"/>
    </w:lvl>
  </w:abstractNum>
  <w:abstractNum w:abstractNumId="40">
    <w:nsid w:val="1D4ED43B"/>
    <w:multiLevelType w:val="hybridMultilevel"/>
    <w:lvl w:ilvl="0">
      <w:lvlJc w:val="left"/>
      <w:lvlText w:val="%1."/>
      <w:numFmt w:val="decimal"/>
      <w:start w:val="5"/>
    </w:lvl>
  </w:abstractNum>
  <w:abstractNum w:abstractNumId="41">
    <w:nsid w:val="725A06FB"/>
    <w:multiLevelType w:val="hybridMultilevel"/>
    <w:lvl w:ilvl="0">
      <w:lvlJc w:val="left"/>
      <w:lvlText w:val="%1."/>
      <w:numFmt w:val="decimal"/>
      <w:start w:val="11"/>
    </w:lvl>
  </w:abstractNum>
  <w:abstractNum w:abstractNumId="42">
    <w:nsid w:val="2CD89A32"/>
    <w:multiLevelType w:val="hybridMultilevel"/>
    <w:lvl w:ilvl="0">
      <w:lvlJc w:val="left"/>
      <w:lvlText w:val="%1."/>
      <w:numFmt w:val="decimal"/>
      <w:start w:val="12"/>
    </w:lvl>
  </w:abstractNum>
  <w:abstractNum w:abstractNumId="43">
    <w:nsid w:val="57E4CCAF"/>
    <w:multiLevelType w:val="hybridMultilevel"/>
    <w:lvl w:ilvl="0">
      <w:lvlJc w:val="left"/>
      <w:lvlText w:val="%1."/>
      <w:numFmt w:val="decimal"/>
      <w:start w:val="16"/>
    </w:lvl>
  </w:abstractNum>
  <w:abstractNum w:abstractNumId="44">
    <w:nsid w:val="7A6D8D3C"/>
    <w:multiLevelType w:val="hybridMultilevel"/>
    <w:lvl w:ilvl="0">
      <w:lvlJc w:val="left"/>
      <w:lvlText w:val="%1."/>
      <w:numFmt w:val="decimal"/>
      <w:start w:val="1"/>
    </w:lvl>
    <w:lvl w:ilvl="1">
      <w:lvlJc w:val="left"/>
      <w:lvlText w:val="%2)"/>
      <w:numFmt w:val="lowerLetter"/>
      <w:start w:val="1"/>
    </w:lvl>
  </w:abstractNum>
  <w:abstractNum w:abstractNumId="45">
    <w:nsid w:val="4B588F54"/>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jpe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2020-02-20T21:53:57Z</dcterms:created>
  <dcterms:modified xsi:type="dcterms:W3CDTF">2020-02-20T21:53:57Z</dcterms:modified>
</cp:coreProperties>
</file>