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3832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383286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DAN MICHAEL T</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700" w:type="dxa"/>
            <w:vAlign w:val="bottom"/>
            <w:tcBorders>
              <w:top w:val="single" w:sz="8" w:color="0000EE"/>
              <w:bottom w:val="single" w:sz="8" w:color="9A9A9A"/>
            </w:tcBorders>
          </w:tcPr>
          <w:p>
            <w:pPr>
              <w:spacing w:after="0"/>
              <w:rPr>
                <w:sz w:val="15"/>
                <w:szCs w:val="15"/>
                <w:color w:val="auto"/>
              </w:rPr>
            </w:pPr>
          </w:p>
        </w:tc>
        <w:tc>
          <w:tcPr>
            <w:tcW w:w="152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05/15/2006</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1"/>
          <w:szCs w:val="21"/>
          <w:color w:val="0000EE"/>
        </w:rPr>
      </w:pPr>
      <w:hyperlink r:id="rId12">
        <w:r>
          <w:rPr>
            <w:rFonts w:ascii="Arial" w:cs="Arial" w:eastAsia="Arial" w:hAnsi="Arial"/>
            <w:sz w:val="21"/>
            <w:szCs w:val="21"/>
            <w:u w:val="single" w:color="auto"/>
            <w:color w:val="0000EE"/>
          </w:rPr>
          <w:t>PRINCIPAL FINANCIAL GROUP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PFG</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41"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68"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00" w:type="dxa"/>
            <w:vAlign w:val="bottom"/>
          </w:tcPr>
          <w:p>
            <w:pPr>
              <w:ind w:left="20"/>
              <w:spacing w:after="0"/>
              <w:rPr>
                <w:sz w:val="20"/>
                <w:szCs w:val="20"/>
                <w:color w:val="auto"/>
              </w:rPr>
            </w:pPr>
            <w:r>
              <w:rPr>
                <w:rFonts w:ascii="Arial" w:cs="Arial" w:eastAsia="Arial" w:hAnsi="Arial"/>
                <w:sz w:val="14"/>
                <w:szCs w:val="14"/>
                <w:color w:val="auto"/>
              </w:rPr>
              <w:t>(Last)</w:t>
            </w:r>
          </w:p>
        </w:tc>
        <w:tc>
          <w:tcPr>
            <w:tcW w:w="920" w:type="dxa"/>
            <w:vAlign w:val="bottom"/>
          </w:tcPr>
          <w:p>
            <w:pPr>
              <w:ind w:left="220"/>
              <w:spacing w:after="0"/>
              <w:rPr>
                <w:sz w:val="20"/>
                <w:szCs w:val="20"/>
                <w:color w:val="auto"/>
              </w:rPr>
            </w:pPr>
            <w:r>
              <w:rPr>
                <w:rFonts w:ascii="Arial" w:cs="Arial" w:eastAsia="Arial" w:hAnsi="Arial"/>
                <w:sz w:val="14"/>
                <w:szCs w:val="14"/>
                <w:color w:val="auto"/>
              </w:rPr>
              <w:t>(First)</w:t>
            </w:r>
          </w:p>
        </w:tc>
        <w:tc>
          <w:tcPr>
            <w:tcW w:w="1420" w:type="dxa"/>
            <w:vAlign w:val="bottom"/>
          </w:tcPr>
          <w:p>
            <w:pPr>
              <w:ind w:left="380"/>
              <w:spacing w:after="0"/>
              <w:rPr>
                <w:sz w:val="20"/>
                <w:szCs w:val="20"/>
                <w:color w:val="auto"/>
              </w:rPr>
            </w:pPr>
            <w:r>
              <w:rPr>
                <w:rFonts w:ascii="Arial" w:cs="Arial" w:eastAsia="Arial" w:hAnsi="Arial"/>
                <w:sz w:val="14"/>
                <w:szCs w:val="14"/>
                <w:color w:val="auto"/>
              </w:rPr>
              <w:t>(Middle)</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820" w:type="dxa"/>
            <w:vAlign w:val="bottom"/>
            <w:gridSpan w:val="2"/>
          </w:tcPr>
          <w:p>
            <w:pPr>
              <w:ind w:left="20"/>
              <w:spacing w:after="0"/>
              <w:rPr>
                <w:sz w:val="20"/>
                <w:szCs w:val="20"/>
                <w:color w:val="auto"/>
              </w:rPr>
            </w:pPr>
            <w:r>
              <w:rPr>
                <w:rFonts w:ascii="Arial" w:cs="Arial" w:eastAsia="Arial" w:hAnsi="Arial"/>
                <w:sz w:val="18"/>
                <w:szCs w:val="18"/>
                <w:color w:val="0000FF"/>
              </w:rPr>
              <w:t>711 HIGH STREET</w:t>
            </w: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900" w:type="dxa"/>
            <w:vAlign w:val="bottom"/>
            <w:tcBorders>
              <w:bottom w:val="single" w:sz="8" w:color="9A9A9A"/>
            </w:tcBorders>
          </w:tcPr>
          <w:p>
            <w:pPr>
              <w:spacing w:after="0"/>
              <w:rPr>
                <w:sz w:val="18"/>
                <w:szCs w:val="18"/>
                <w:color w:val="auto"/>
              </w:rPr>
            </w:pPr>
          </w:p>
        </w:tc>
        <w:tc>
          <w:tcPr>
            <w:tcW w:w="920" w:type="dxa"/>
            <w:vAlign w:val="bottom"/>
            <w:tcBorders>
              <w:bottom w:val="single" w:sz="8" w:color="9A9A9A"/>
            </w:tcBorders>
          </w:tcPr>
          <w:p>
            <w:pPr>
              <w:spacing w:after="0"/>
              <w:rPr>
                <w:sz w:val="18"/>
                <w:szCs w:val="18"/>
                <w:color w:val="auto"/>
              </w:rPr>
            </w:pPr>
          </w:p>
        </w:tc>
        <w:tc>
          <w:tcPr>
            <w:tcW w:w="1420" w:type="dxa"/>
            <w:vAlign w:val="bottom"/>
            <w:tcBorders>
              <w:bottom w:val="single" w:sz="8" w:color="9A9A9A"/>
            </w:tcBorders>
          </w:tcPr>
          <w:p>
            <w:pPr>
              <w:spacing w:after="0"/>
              <w:rPr>
                <w:sz w:val="18"/>
                <w:szCs w:val="18"/>
                <w:color w:val="auto"/>
              </w:rPr>
            </w:pPr>
          </w:p>
        </w:tc>
        <w:tc>
          <w:tcPr>
            <w:tcW w:w="0" w:type="dxa"/>
            <w:vAlign w:val="bottom"/>
          </w:tcPr>
          <w:p>
            <w:pPr>
              <w:spacing w:after="0"/>
              <w:rPr>
                <w:sz w:val="1"/>
                <w:szCs w:val="1"/>
                <w:color w:val="auto"/>
              </w:rPr>
            </w:pPr>
          </w:p>
        </w:tc>
      </w:tr>
      <w:tr>
        <w:trPr>
          <w:trHeight w:val="270"/>
        </w:trPr>
        <w:tc>
          <w:tcPr>
            <w:tcW w:w="920" w:type="dxa"/>
            <w:vAlign w:val="bottom"/>
            <w:gridSpan w:val="2"/>
          </w:tcPr>
          <w:p>
            <w:pPr>
              <w:spacing w:after="0"/>
              <w:rPr>
                <w:sz w:val="20"/>
                <w:szCs w:val="20"/>
                <w:color w:val="auto"/>
              </w:rPr>
            </w:pPr>
            <w:r>
              <w:rPr>
                <w:rFonts w:ascii="Arial" w:cs="Arial" w:eastAsia="Arial" w:hAnsi="Arial"/>
                <w:sz w:val="14"/>
                <w:szCs w:val="14"/>
                <w:color w:val="auto"/>
              </w:rPr>
              <w:t>(Street)</w:t>
            </w:r>
          </w:p>
        </w:tc>
        <w:tc>
          <w:tcPr>
            <w:tcW w:w="920" w:type="dxa"/>
            <w:vAlign w:val="bottom"/>
          </w:tcPr>
          <w:p>
            <w:pPr>
              <w:spacing w:after="0"/>
              <w:rPr>
                <w:sz w:val="23"/>
                <w:szCs w:val="23"/>
                <w:color w:val="auto"/>
              </w:rPr>
            </w:pPr>
          </w:p>
        </w:tc>
        <w:tc>
          <w:tcPr>
            <w:tcW w:w="14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900" w:type="dxa"/>
            <w:vAlign w:val="bottom"/>
          </w:tcPr>
          <w:p>
            <w:pPr>
              <w:ind w:left="20"/>
              <w:spacing w:after="0"/>
              <w:rPr>
                <w:sz w:val="20"/>
                <w:szCs w:val="20"/>
                <w:color w:val="auto"/>
              </w:rPr>
            </w:pPr>
            <w:r>
              <w:rPr>
                <w:rFonts w:ascii="Arial" w:cs="Arial" w:eastAsia="Arial" w:hAnsi="Arial"/>
                <w:sz w:val="18"/>
                <w:szCs w:val="18"/>
                <w:color w:val="0000FF"/>
              </w:rPr>
              <w:t>DES</w:t>
            </w:r>
          </w:p>
        </w:tc>
        <w:tc>
          <w:tcPr>
            <w:tcW w:w="920" w:type="dxa"/>
            <w:vAlign w:val="bottom"/>
            <w:vMerge w:val="restart"/>
          </w:tcPr>
          <w:p>
            <w:pPr>
              <w:ind w:left="220"/>
              <w:spacing w:after="0"/>
              <w:rPr>
                <w:sz w:val="20"/>
                <w:szCs w:val="20"/>
                <w:color w:val="auto"/>
              </w:rPr>
            </w:pPr>
            <w:r>
              <w:rPr>
                <w:rFonts w:ascii="Arial" w:cs="Arial" w:eastAsia="Arial" w:hAnsi="Arial"/>
                <w:sz w:val="18"/>
                <w:szCs w:val="18"/>
                <w:color w:val="0000FF"/>
              </w:rPr>
              <w:t>IA</w:t>
            </w:r>
          </w:p>
        </w:tc>
        <w:tc>
          <w:tcPr>
            <w:tcW w:w="1420" w:type="dxa"/>
            <w:vAlign w:val="bottom"/>
            <w:vMerge w:val="restart"/>
          </w:tcPr>
          <w:p>
            <w:pPr>
              <w:ind w:left="380"/>
              <w:spacing w:after="0"/>
              <w:rPr>
                <w:sz w:val="20"/>
                <w:szCs w:val="20"/>
                <w:color w:val="auto"/>
              </w:rPr>
            </w:pPr>
            <w:r>
              <w:rPr>
                <w:rFonts w:ascii="Arial" w:cs="Arial" w:eastAsia="Arial" w:hAnsi="Arial"/>
                <w:sz w:val="18"/>
                <w:szCs w:val="18"/>
                <w:color w:val="0000FF"/>
              </w:rPr>
              <w:t>50392</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900" w:type="dxa"/>
            <w:vAlign w:val="bottom"/>
            <w:vMerge w:val="restart"/>
          </w:tcPr>
          <w:p>
            <w:pPr>
              <w:ind w:left="20"/>
              <w:spacing w:after="0"/>
              <w:rPr>
                <w:sz w:val="20"/>
                <w:szCs w:val="20"/>
                <w:color w:val="auto"/>
              </w:rPr>
            </w:pPr>
            <w:r>
              <w:rPr>
                <w:rFonts w:ascii="Arial" w:cs="Arial" w:eastAsia="Arial" w:hAnsi="Arial"/>
                <w:sz w:val="18"/>
                <w:szCs w:val="18"/>
                <w:color w:val="0000FF"/>
              </w:rPr>
              <w:t>MOINES</w:t>
            </w:r>
          </w:p>
        </w:tc>
        <w:tc>
          <w:tcPr>
            <w:tcW w:w="920" w:type="dxa"/>
            <w:vAlign w:val="bottom"/>
            <w:vMerge w:val="continue"/>
          </w:tcPr>
          <w:p>
            <w:pPr>
              <w:spacing w:after="0"/>
              <w:rPr>
                <w:sz w:val="9"/>
                <w:szCs w:val="9"/>
                <w:color w:val="auto"/>
              </w:rPr>
            </w:pPr>
          </w:p>
        </w:tc>
        <w:tc>
          <w:tcPr>
            <w:tcW w:w="14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900" w:type="dxa"/>
            <w:vAlign w:val="bottom"/>
            <w:vMerge w:val="continue"/>
          </w:tcPr>
          <w:p>
            <w:pPr>
              <w:spacing w:after="0"/>
              <w:rPr>
                <w:sz w:val="9"/>
                <w:szCs w:val="9"/>
                <w:color w:val="auto"/>
              </w:rPr>
            </w:pPr>
          </w:p>
        </w:tc>
        <w:tc>
          <w:tcPr>
            <w:tcW w:w="920" w:type="dxa"/>
            <w:vAlign w:val="bottom"/>
          </w:tcPr>
          <w:p>
            <w:pPr>
              <w:spacing w:after="0"/>
              <w:rPr>
                <w:sz w:val="9"/>
                <w:szCs w:val="9"/>
                <w:color w:val="auto"/>
              </w:rPr>
            </w:pPr>
          </w:p>
        </w:tc>
        <w:tc>
          <w:tcPr>
            <w:tcW w:w="14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97"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00"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71"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20" w:type="dxa"/>
            <w:vAlign w:val="bottom"/>
            <w:gridSpan w:val="2"/>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20" w:type="dxa"/>
            <w:vAlign w:val="bottom"/>
            <w:gridSpan w:val="2"/>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20" w:type="dxa"/>
            <w:vAlign w:val="bottom"/>
          </w:tcPr>
          <w:p>
            <w:pPr>
              <w:spacing w:after="0"/>
              <w:rPr>
                <w:sz w:val="12"/>
                <w:szCs w:val="12"/>
                <w:color w:val="auto"/>
              </w:rPr>
            </w:pPr>
          </w:p>
        </w:tc>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c>
          <w:tcPr>
            <w:tcW w:w="20" w:type="dxa"/>
            <w:vAlign w:val="bottom"/>
          </w:tcPr>
          <w:p>
            <w:pPr>
              <w:spacing w:after="0"/>
              <w:rPr>
                <w:sz w:val="12"/>
                <w:szCs w:val="12"/>
                <w:color w:val="auto"/>
              </w:rPr>
            </w:pPr>
          </w:p>
        </w:tc>
      </w:tr>
      <w:tr>
        <w:trPr>
          <w:trHeight w:val="178"/>
        </w:trPr>
        <w:tc>
          <w:tcPr>
            <w:tcW w:w="20" w:type="dxa"/>
            <w:vAlign w:val="bottom"/>
          </w:tcPr>
          <w:p>
            <w:pPr>
              <w:spacing w:after="0"/>
              <w:rPr>
                <w:sz w:val="15"/>
                <w:szCs w:val="15"/>
                <w:color w:val="auto"/>
              </w:rPr>
            </w:pPr>
          </w:p>
        </w:tc>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73"/>
        </w:trPr>
        <w:tc>
          <w:tcPr>
            <w:tcW w:w="20" w:type="dxa"/>
            <w:vAlign w:val="bottom"/>
            <w:tcBorders>
              <w:bottom w:val="single" w:sz="8" w:color="2C2C2C"/>
            </w:tcBorders>
          </w:tcPr>
          <w:p>
            <w:pPr>
              <w:spacing w:after="0"/>
              <w:rPr>
                <w:sz w:val="5"/>
                <w:szCs w:val="5"/>
                <w:color w:val="auto"/>
              </w:rPr>
            </w:pPr>
          </w:p>
        </w:tc>
        <w:tc>
          <w:tcPr>
            <w:tcW w:w="3440" w:type="dxa"/>
            <w:vAlign w:val="bottom"/>
            <w:tcBorders>
              <w:bottom w:val="single" w:sz="8" w:color="2C2C2C"/>
            </w:tcBorders>
          </w:tcPr>
          <w:p>
            <w:pPr>
              <w:spacing w:after="0"/>
              <w:rPr>
                <w:sz w:val="5"/>
                <w:szCs w:val="5"/>
                <w:color w:val="auto"/>
              </w:rPr>
            </w:pPr>
          </w:p>
        </w:tc>
        <w:tc>
          <w:tcPr>
            <w:tcW w:w="362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tcPr>
          <w:p>
            <w:pPr>
              <w:spacing w:after="0"/>
              <w:rPr>
                <w:sz w:val="5"/>
                <w:szCs w:val="5"/>
                <w:color w:val="auto"/>
              </w:rPr>
            </w:pPr>
          </w:p>
        </w:tc>
        <w:tc>
          <w:tcPr>
            <w:tcW w:w="3000" w:type="dxa"/>
            <w:vAlign w:val="bottom"/>
            <w:tcBorders>
              <w:bottom w:val="single" w:sz="8" w:color="2C2C2C"/>
            </w:tcBorders>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3440" w:type="dxa"/>
            <w:vAlign w:val="bottom"/>
            <w:tcBorders>
              <w:top w:val="single" w:sz="8" w:color="808080"/>
            </w:tcBorders>
            <w:shd w:val="clear" w:color="auto" w:fill="2C2C2C"/>
          </w:tcPr>
          <w:p>
            <w:pPr>
              <w:spacing w:after="0" w:line="20" w:lineRule="exact"/>
              <w:rPr>
                <w:sz w:val="1"/>
                <w:szCs w:val="1"/>
                <w:color w:val="auto"/>
              </w:rPr>
            </w:pPr>
          </w:p>
        </w:tc>
        <w:tc>
          <w:tcPr>
            <w:tcW w:w="3620" w:type="dxa"/>
            <w:vAlign w:val="bottom"/>
            <w:tcBorders>
              <w:top w:val="single" w:sz="8" w:color="808080"/>
            </w:tcBorders>
            <w:shd w:val="clear" w:color="auto" w:fill="2C2C2C"/>
          </w:tcPr>
          <w:p>
            <w:pPr>
              <w:spacing w:after="0" w:line="20" w:lineRule="exact"/>
              <w:rPr>
                <w:sz w:val="1"/>
                <w:szCs w:val="1"/>
                <w:color w:val="auto"/>
              </w:rPr>
            </w:pPr>
          </w:p>
        </w:tc>
        <w:tc>
          <w:tcPr>
            <w:tcW w:w="1320" w:type="dxa"/>
            <w:vAlign w:val="bottom"/>
            <w:tcBorders>
              <w:top w:val="single" w:sz="8" w:color="808080"/>
            </w:tcBorders>
            <w:shd w:val="clear" w:color="auto" w:fill="2C2C2C"/>
          </w:tcPr>
          <w:p>
            <w:pPr>
              <w:spacing w:after="0" w:line="20" w:lineRule="exact"/>
              <w:rPr>
                <w:sz w:val="1"/>
                <w:szCs w:val="1"/>
                <w:color w:val="auto"/>
              </w:rPr>
            </w:pPr>
          </w:p>
        </w:tc>
        <w:tc>
          <w:tcPr>
            <w:tcW w:w="300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9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600" w:type="dxa"/>
            <w:vAlign w:val="bottom"/>
          </w:tcPr>
          <w:p>
            <w:pPr>
              <w:ind w:left="80"/>
              <w:spacing w:after="0"/>
              <w:rPr>
                <w:sz w:val="20"/>
                <w:szCs w:val="20"/>
                <w:color w:val="auto"/>
              </w:rPr>
            </w:pPr>
            <w:r>
              <w:rPr>
                <w:rFonts w:ascii="Arial" w:cs="Arial" w:eastAsia="Arial" w:hAnsi="Arial"/>
                <w:sz w:val="14"/>
                <w:szCs w:val="14"/>
                <w:b w:val="1"/>
                <w:bCs w:val="1"/>
                <w:color w:val="auto"/>
              </w:rPr>
              <w:t>1. Title of Derivative Security (Instr. 4)</w:t>
            </w: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2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20" w:type="dxa"/>
            <w:vAlign w:val="bottom"/>
          </w:tcPr>
          <w:p>
            <w:pPr>
              <w:spacing w:after="0"/>
              <w:rPr>
                <w:sz w:val="14"/>
                <w:szCs w:val="14"/>
                <w:color w:val="auto"/>
              </w:rPr>
            </w:pPr>
          </w:p>
        </w:tc>
        <w:tc>
          <w:tcPr>
            <w:tcW w:w="220" w:type="dxa"/>
            <w:vAlign w:val="bottom"/>
          </w:tcPr>
          <w:p>
            <w:pPr>
              <w:ind w:left="2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4"/>
                <w:szCs w:val="14"/>
                <w:color w:val="auto"/>
              </w:rPr>
            </w:pPr>
          </w:p>
        </w:tc>
        <w:tc>
          <w:tcPr>
            <w:tcW w:w="1660" w:type="dxa"/>
            <w:vAlign w:val="bottom"/>
            <w:gridSpan w:val="2"/>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2"/>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36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940" w:type="dxa"/>
            <w:vAlign w:val="bottom"/>
            <w:gridSpan w:val="2"/>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20" w:type="dxa"/>
            <w:vAlign w:val="bottom"/>
            <w:gridSpan w:val="2"/>
            <w:vMerge w:val="restart"/>
          </w:tcPr>
          <w:p>
            <w:pPr>
              <w:ind w:left="2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36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140" w:type="dxa"/>
            <w:vAlign w:val="bottom"/>
            <w:gridSpan w:val="2"/>
            <w:vMerge w:val="restart"/>
          </w:tcPr>
          <w:p>
            <w:pPr>
              <w:ind w:left="540"/>
              <w:spacing w:after="0"/>
              <w:rPr>
                <w:sz w:val="20"/>
                <w:szCs w:val="20"/>
                <w:color w:val="auto"/>
              </w:rPr>
            </w:pPr>
            <w:r>
              <w:rPr>
                <w:rFonts w:ascii="Arial" w:cs="Arial" w:eastAsia="Arial" w:hAnsi="Arial"/>
                <w:sz w:val="14"/>
                <w:szCs w:val="14"/>
                <w:b w:val="1"/>
                <w:bCs w:val="1"/>
                <w:color w:val="auto"/>
              </w:rPr>
              <w:t>Amount</w:t>
            </w:r>
          </w:p>
        </w:tc>
        <w:tc>
          <w:tcPr>
            <w:tcW w:w="940" w:type="dxa"/>
            <w:vAlign w:val="bottom"/>
            <w:gridSpan w:val="2"/>
            <w:vMerge w:val="continue"/>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94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20" w:type="dxa"/>
            <w:vAlign w:val="bottom"/>
            <w:gridSpan w:val="2"/>
          </w:tcPr>
          <w:p>
            <w:pPr>
              <w:ind w:left="2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or</w:t>
            </w: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36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1140" w:type="dxa"/>
            <w:vAlign w:val="bottom"/>
            <w:gridSpan w:val="2"/>
          </w:tcPr>
          <w:p>
            <w:pPr>
              <w:ind w:left="540"/>
              <w:spacing w:after="0" w:line="145" w:lineRule="exact"/>
              <w:rPr>
                <w:sz w:val="20"/>
                <w:szCs w:val="20"/>
                <w:color w:val="auto"/>
              </w:rPr>
            </w:pPr>
            <w:r>
              <w:rPr>
                <w:rFonts w:ascii="Arial" w:cs="Arial" w:eastAsia="Arial" w:hAnsi="Arial"/>
                <w:sz w:val="14"/>
                <w:szCs w:val="14"/>
                <w:b w:val="1"/>
                <w:bCs w:val="1"/>
                <w:color w:val="auto"/>
              </w:rPr>
              <w:t>Number</w:t>
            </w: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6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1140" w:type="dxa"/>
            <w:vAlign w:val="bottom"/>
            <w:gridSpan w:val="2"/>
          </w:tcPr>
          <w:p>
            <w:pPr>
              <w:ind w:left="540"/>
              <w:spacing w:after="0" w:line="149" w:lineRule="exact"/>
              <w:rPr>
                <w:sz w:val="20"/>
                <w:szCs w:val="20"/>
                <w:color w:val="auto"/>
              </w:rPr>
            </w:pPr>
            <w:r>
              <w:rPr>
                <w:rFonts w:ascii="Arial" w:cs="Arial" w:eastAsia="Arial" w:hAnsi="Arial"/>
                <w:sz w:val="14"/>
                <w:szCs w:val="14"/>
                <w:b w:val="1"/>
                <w:bCs w:val="1"/>
                <w:color w:val="auto"/>
              </w:rPr>
              <w:t>of</w:t>
            </w: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6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1140" w:type="dxa"/>
            <w:vAlign w:val="bottom"/>
            <w:gridSpan w:val="2"/>
          </w:tcPr>
          <w:p>
            <w:pPr>
              <w:ind w:left="540"/>
              <w:spacing w:after="0"/>
              <w:rPr>
                <w:sz w:val="20"/>
                <w:szCs w:val="20"/>
                <w:color w:val="auto"/>
              </w:rPr>
            </w:pPr>
            <w:r>
              <w:rPr>
                <w:rFonts w:ascii="Arial" w:cs="Arial" w:eastAsia="Arial" w:hAnsi="Arial"/>
                <w:sz w:val="14"/>
                <w:szCs w:val="14"/>
                <w:b w:val="1"/>
                <w:bCs w:val="1"/>
                <w:color w:val="auto"/>
              </w:rPr>
              <w:t>Shares</w:t>
            </w:r>
          </w:p>
        </w:tc>
        <w:tc>
          <w:tcPr>
            <w:tcW w:w="9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36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Explanation of Responses:</w:t>
            </w: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3600" w:type="dxa"/>
            <w:vAlign w:val="bottom"/>
          </w:tcPr>
          <w:p>
            <w:pPr>
              <w:ind w:left="40"/>
              <w:spacing w:after="0"/>
              <w:rPr>
                <w:sz w:val="20"/>
                <w:szCs w:val="20"/>
                <w:color w:val="auto"/>
              </w:rPr>
            </w:pPr>
            <w:r>
              <w:rPr>
                <w:rFonts w:ascii="Arial" w:cs="Arial" w:eastAsia="Arial" w:hAnsi="Arial"/>
                <w:sz w:val="18"/>
                <w:szCs w:val="18"/>
                <w:b w:val="1"/>
                <w:bCs w:val="1"/>
                <w:color w:val="auto"/>
              </w:rPr>
              <w:t>Remarks:</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8"/>
        </w:trPr>
        <w:tc>
          <w:tcPr>
            <w:tcW w:w="3600" w:type="dxa"/>
            <w:vAlign w:val="bottom"/>
          </w:tcPr>
          <w:p>
            <w:pPr>
              <w:ind w:left="40"/>
              <w:spacing w:after="0"/>
              <w:rPr>
                <w:sz w:val="20"/>
                <w:szCs w:val="20"/>
                <w:color w:val="auto"/>
              </w:rPr>
            </w:pPr>
            <w:r>
              <w:rPr>
                <w:rFonts w:ascii="Arial" w:cs="Arial" w:eastAsia="Arial" w:hAnsi="Arial"/>
                <w:sz w:val="14"/>
                <w:szCs w:val="14"/>
                <w:b w:val="1"/>
                <w:bCs w:val="1"/>
                <w:color w:val="auto"/>
              </w:rPr>
              <w:t>No securities are beneficially owned.</w:t>
            </w: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44"/>
        </w:trPr>
        <w:tc>
          <w:tcPr>
            <w:tcW w:w="36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2080" w:type="dxa"/>
            <w:vAlign w:val="bottom"/>
            <w:gridSpan w:val="4"/>
          </w:tcPr>
          <w:p>
            <w:pPr>
              <w:spacing w:after="0"/>
              <w:rPr>
                <w:sz w:val="20"/>
                <w:szCs w:val="20"/>
                <w:color w:val="auto"/>
              </w:rPr>
            </w:pPr>
            <w:r>
              <w:rPr>
                <w:rFonts w:ascii="Arial" w:cs="Arial" w:eastAsia="Arial" w:hAnsi="Arial"/>
                <w:sz w:val="18"/>
                <w:szCs w:val="18"/>
                <w:color w:val="0000FF"/>
                <w:w w:val="90"/>
              </w:rPr>
              <w:t>Joyce N. Hoffman, by Power</w:t>
            </w:r>
          </w:p>
        </w:tc>
        <w:tc>
          <w:tcPr>
            <w:tcW w:w="2480" w:type="dxa"/>
            <w:vAlign w:val="bottom"/>
            <w:gridSpan w:val="4"/>
            <w:vMerge w:val="restart"/>
          </w:tcPr>
          <w:p>
            <w:pPr>
              <w:ind w:left="220"/>
              <w:spacing w:after="0"/>
              <w:rPr>
                <w:sz w:val="20"/>
                <w:szCs w:val="20"/>
                <w:color w:val="auto"/>
              </w:rPr>
            </w:pPr>
            <w:r>
              <w:rPr>
                <w:rFonts w:ascii="Arial" w:cs="Arial" w:eastAsia="Arial" w:hAnsi="Arial"/>
                <w:sz w:val="18"/>
                <w:szCs w:val="18"/>
                <w:color w:val="0000FF"/>
              </w:rPr>
              <w:t>05/16/2006</w:t>
            </w: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4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920" w:type="dxa"/>
            <w:vAlign w:val="bottom"/>
            <w:tcBorders>
              <w:top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248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36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140" w:type="dxa"/>
            <w:vAlign w:val="bottom"/>
            <w:tcBorders>
              <w:top w:val="single" w:sz="8" w:color="auto"/>
            </w:tcBorders>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36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26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36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80" w:type="dxa"/>
            <w:vAlign w:val="bottom"/>
            <w:gridSpan w:val="4"/>
          </w:tcPr>
          <w:p>
            <w:pPr>
              <w:spacing w:after="0"/>
              <w:rPr>
                <w:sz w:val="20"/>
                <w:szCs w:val="20"/>
                <w:color w:val="auto"/>
              </w:rPr>
            </w:pPr>
            <w:r>
              <w:rPr>
                <w:rFonts w:ascii="Arial" w:cs="Arial" w:eastAsia="Arial" w:hAnsi="Arial"/>
                <w:sz w:val="14"/>
                <w:szCs w:val="14"/>
                <w:color w:val="auto"/>
              </w:rPr>
              <w:t>** Signature of Reporting Person</w:t>
            </w:r>
          </w:p>
        </w:tc>
        <w:tc>
          <w:tcPr>
            <w:tcW w:w="820" w:type="dxa"/>
            <w:vAlign w:val="bottom"/>
            <w:gridSpan w:val="2"/>
          </w:tcPr>
          <w:p>
            <w:pPr>
              <w:ind w:left="22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jc w:val="center"/>
        <w:ind w:right="1659"/>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jc w:val="both"/>
        <w:ind w:right="1779"/>
        <w:spacing w:after="0" w:line="236"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Michael H. Gersie, Karen E. Shaff and Joyce N. Hoffman, and each of them, individually, the undersigned's true and lawful attorney-in-fact to:</w:t>
      </w:r>
    </w:p>
    <w:p>
      <w:pPr>
        <w:spacing w:after="0" w:line="209" w:lineRule="exact"/>
        <w:rPr>
          <w:sz w:val="20"/>
          <w:szCs w:val="20"/>
          <w:color w:val="auto"/>
        </w:rPr>
      </w:pPr>
    </w:p>
    <w:p>
      <w:pPr>
        <w:jc w:val="both"/>
        <w:ind w:left="740" w:right="1779" w:hanging="732"/>
        <w:spacing w:after="0" w:line="237" w:lineRule="auto"/>
        <w:tabs>
          <w:tab w:leader="none" w:pos="7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 beneficial owner of securities of Principal Financial Group, Inc. (the "Company's"), Schedules 13D (including amendments thereto) and Forms 3, 4 and 5 in accordance with Section 13(d) and Section 16(a), respectively, of the Securities Exchange Act of 1934 and the rules thereunder and any joint filing agreement pursuant to Rule 13d-1(k)(1)(iii);</w:t>
      </w:r>
    </w:p>
    <w:p>
      <w:pPr>
        <w:spacing w:after="0" w:line="211" w:lineRule="exact"/>
        <w:rPr>
          <w:rFonts w:ascii="Courier New" w:cs="Courier New" w:eastAsia="Courier New" w:hAnsi="Courier New"/>
          <w:sz w:val="18"/>
          <w:szCs w:val="18"/>
          <w:color w:val="auto"/>
        </w:rPr>
      </w:pPr>
    </w:p>
    <w:p>
      <w:pPr>
        <w:jc w:val="both"/>
        <w:ind w:left="740" w:right="1779" w:hanging="732"/>
        <w:spacing w:after="0" w:line="273" w:lineRule="auto"/>
        <w:tabs>
          <w:tab w:leader="none" w:pos="740"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which may be necessary or desirable to complete and execute any such Schedule 13D (or amendment), Form 3, 4 or 5 or joint filing agreement and timely file such schedule or form with the United States Securities and Exchange Commission and any appropriate national securities exchange; and</w:t>
      </w:r>
    </w:p>
    <w:p>
      <w:pPr>
        <w:spacing w:after="0" w:line="184" w:lineRule="exact"/>
        <w:rPr>
          <w:rFonts w:ascii="Courier New" w:cs="Courier New" w:eastAsia="Courier New" w:hAnsi="Courier New"/>
          <w:sz w:val="16"/>
          <w:szCs w:val="16"/>
          <w:color w:val="auto"/>
        </w:rPr>
      </w:pPr>
    </w:p>
    <w:p>
      <w:pPr>
        <w:jc w:val="both"/>
        <w:ind w:left="740" w:right="1779" w:hanging="732"/>
        <w:spacing w:after="0" w:line="237" w:lineRule="auto"/>
        <w:tabs>
          <w:tab w:leader="none" w:pos="7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 foregoing which, in the opinion of each such attorney-in-fact, may be of benefit to, in the best interest of, or legally required by, the undersigned, it being understood that the documents executed by each such attorney-in-fact on behalf of the undersigned pursuant to this Power of Attorney shall be in such form and shall contain such terms and conditions as he may approve in his discretion.</w:t>
      </w:r>
    </w:p>
    <w:p>
      <w:pPr>
        <w:spacing w:after="0" w:line="211" w:lineRule="exact"/>
        <w:rPr>
          <w:sz w:val="20"/>
          <w:szCs w:val="20"/>
          <w:color w:val="auto"/>
        </w:rPr>
      </w:pPr>
    </w:p>
    <w:p>
      <w:pPr>
        <w:jc w:val="both"/>
        <w:ind w:right="1779"/>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each such attorney-in-fact, or his substitute or substitutes, shall lawfully do or cause to be done by virtue of this Power of Attorney and the rights and powers herein granted. The undersigned acknowledges that each such attorney-in-fact is serving in such capacity at the request of the undersigned, is not assuming, nor is the Company assuming, any of the undersigned's responsibilities to comply with Section 13(d) or Section 16 of the Securities Exchange act of 1934.</w:t>
      </w:r>
    </w:p>
    <w:p>
      <w:pPr>
        <w:spacing w:after="0" w:line="207" w:lineRule="exact"/>
        <w:rPr>
          <w:sz w:val="20"/>
          <w:szCs w:val="20"/>
          <w:color w:val="auto"/>
        </w:rPr>
      </w:pPr>
    </w:p>
    <w:p>
      <w:pPr>
        <w:jc w:val="both"/>
        <w:ind w:right="1779"/>
        <w:spacing w:after="0" w:line="237" w:lineRule="auto"/>
        <w:rPr>
          <w:sz w:val="20"/>
          <w:szCs w:val="20"/>
          <w:color w:val="auto"/>
        </w:rPr>
      </w:pPr>
      <w:r>
        <w:rPr>
          <w:rFonts w:ascii="Courier New" w:cs="Courier New" w:eastAsia="Courier New" w:hAnsi="Courier New"/>
          <w:sz w:val="18"/>
          <w:szCs w:val="18"/>
          <w:color w:val="auto"/>
        </w:rPr>
        <w:t>The Power of Attorney shall remain in full force and effect until the undersigned is no longer required to file Schedules 13(d) or Forms 3, 4 and 5 with respect to the undersigned's holdings of and transactions in securities issued by the Company, unless earlier revoked by the undersigned in a signed writing delivered to each such attorney-in-fact.</w:t>
      </w:r>
    </w:p>
    <w:p>
      <w:pPr>
        <w:spacing w:after="0" w:line="209"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From and after the date hereof, any Power of Attorney previously granted by the undersigned concerning the subject matter hereof is hereby revoked.</w:t>
      </w:r>
    </w:p>
    <w:p>
      <w:pPr>
        <w:spacing w:after="0" w:line="208" w:lineRule="exact"/>
        <w:rPr>
          <w:sz w:val="20"/>
          <w:szCs w:val="20"/>
          <w:color w:val="auto"/>
        </w:rPr>
      </w:pPr>
    </w:p>
    <w:p>
      <w:pPr>
        <w:jc w:val="both"/>
        <w:ind w:right="1779"/>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13th day of April, 2006.</w:t>
      </w:r>
    </w:p>
    <w:p>
      <w:pPr>
        <w:spacing w:after="0" w:line="200" w:lineRule="exact"/>
        <w:rPr>
          <w:sz w:val="20"/>
          <w:szCs w:val="20"/>
          <w:color w:val="auto"/>
        </w:rPr>
      </w:pPr>
    </w:p>
    <w:p>
      <w:pPr>
        <w:spacing w:after="0" w:line="205" w:lineRule="exact"/>
        <w:rPr>
          <w:sz w:val="20"/>
          <w:szCs w:val="20"/>
          <w:color w:val="auto"/>
        </w:rPr>
      </w:pPr>
    </w:p>
    <w:p>
      <w:pPr>
        <w:ind w:left="4960"/>
        <w:spacing w:after="0"/>
        <w:rPr>
          <w:sz w:val="20"/>
          <w:szCs w:val="20"/>
          <w:color w:val="auto"/>
        </w:rPr>
      </w:pPr>
      <w:r>
        <w:rPr>
          <w:rFonts w:ascii="Courier New" w:cs="Courier New" w:eastAsia="Courier New" w:hAnsi="Courier New"/>
          <w:sz w:val="18"/>
          <w:szCs w:val="18"/>
          <w:color w:val="auto"/>
        </w:rPr>
        <w:t>/S/ MICHAEL T. DAN</w:t>
      </w:r>
    </w:p>
    <w:p>
      <w:pPr>
        <w:spacing w:after="0" w:line="4" w:lineRule="exact"/>
        <w:rPr>
          <w:sz w:val="20"/>
          <w:szCs w:val="20"/>
          <w:color w:val="auto"/>
        </w:rPr>
      </w:pPr>
    </w:p>
    <w:p>
      <w:pPr>
        <w:ind w:left="496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ind w:left="4960"/>
        <w:spacing w:after="0"/>
        <w:tabs>
          <w:tab w:leader="none" w:pos="5680" w:val="left"/>
        </w:tabs>
        <w:rPr>
          <w:sz w:val="20"/>
          <w:szCs w:val="20"/>
          <w:color w:val="auto"/>
        </w:rPr>
      </w:pPr>
      <w:r>
        <w:rPr>
          <w:rFonts w:ascii="Courier New" w:cs="Courier New" w:eastAsia="Courier New" w:hAnsi="Courier New"/>
          <w:sz w:val="18"/>
          <w:szCs w:val="18"/>
          <w:color w:val="auto"/>
        </w:rPr>
        <w:t>Name:</w:t>
      </w:r>
      <w:r>
        <w:rPr>
          <w:sz w:val="20"/>
          <w:szCs w:val="20"/>
          <w:color w:val="auto"/>
        </w:rPr>
        <w:tab/>
      </w:r>
      <w:r>
        <w:rPr>
          <w:rFonts w:ascii="Courier New" w:cs="Courier New" w:eastAsia="Courier New" w:hAnsi="Courier New"/>
          <w:sz w:val="16"/>
          <w:szCs w:val="16"/>
          <w:color w:val="auto"/>
        </w:rPr>
        <w:t>Michael T. Dan</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246392" TargetMode="External"/><Relationship Id="rId12"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2020-02-09T06:38:29Z</dcterms:created>
  <dcterms:modified xsi:type="dcterms:W3CDTF">2020-02-09T06:38:29Z</dcterms:modified>
</cp:coreProperties>
</file>