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Mail Stop 3561</w:t>
      </w:r>
    </w:p>
    <w:p>
      <w:pPr>
        <w:spacing w:after="0" w:line="201" w:lineRule="exact"/>
        <w:rPr>
          <w:sz w:val="24"/>
          <w:szCs w:val="24"/>
          <w:color w:val="auto"/>
        </w:rPr>
      </w:pPr>
    </w:p>
    <w:p>
      <w:pPr>
        <w:jc w:val="right"/>
        <w:ind w:right="1779"/>
        <w:spacing w:after="0"/>
        <w:rPr>
          <w:sz w:val="20"/>
          <w:szCs w:val="20"/>
          <w:color w:val="auto"/>
        </w:rPr>
      </w:pPr>
      <w:r>
        <w:rPr>
          <w:rFonts w:ascii="Courier New" w:cs="Courier New" w:eastAsia="Courier New" w:hAnsi="Courier New"/>
          <w:sz w:val="18"/>
          <w:szCs w:val="18"/>
          <w:color w:val="auto"/>
        </w:rPr>
        <w:t>January 18, 2006</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Karen E. Shaff</w:t>
      </w:r>
    </w:p>
    <w:p>
      <w:pPr>
        <w:spacing w:after="0" w:line="238" w:lineRule="auto"/>
        <w:rPr>
          <w:sz w:val="20"/>
          <w:szCs w:val="20"/>
          <w:color w:val="auto"/>
        </w:rPr>
      </w:pPr>
      <w:r>
        <w:rPr>
          <w:rFonts w:ascii="Courier New" w:cs="Courier New" w:eastAsia="Courier New" w:hAnsi="Courier New"/>
          <w:sz w:val="18"/>
          <w:szCs w:val="18"/>
          <w:color w:val="auto"/>
        </w:rPr>
        <w:t>Principal Life Insurance Company</w:t>
      </w:r>
    </w:p>
    <w:p>
      <w:pPr>
        <w:spacing w:after="0"/>
        <w:rPr>
          <w:sz w:val="20"/>
          <w:szCs w:val="20"/>
          <w:color w:val="auto"/>
        </w:rPr>
      </w:pPr>
      <w:r>
        <w:rPr>
          <w:rFonts w:ascii="Courier New" w:cs="Courier New" w:eastAsia="Courier New" w:hAnsi="Courier New"/>
          <w:sz w:val="18"/>
          <w:szCs w:val="18"/>
          <w:color w:val="auto"/>
        </w:rPr>
        <w:t>711 High Street</w:t>
      </w:r>
    </w:p>
    <w:p>
      <w:pPr>
        <w:spacing w:after="0" w:line="237" w:lineRule="auto"/>
        <w:rPr>
          <w:sz w:val="20"/>
          <w:szCs w:val="20"/>
          <w:color w:val="auto"/>
        </w:rPr>
      </w:pPr>
      <w:r>
        <w:rPr>
          <w:rFonts w:ascii="Courier New" w:cs="Courier New" w:eastAsia="Courier New" w:hAnsi="Courier New"/>
          <w:sz w:val="18"/>
          <w:szCs w:val="18"/>
          <w:color w:val="auto"/>
        </w:rPr>
        <w:t>Des Moines, Iowa 50392-0001</w:t>
      </w:r>
    </w:p>
    <w:p>
      <w:pPr>
        <w:sectPr>
          <w:pgSz w:w="11900" w:h="16855" w:orient="portrait"/>
          <w:cols w:equalWidth="0" w:num="1">
            <w:col w:w="10219"/>
          </w:cols>
          <w:pgMar w:left="240" w:top="1257" w:right="1440" w:bottom="0" w:gutter="0" w:footer="0" w:header="0"/>
        </w:sectPr>
      </w:pPr>
    </w:p>
    <w:p>
      <w:pPr>
        <w:spacing w:after="0" w:line="207" w:lineRule="exact"/>
        <w:rPr>
          <w:sz w:val="24"/>
          <w:szCs w:val="24"/>
          <w:color w:val="auto"/>
        </w:rPr>
      </w:pPr>
    </w:p>
    <w:p>
      <w:pPr>
        <w:ind w:left="640"/>
        <w:spacing w:after="0"/>
        <w:rPr>
          <w:sz w:val="20"/>
          <w:szCs w:val="20"/>
          <w:color w:val="auto"/>
        </w:rPr>
      </w:pPr>
      <w:r>
        <w:rPr>
          <w:rFonts w:ascii="Courier New" w:cs="Courier New" w:eastAsia="Courier New" w:hAnsi="Courier New"/>
          <w:sz w:val="16"/>
          <w:szCs w:val="16"/>
          <w:color w:val="auto"/>
        </w:rPr>
        <w:t>Re:</w:t>
      </w:r>
    </w:p>
    <w:p>
      <w:pPr>
        <w:spacing w:after="0" w:line="20" w:lineRule="exact"/>
        <w:rPr>
          <w:sz w:val="24"/>
          <w:szCs w:val="24"/>
          <w:color w:val="auto"/>
        </w:rPr>
      </w:pPr>
      <w:r>
        <w:rPr>
          <w:sz w:val="24"/>
          <w:szCs w:val="24"/>
          <w:color w:val="auto"/>
        </w:rPr>
        <w:br w:type="column"/>
      </w:r>
    </w:p>
    <w:p>
      <w:pPr>
        <w:spacing w:after="0" w:line="18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Principal Life Insurance Company</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Amendment No. 1 to Registration Statement on Form S-3</w:t>
      </w:r>
    </w:p>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Filed December 22, 2005</w:t>
      </w:r>
    </w:p>
    <w:p>
      <w:pPr>
        <w:spacing w:after="0" w:line="238" w:lineRule="auto"/>
        <w:rPr>
          <w:sz w:val="20"/>
          <w:szCs w:val="20"/>
          <w:color w:val="auto"/>
        </w:rPr>
      </w:pPr>
      <w:r>
        <w:rPr>
          <w:rFonts w:ascii="Courier New" w:cs="Courier New" w:eastAsia="Courier New" w:hAnsi="Courier New"/>
          <w:sz w:val="18"/>
          <w:szCs w:val="18"/>
          <w:color w:val="auto"/>
        </w:rPr>
        <w:t>File No. 333-129763</w:t>
      </w:r>
    </w:p>
    <w:p>
      <w:pPr>
        <w:spacing w:after="0" w:line="200" w:lineRule="exact"/>
        <w:rPr>
          <w:sz w:val="24"/>
          <w:szCs w:val="24"/>
          <w:color w:val="auto"/>
        </w:rPr>
      </w:pPr>
    </w:p>
    <w:p>
      <w:pPr>
        <w:sectPr>
          <w:pgSz w:w="11900" w:h="16855" w:orient="portrait"/>
          <w:cols w:equalWidth="0" w:num="2">
            <w:col w:w="980" w:space="720"/>
            <w:col w:w="8519"/>
          </w:cols>
          <w:pgMar w:left="240" w:top="1257" w:right="1440" w:bottom="0" w:gutter="0" w:footer="0" w:header="0"/>
          <w:type w:val="continuous"/>
        </w:sectPr>
      </w:pPr>
    </w:p>
    <w:p>
      <w:pPr>
        <w:spacing w:after="0" w:line="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Dear Ms. Shaff:</w:t>
      </w:r>
    </w:p>
    <w:p>
      <w:pPr>
        <w:spacing w:after="0" w:line="207" w:lineRule="exact"/>
        <w:rPr>
          <w:sz w:val="24"/>
          <w:szCs w:val="24"/>
          <w:color w:val="auto"/>
        </w:rPr>
      </w:pPr>
    </w:p>
    <w:p>
      <w:pPr>
        <w:ind w:right="2939" w:firstLine="843"/>
        <w:spacing w:after="0" w:line="236" w:lineRule="auto"/>
        <w:rPr>
          <w:sz w:val="20"/>
          <w:szCs w:val="20"/>
          <w:color w:val="auto"/>
        </w:rPr>
      </w:pPr>
      <w:r>
        <w:rPr>
          <w:rFonts w:ascii="Courier New" w:cs="Courier New" w:eastAsia="Courier New" w:hAnsi="Courier New"/>
          <w:sz w:val="18"/>
          <w:szCs w:val="18"/>
          <w:color w:val="auto"/>
        </w:rPr>
        <w:t>We have reviewed your responses to the comments in our letter dated December 15, 2005 and have the following additional comments.</w:t>
      </w: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General</w:t>
      </w:r>
    </w:p>
    <w:p>
      <w:pPr>
        <w:spacing w:after="0" w:line="4" w:lineRule="exact"/>
        <w:rPr>
          <w:sz w:val="24"/>
          <w:szCs w:val="24"/>
          <w:color w:val="auto"/>
        </w:rPr>
      </w:pPr>
    </w:p>
    <w:p>
      <w:pPr>
        <w:ind w:right="3359" w:firstLine="8"/>
        <w:spacing w:after="0" w:line="237" w:lineRule="auto"/>
        <w:tabs>
          <w:tab w:leader="none" w:pos="316"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We note your response to prior comment 4 of our letter dated December 15, 2005, including your statement that the information called for by Item 1105 of Regulation AB is not material to the program. Please confirm, if true, that such information is not material to investors or revise to provide the information called for</w:t>
      </w:r>
    </w:p>
    <w:p>
      <w:pPr>
        <w:spacing w:after="0" w:line="2" w:lineRule="exact"/>
        <w:rPr>
          <w:rFonts w:ascii="Courier New" w:cs="Courier New" w:eastAsia="Courier New" w:hAnsi="Courier New"/>
          <w:sz w:val="18"/>
          <w:szCs w:val="18"/>
          <w:color w:val="auto"/>
        </w:rPr>
      </w:pP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by Item 1105.</w:t>
      </w:r>
    </w:p>
    <w:p>
      <w:pPr>
        <w:spacing w:after="0" w:line="4" w:lineRule="exact"/>
        <w:rPr>
          <w:rFonts w:ascii="Courier New" w:cs="Courier New" w:eastAsia="Courier New" w:hAnsi="Courier New"/>
          <w:sz w:val="18"/>
          <w:szCs w:val="18"/>
          <w:color w:val="auto"/>
        </w:rPr>
      </w:pPr>
    </w:p>
    <w:p>
      <w:pPr>
        <w:ind w:right="3579" w:firstLine="8"/>
        <w:spacing w:after="0" w:line="235" w:lineRule="auto"/>
        <w:tabs>
          <w:tab w:leader="none" w:pos="316"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While we note your response to prior comment 7 of our letter dated</w:t>
      </w:r>
    </w:p>
    <w:p>
      <w:pPr>
        <w:spacing w:after="0" w:line="5" w:lineRule="exact"/>
        <w:rPr>
          <w:rFonts w:ascii="Courier New" w:cs="Courier New" w:eastAsia="Courier New" w:hAnsi="Courier New"/>
          <w:sz w:val="18"/>
          <w:szCs w:val="18"/>
          <w:color w:val="auto"/>
        </w:rPr>
      </w:pPr>
    </w:p>
    <w:p>
      <w:pPr>
        <w:ind w:right="35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December 15, 2005, it is unclear whether the Form 8-Ks to which you</w:t>
      </w:r>
    </w:p>
    <w:p>
      <w:pPr>
        <w:spacing w:after="0" w:line="5" w:lineRule="exact"/>
        <w:rPr>
          <w:rFonts w:ascii="Courier New" w:cs="Courier New" w:eastAsia="Courier New" w:hAnsi="Courier New"/>
          <w:sz w:val="18"/>
          <w:szCs w:val="18"/>
          <w:color w:val="auto"/>
        </w:rPr>
      </w:pPr>
    </w:p>
    <w:p>
      <w:pPr>
        <w:ind w:right="3479"/>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refer would be filed before or after the time of each takedown. Accordingly, as a follow-up to our prior comment, please confirm that</w:t>
      </w:r>
    </w:p>
    <w:p>
      <w:pPr>
        <w:spacing w:after="0" w:line="6" w:lineRule="exact"/>
        <w:rPr>
          <w:rFonts w:ascii="Courier New" w:cs="Courier New" w:eastAsia="Courier New" w:hAnsi="Courier New"/>
          <w:sz w:val="18"/>
          <w:szCs w:val="18"/>
          <w:color w:val="auto"/>
        </w:rPr>
      </w:pPr>
    </w:p>
    <w:p>
      <w:pPr>
        <w:ind w:right="3259"/>
        <w:spacing w:after="0" w:line="275" w:lineRule="auto"/>
        <w:rPr>
          <w:rFonts w:ascii="Courier New" w:cs="Courier New" w:eastAsia="Courier New" w:hAnsi="Courier New"/>
          <w:sz w:val="18"/>
          <w:szCs w:val="18"/>
          <w:color w:val="auto"/>
        </w:rPr>
      </w:pPr>
      <w:r>
        <w:rPr>
          <w:rFonts w:ascii="Courier New" w:cs="Courier New" w:eastAsia="Courier New" w:hAnsi="Courier New"/>
          <w:sz w:val="16"/>
          <w:szCs w:val="16"/>
          <w:color w:val="auto"/>
        </w:rPr>
        <w:t>all material terms to be included in the finalized agreements will also be disclosed in the final Rule 424(b) prospectus, or that finalized agreements will be filed simultaneously with or prior to the final supplement. Refer to Item 1100(f) of Regulation AB.</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Prospectus Supplements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Cover Page</w:t>
      </w:r>
    </w:p>
    <w:p>
      <w:pPr>
        <w:spacing w:after="0" w:line="4" w:lineRule="exact"/>
        <w:rPr>
          <w:sz w:val="24"/>
          <w:szCs w:val="24"/>
          <w:color w:val="auto"/>
        </w:rPr>
      </w:pPr>
    </w:p>
    <w:p>
      <w:pPr>
        <w:ind w:right="3359" w:firstLine="8"/>
        <w:spacing w:after="0" w:line="237" w:lineRule="auto"/>
        <w:tabs>
          <w:tab w:leader="none" w:pos="316"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We reissue comment 9 of our letter dated December 15, 2005 in part. Please revise the cover page of the base prospectus, each prospectus supplement and the pricing supplements to prominently indicate that the notes represent the obligations of the "issuing entity."</w:t>
      </w:r>
    </w:p>
    <w:p>
      <w:pPr>
        <w:spacing w:after="0" w:line="6" w:lineRule="exact"/>
        <w:rPr>
          <w:rFonts w:ascii="Courier New" w:cs="Courier New" w:eastAsia="Courier New" w:hAnsi="Courier New"/>
          <w:sz w:val="18"/>
          <w:szCs w:val="18"/>
          <w:color w:val="auto"/>
        </w:rPr>
      </w:pPr>
    </w:p>
    <w:p>
      <w:pPr>
        <w:ind w:right="3579" w:firstLine="8"/>
        <w:spacing w:after="0" w:line="235" w:lineRule="auto"/>
        <w:tabs>
          <w:tab w:leader="none" w:pos="316"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As a follow-up to the comment above, please revise the cover page</w:t>
      </w:r>
    </w:p>
    <w:p>
      <w:pPr>
        <w:spacing w:after="0" w:line="5" w:lineRule="exact"/>
        <w:rPr>
          <w:rFonts w:ascii="Courier New" w:cs="Courier New" w:eastAsia="Courier New" w:hAnsi="Courier New"/>
          <w:sz w:val="18"/>
          <w:szCs w:val="18"/>
          <w:color w:val="auto"/>
        </w:rPr>
      </w:pPr>
    </w:p>
    <w:p>
      <w:pPr>
        <w:ind w:right="3259"/>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of the base prospectus, each prospectus supplement and each of the pricing supplements to prominently indicate that the notes being offered are asset-backed securities in addition to being secured medium-term notes.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Summary, page S-3</w:t>
      </w:r>
    </w:p>
    <w:p>
      <w:pPr>
        <w:spacing w:after="0" w:line="4" w:lineRule="exact"/>
        <w:rPr>
          <w:sz w:val="24"/>
          <w:szCs w:val="24"/>
          <w:color w:val="auto"/>
        </w:rPr>
      </w:pPr>
    </w:p>
    <w:p>
      <w:pPr>
        <w:ind w:right="3359" w:firstLine="8"/>
        <w:spacing w:after="0" w:line="237" w:lineRule="auto"/>
        <w:tabs>
          <w:tab w:leader="none" w:pos="31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Given your response to prior comment 5 of our letter dated December 15, 2005, it appears that the indenture trustee fits the definition of "Servicer" set forth under Item 1101(j) of Regulation</w:t>
      </w:r>
    </w:p>
    <w:p>
      <w:pPr>
        <w:spacing w:after="0" w:line="4" w:lineRule="exact"/>
        <w:rPr>
          <w:rFonts w:ascii="Courier New" w:cs="Courier New" w:eastAsia="Courier New" w:hAnsi="Courier New"/>
          <w:sz w:val="18"/>
          <w:szCs w:val="18"/>
          <w:color w:val="auto"/>
        </w:rPr>
      </w:pPr>
    </w:p>
    <w:p>
      <w:pPr>
        <w:ind w:right="3579"/>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AB. Please use the terminology set out in Regulation AB when referring to transaction parties and revise here and throughout the</w:t>
      </w:r>
    </w:p>
    <w:p>
      <w:pPr>
        <w:spacing w:after="0" w:line="1" w:lineRule="exact"/>
        <w:rPr>
          <w:rFonts w:ascii="Courier New" w:cs="Courier New" w:eastAsia="Courier New" w:hAnsi="Courier New"/>
          <w:sz w:val="18"/>
          <w:szCs w:val="18"/>
          <w:color w:val="auto"/>
        </w:rPr>
      </w:pP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filing to identify Citibank as the servicer.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Redemption and Repayment, page S-8</w:t>
      </w:r>
    </w:p>
    <w:p>
      <w:pPr>
        <w:spacing w:after="0" w:line="4" w:lineRule="exact"/>
        <w:rPr>
          <w:sz w:val="24"/>
          <w:szCs w:val="24"/>
          <w:color w:val="auto"/>
        </w:rPr>
      </w:pPr>
    </w:p>
    <w:p>
      <w:pPr>
        <w:jc w:val="both"/>
        <w:ind w:right="3259" w:firstLine="8"/>
        <w:spacing w:after="0" w:line="237" w:lineRule="auto"/>
        <w:tabs>
          <w:tab w:leader="none" w:pos="31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Please advise us that you will appropriately caption "callable" securities in the Prospectus Supplement and Pricing Supplement and that you will discuss them in the base prospectus under the correct</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name if you intend to reserve the right to issue them.</w:t>
      </w:r>
    </w:p>
    <w:p>
      <w:pPr>
        <w:sectPr>
          <w:pgSz w:w="11900" w:h="16855" w:orient="portrait"/>
          <w:cols w:equalWidth="0" w:num="1">
            <w:col w:w="10219"/>
          </w:cols>
          <w:pgMar w:left="240" w:top="1257" w:right="1440" w:bottom="0" w:gutter="0" w:footer="0" w:header="0"/>
          <w:type w:val="continuous"/>
        </w:sectPr>
      </w:pPr>
    </w:p>
    <w:bookmarkStart w:id="1" w:name="page2"/>
    <w:bookmarkEnd w:id="1"/>
    <w:p>
      <w:pPr>
        <w:ind w:right="3579" w:firstLine="8"/>
        <w:spacing w:after="0" w:line="236" w:lineRule="auto"/>
        <w:tabs>
          <w:tab w:leader="none" w:pos="316"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Also, please include the word "callable" in the title of the securities, pursuant to Item 1113(f)(2) of Regulation AB, if optional</w:t>
      </w:r>
    </w:p>
    <w:p>
      <w:pPr>
        <w:spacing w:after="0" w:line="1" w:lineRule="exact"/>
        <w:rPr>
          <w:rFonts w:ascii="Courier New" w:cs="Courier New" w:eastAsia="Courier New" w:hAnsi="Courier New"/>
          <w:sz w:val="18"/>
          <w:szCs w:val="18"/>
          <w:color w:val="auto"/>
        </w:rPr>
      </w:pP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redemption or termination is available.</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Base Prospectus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Description of Notes, page 22</w:t>
      </w:r>
    </w:p>
    <w:p>
      <w:pPr>
        <w:ind w:left="320" w:hanging="312"/>
        <w:spacing w:after="0" w:line="238" w:lineRule="auto"/>
        <w:tabs>
          <w:tab w:leader="none" w:pos="3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We reissue comment 13 of our letter dated December 15, 2005 in</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its</w:t>
      </w:r>
    </w:p>
    <w:p>
      <w:pPr>
        <w:spacing w:after="0" w:line="4" w:lineRule="exact"/>
        <w:rPr>
          <w:rFonts w:ascii="Courier New" w:cs="Courier New" w:eastAsia="Courier New" w:hAnsi="Courier New"/>
          <w:sz w:val="18"/>
          <w:szCs w:val="18"/>
          <w:color w:val="auto"/>
        </w:rPr>
      </w:pPr>
    </w:p>
    <w:p>
      <w:pPr>
        <w:ind w:right="419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entirety. As it appears from the disclosure in both your prospectus</w:t>
      </w:r>
    </w:p>
    <w:p>
      <w:pPr>
        <w:spacing w:after="0" w:line="5" w:lineRule="exact"/>
        <w:rPr>
          <w:rFonts w:ascii="Courier New" w:cs="Courier New" w:eastAsia="Courier New" w:hAnsi="Courier New"/>
          <w:sz w:val="18"/>
          <w:szCs w:val="18"/>
          <w:color w:val="auto"/>
        </w:rPr>
      </w:pPr>
    </w:p>
    <w:p>
      <w:pPr>
        <w:ind w:right="3359"/>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and pricing supplements that there is a specific group of indices that may be used to determine the interest rate on the notes, please</w:t>
      </w:r>
    </w:p>
    <w:p>
      <w:pPr>
        <w:spacing w:after="0" w:line="6" w:lineRule="exact"/>
        <w:rPr>
          <w:rFonts w:ascii="Courier New" w:cs="Courier New" w:eastAsia="Courier New" w:hAnsi="Courier New"/>
          <w:sz w:val="18"/>
          <w:szCs w:val="18"/>
          <w:color w:val="auto"/>
        </w:rPr>
      </w:pPr>
    </w:p>
    <w:p>
      <w:pPr>
        <w:ind w:right="3679"/>
        <w:spacing w:after="0" w:line="290" w:lineRule="auto"/>
        <w:rPr>
          <w:rFonts w:ascii="Courier New" w:cs="Courier New" w:eastAsia="Courier New" w:hAnsi="Courier New"/>
          <w:sz w:val="18"/>
          <w:szCs w:val="18"/>
          <w:color w:val="auto"/>
        </w:rPr>
      </w:pPr>
      <w:r>
        <w:rPr>
          <w:rFonts w:ascii="Courier New" w:cs="Courier New" w:eastAsia="Courier New" w:hAnsi="Courier New"/>
          <w:sz w:val="16"/>
          <w:szCs w:val="16"/>
          <w:color w:val="auto"/>
        </w:rPr>
        <w:t>expand the disclosure in your base prospectus to include this information or advise as to why such revision is not possible.</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 * * * *</w:t>
      </w:r>
    </w:p>
    <w:p>
      <w:pPr>
        <w:spacing w:after="0" w:line="207" w:lineRule="exact"/>
        <w:rPr>
          <w:sz w:val="20"/>
          <w:szCs w:val="20"/>
          <w:color w:val="auto"/>
        </w:rPr>
      </w:pPr>
    </w:p>
    <w:p>
      <w:pPr>
        <w:ind w:right="3159" w:firstLine="843"/>
        <w:spacing w:after="0" w:line="236" w:lineRule="auto"/>
        <w:rPr>
          <w:sz w:val="20"/>
          <w:szCs w:val="20"/>
          <w:color w:val="auto"/>
        </w:rPr>
      </w:pPr>
      <w:r>
        <w:rPr>
          <w:rFonts w:ascii="Courier New" w:cs="Courier New" w:eastAsia="Courier New" w:hAnsi="Courier New"/>
          <w:sz w:val="18"/>
          <w:szCs w:val="18"/>
          <w:color w:val="auto"/>
        </w:rPr>
        <w:t>As appropriate, please amend your registration statement in response to these comments. You may wish to provide us with marked</w:t>
      </w:r>
    </w:p>
    <w:p>
      <w:pPr>
        <w:spacing w:after="0" w:line="6" w:lineRule="exact"/>
        <w:rPr>
          <w:sz w:val="20"/>
          <w:szCs w:val="20"/>
          <w:color w:val="auto"/>
        </w:rPr>
      </w:pPr>
    </w:p>
    <w:p>
      <w:pPr>
        <w:ind w:right="3359"/>
        <w:spacing w:after="0" w:line="237" w:lineRule="auto"/>
        <w:rPr>
          <w:sz w:val="20"/>
          <w:szCs w:val="20"/>
          <w:color w:val="auto"/>
        </w:rPr>
      </w:pPr>
      <w:r>
        <w:rPr>
          <w:rFonts w:ascii="Courier New" w:cs="Courier New" w:eastAsia="Courier New" w:hAnsi="Courier New"/>
          <w:sz w:val="18"/>
          <w:szCs w:val="18"/>
          <w:color w:val="auto"/>
        </w:rPr>
        <w:t>copies of the amendment to expedite our review. Please furnish a cover letter with your amendment that keys your responses to our comments and provides any requested information. Detailed cover letters greatly facilitate our review. Please understand that we may</w:t>
      </w:r>
    </w:p>
    <w:p>
      <w:pPr>
        <w:spacing w:after="0" w:line="6" w:lineRule="exact"/>
        <w:rPr>
          <w:sz w:val="20"/>
          <w:szCs w:val="20"/>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have additional comments after reviewing your amendment and responses</w:t>
      </w:r>
    </w:p>
    <w:p>
      <w:pPr>
        <w:spacing w:after="0"/>
        <w:rPr>
          <w:sz w:val="20"/>
          <w:szCs w:val="20"/>
          <w:color w:val="auto"/>
        </w:rPr>
      </w:pPr>
      <w:r>
        <w:rPr>
          <w:rFonts w:ascii="Courier New" w:cs="Courier New" w:eastAsia="Courier New" w:hAnsi="Courier New"/>
          <w:sz w:val="18"/>
          <w:szCs w:val="18"/>
          <w:color w:val="auto"/>
        </w:rPr>
        <w:t>to our comments.</w:t>
      </w:r>
    </w:p>
    <w:p>
      <w:pPr>
        <w:spacing w:after="0" w:line="207" w:lineRule="exact"/>
        <w:rPr>
          <w:sz w:val="20"/>
          <w:szCs w:val="20"/>
          <w:color w:val="auto"/>
        </w:rPr>
      </w:pPr>
    </w:p>
    <w:p>
      <w:pPr>
        <w:ind w:right="3259" w:firstLine="843"/>
        <w:spacing w:after="0" w:line="237" w:lineRule="auto"/>
        <w:rPr>
          <w:sz w:val="20"/>
          <w:szCs w:val="20"/>
          <w:color w:val="auto"/>
        </w:rPr>
      </w:pPr>
      <w:r>
        <w:rPr>
          <w:rFonts w:ascii="Courier New" w:cs="Courier New" w:eastAsia="Courier New" w:hAnsi="Courier New"/>
          <w:sz w:val="18"/>
          <w:szCs w:val="18"/>
          <w:color w:val="auto"/>
        </w:rPr>
        <w:t>We direct your attention to Rules 460 and 461 regarding requesting acceleration of a registration statement. Please allow adequate time after the filing of any amendment for further review before submitting a request for acceleration. Please provide this request at least two business days in advance of the requested effective date.</w:t>
      </w:r>
    </w:p>
    <w:p>
      <w:pPr>
        <w:spacing w:after="0" w:line="204"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You may contact John Stickel at (202) 551-3324 or me at (202)</w:t>
      </w:r>
    </w:p>
    <w:p>
      <w:pPr>
        <w:spacing w:after="0" w:line="238" w:lineRule="auto"/>
        <w:rPr>
          <w:sz w:val="20"/>
          <w:szCs w:val="20"/>
          <w:color w:val="auto"/>
        </w:rPr>
      </w:pPr>
      <w:r>
        <w:rPr>
          <w:rFonts w:ascii="Courier New" w:cs="Courier New" w:eastAsia="Courier New" w:hAnsi="Courier New"/>
          <w:sz w:val="18"/>
          <w:szCs w:val="18"/>
          <w:color w:val="auto"/>
        </w:rPr>
        <w:t>551-3454 if you have any questions.</w:t>
      </w:r>
    </w:p>
    <w:p>
      <w:pPr>
        <w:spacing w:after="0" w:line="200" w:lineRule="exact"/>
        <w:rPr>
          <w:sz w:val="20"/>
          <w:szCs w:val="20"/>
          <w:color w:val="auto"/>
        </w:rPr>
      </w:pPr>
    </w:p>
    <w:p>
      <w:pPr>
        <w:spacing w:after="0" w:line="204" w:lineRule="exact"/>
        <w:rPr>
          <w:sz w:val="20"/>
          <w:szCs w:val="20"/>
          <w:color w:val="auto"/>
        </w:rPr>
      </w:pPr>
    </w:p>
    <w:p>
      <w:pPr>
        <w:ind w:left="6760"/>
        <w:spacing w:after="0"/>
        <w:rPr>
          <w:sz w:val="20"/>
          <w:szCs w:val="20"/>
          <w:color w:val="auto"/>
        </w:rPr>
      </w:pPr>
      <w:r>
        <w:rPr>
          <w:rFonts w:ascii="Courier New" w:cs="Courier New" w:eastAsia="Courier New" w:hAnsi="Courier New"/>
          <w:sz w:val="18"/>
          <w:szCs w:val="18"/>
          <w:color w:val="auto"/>
        </w:rPr>
        <w:t>Sincerely,</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6760"/>
        <w:spacing w:after="0"/>
        <w:rPr>
          <w:sz w:val="20"/>
          <w:szCs w:val="20"/>
          <w:color w:val="auto"/>
        </w:rPr>
      </w:pPr>
      <w:r>
        <w:rPr>
          <w:rFonts w:ascii="Courier New" w:cs="Courier New" w:eastAsia="Courier New" w:hAnsi="Courier New"/>
          <w:sz w:val="18"/>
          <w:szCs w:val="18"/>
          <w:color w:val="auto"/>
        </w:rPr>
        <w:t>Sara D. Kalin</w:t>
      </w:r>
    </w:p>
    <w:p>
      <w:pPr>
        <w:spacing w:after="0" w:line="4" w:lineRule="exact"/>
        <w:rPr>
          <w:sz w:val="20"/>
          <w:szCs w:val="20"/>
          <w:color w:val="auto"/>
        </w:rPr>
      </w:pPr>
    </w:p>
    <w:p>
      <w:pPr>
        <w:ind w:left="6760"/>
        <w:spacing w:after="0"/>
        <w:rPr>
          <w:sz w:val="20"/>
          <w:szCs w:val="20"/>
          <w:color w:val="auto"/>
        </w:rPr>
      </w:pPr>
      <w:r>
        <w:rPr>
          <w:rFonts w:ascii="Courier New" w:cs="Courier New" w:eastAsia="Courier New" w:hAnsi="Courier New"/>
          <w:sz w:val="16"/>
          <w:szCs w:val="16"/>
          <w:color w:val="auto"/>
        </w:rPr>
        <w:t>Branch Chief-Legal</w:t>
      </w:r>
    </w:p>
    <w:p>
      <w:pPr>
        <w:spacing w:after="0" w:line="224" w:lineRule="exact"/>
        <w:rPr>
          <w:sz w:val="20"/>
          <w:szCs w:val="20"/>
          <w:color w:val="auto"/>
        </w:rPr>
      </w:pPr>
    </w:p>
    <w:p>
      <w:pPr>
        <w:ind w:left="860" w:right="6419" w:hanging="852"/>
        <w:spacing w:after="0" w:line="235" w:lineRule="auto"/>
        <w:tabs>
          <w:tab w:leader="none" w:pos="8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Via Facsimile (312) 853-7036 Perry J. Shwachman</w:t>
      </w:r>
    </w:p>
    <w:p>
      <w:pPr>
        <w:spacing w:after="0" w:line="5" w:lineRule="exact"/>
        <w:rPr>
          <w:rFonts w:ascii="Courier New" w:cs="Courier New" w:eastAsia="Courier New" w:hAnsi="Courier New"/>
          <w:sz w:val="18"/>
          <w:szCs w:val="18"/>
          <w:color w:val="auto"/>
        </w:rPr>
      </w:pPr>
    </w:p>
    <w:p>
      <w:pPr>
        <w:ind w:left="860" w:right="609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Sidley Austin Brown &amp; Wood LLP 10 South Deerborn Street</w:t>
      </w:r>
    </w:p>
    <w:p>
      <w:pPr>
        <w:ind w:left="860"/>
        <w:spacing w:after="0"/>
        <w:rPr>
          <w:sz w:val="20"/>
          <w:szCs w:val="20"/>
          <w:color w:val="auto"/>
        </w:rPr>
      </w:pPr>
      <w:r>
        <w:rPr>
          <w:rFonts w:ascii="Courier New" w:cs="Courier New" w:eastAsia="Courier New" w:hAnsi="Courier New"/>
          <w:sz w:val="18"/>
          <w:szCs w:val="18"/>
          <w:color w:val="auto"/>
        </w:rPr>
        <w:t>Chicago, IL 60603</w:t>
      </w:r>
    </w:p>
    <w:p>
      <w:pPr>
        <w:spacing w:after="0" w:line="238" w:lineRule="auto"/>
        <w:rPr>
          <w:sz w:val="20"/>
          <w:szCs w:val="20"/>
          <w:color w:val="auto"/>
        </w:rPr>
      </w:pPr>
      <w:r>
        <w:rPr>
          <w:rFonts w:ascii="Courier New" w:cs="Courier New" w:eastAsia="Courier New" w:hAnsi="Courier New"/>
          <w:sz w:val="18"/>
          <w:szCs w:val="18"/>
          <w:color w:val="auto"/>
        </w:rPr>
        <w:t>Principal Life Insurance Company</w:t>
      </w:r>
    </w:p>
    <w:p>
      <w:pPr>
        <w:spacing w:after="0"/>
        <w:rPr>
          <w:sz w:val="20"/>
          <w:szCs w:val="20"/>
          <w:color w:val="auto"/>
        </w:rPr>
      </w:pPr>
      <w:r>
        <w:rPr>
          <w:rFonts w:ascii="Courier New" w:cs="Courier New" w:eastAsia="Courier New" w:hAnsi="Courier New"/>
          <w:sz w:val="18"/>
          <w:szCs w:val="18"/>
          <w:color w:val="auto"/>
        </w:rPr>
        <w:t>January 18, 2006</w:t>
      </w:r>
    </w:p>
    <w:p>
      <w:pPr>
        <w:spacing w:after="0" w:line="237" w:lineRule="auto"/>
        <w:rPr>
          <w:sz w:val="20"/>
          <w:szCs w:val="20"/>
          <w:color w:val="auto"/>
        </w:rPr>
      </w:pPr>
      <w:r>
        <w:rPr>
          <w:rFonts w:ascii="Courier New" w:cs="Courier New" w:eastAsia="Courier New" w:hAnsi="Courier New"/>
          <w:sz w:val="18"/>
          <w:szCs w:val="18"/>
          <w:color w:val="auto"/>
        </w:rPr>
        <w:t>Page 1</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decimal"/>
      <w:start w:val="1"/>
    </w:lvl>
  </w:abstractNum>
  <w:abstractNum w:abstractNumId="1">
    <w:nsid w:val="238E1F29"/>
    <w:multiLevelType w:val="hybridMultilevel"/>
    <w:lvl w:ilvl="0">
      <w:lvlJc w:val="left"/>
      <w:lvlText w:val="%1."/>
      <w:numFmt w:val="decimal"/>
      <w:start w:val="3"/>
    </w:lvl>
  </w:abstractNum>
  <w:abstractNum w:abstractNumId="2">
    <w:nsid w:val="46E87CCD"/>
    <w:multiLevelType w:val="hybridMultilevel"/>
    <w:lvl w:ilvl="0">
      <w:lvlJc w:val="left"/>
      <w:lvlText w:val="%1."/>
      <w:numFmt w:val="decimal"/>
      <w:start w:val="5"/>
    </w:lvl>
  </w:abstractNum>
  <w:abstractNum w:abstractNumId="3">
    <w:nsid w:val="3D1B58BA"/>
    <w:multiLevelType w:val="hybridMultilevel"/>
    <w:lvl w:ilvl="0">
      <w:lvlJc w:val="left"/>
      <w:lvlText w:val="%1."/>
      <w:numFmt w:val="decimal"/>
      <w:start w:val="6"/>
    </w:lvl>
  </w:abstractNum>
  <w:abstractNum w:abstractNumId="4">
    <w:nsid w:val="507ED7AB"/>
    <w:multiLevelType w:val="hybridMultilevel"/>
    <w:lvl w:ilvl="0">
      <w:lvlJc w:val="left"/>
      <w:lvlText w:val="%1."/>
      <w:numFmt w:val="decimal"/>
      <w:start w:val="7"/>
    </w:lvl>
  </w:abstractNum>
  <w:abstractNum w:abstractNumId="5">
    <w:nsid w:val="2EB141F2"/>
    <w:multiLevelType w:val="hybridMultilevel"/>
    <w:lvl w:ilvl="0">
      <w:lvlJc w:val="left"/>
      <w:lvlText w:val="%1."/>
      <w:numFmt w:val="decimal"/>
      <w:start w:val="8"/>
    </w:lvl>
  </w:abstractNum>
  <w:abstractNum w:abstractNumId="6">
    <w:nsid w:val="41B71EFB"/>
    <w:multiLevelType w:val="hybridMultilevel"/>
    <w:lvl w:ilvl="0">
      <w:lvlJc w:val="left"/>
      <w:lvlText w:val="%1:"/>
      <w:numFmt w:val="lowerLetter"/>
      <w:start w:val="29"/>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2020-02-06T14:00:11Z</dcterms:created>
  <dcterms:modified xsi:type="dcterms:W3CDTF">2020-02-06T14:00:11Z</dcterms:modified>
</cp:coreProperties>
</file>