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4"/>
          <w:szCs w:val="24"/>
          <w:color w:val="auto"/>
        </w:rPr>
      </w:pPr>
    </w:p>
    <w:p>
      <w:pPr>
        <w:sectPr>
          <w:pgSz w:w="11900" w:h="16838" w:orient="portrait"/>
          <w:cols w:equalWidth="1" w:num="1" w:space="0"/>
          <w:pgMar w:left="1440" w:top="1440" w:right="1440" w:bottom="875" w:gutter="0" w:footer="0" w:header="0"/>
        </w:sectPr>
      </w:pPr>
    </w:p>
    <w:bookmarkStart w:id="1" w:name="page2"/>
    <w:bookmarkEnd w:id="1"/>
    <w:p>
      <w:pPr>
        <w:jc w:val="right"/>
        <w:spacing w:after="0"/>
        <w:rPr>
          <w:sz w:val="20"/>
          <w:szCs w:val="20"/>
          <w:color w:val="auto"/>
        </w:rPr>
      </w:pPr>
      <w:r>
        <w:rPr>
          <w:rFonts w:ascii="Arial" w:cs="Arial" w:eastAsia="Arial" w:hAnsi="Arial"/>
          <w:sz w:val="18"/>
          <w:szCs w:val="18"/>
          <w:color w:val="auto"/>
        </w:rPr>
        <w:t>Filed Pursuant to Rule 433</w:t>
      </w:r>
    </w:p>
    <w:p>
      <w:pPr>
        <w:spacing w:after="0" w:line="2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Registration Statement Nos. 333-129763 and 333-129763-01</w:t>
      </w:r>
    </w:p>
    <w:p>
      <w:pPr>
        <w:spacing w:after="0" w:line="9" w:lineRule="exact"/>
        <w:rPr>
          <w:sz w:val="20"/>
          <w:szCs w:val="20"/>
          <w:color w:val="auto"/>
        </w:rPr>
      </w:pPr>
    </w:p>
    <w:p>
      <w:pPr>
        <w:jc w:val="right"/>
        <w:spacing w:after="0"/>
        <w:rPr>
          <w:sz w:val="20"/>
          <w:szCs w:val="20"/>
          <w:color w:val="auto"/>
        </w:rPr>
      </w:pPr>
      <w:r>
        <w:rPr>
          <w:rFonts w:ascii="Arial" w:cs="Arial" w:eastAsia="Arial" w:hAnsi="Arial"/>
          <w:sz w:val="18"/>
          <w:szCs w:val="18"/>
          <w:color w:val="auto"/>
        </w:rPr>
        <w:t>February 23, 2006</w:t>
      </w:r>
    </w:p>
    <w:p>
      <w:pPr>
        <w:spacing w:after="0" w:line="302"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3080" w:type="dxa"/>
            <w:vAlign w:val="bottom"/>
          </w:tcPr>
          <w:p>
            <w:pPr>
              <w:spacing w:after="0"/>
              <w:rPr>
                <w:sz w:val="17"/>
                <w:szCs w:val="17"/>
                <w:color w:val="auto"/>
              </w:rPr>
            </w:pPr>
          </w:p>
        </w:tc>
        <w:tc>
          <w:tcPr>
            <w:tcW w:w="1800" w:type="dxa"/>
            <w:vAlign w:val="bottom"/>
          </w:tcPr>
          <w:p>
            <w:pPr>
              <w:spacing w:after="0"/>
              <w:rPr>
                <w:sz w:val="17"/>
                <w:szCs w:val="17"/>
                <w:color w:val="auto"/>
              </w:rPr>
            </w:pPr>
          </w:p>
        </w:tc>
        <w:tc>
          <w:tcPr>
            <w:tcW w:w="1680" w:type="dxa"/>
            <w:vAlign w:val="bottom"/>
            <w:tcBorders>
              <w:bottom w:val="single" w:sz="8" w:color="auto"/>
            </w:tcBorders>
          </w:tcPr>
          <w:p>
            <w:pPr>
              <w:spacing w:after="0"/>
              <w:rPr>
                <w:sz w:val="20"/>
                <w:szCs w:val="20"/>
                <w:color w:val="auto"/>
              </w:rPr>
            </w:pPr>
            <w:r>
              <w:rPr>
                <w:rFonts w:ascii="Arial" w:cs="Arial" w:eastAsia="Arial" w:hAnsi="Arial"/>
                <w:sz w:val="18"/>
                <w:szCs w:val="18"/>
                <w:color w:val="auto"/>
                <w:w w:val="96"/>
              </w:rPr>
              <w:t>FINAL TERM SHEET</w:t>
            </w:r>
          </w:p>
        </w:tc>
        <w:tc>
          <w:tcPr>
            <w:tcW w:w="920" w:type="dxa"/>
            <w:vAlign w:val="bottom"/>
          </w:tcPr>
          <w:p>
            <w:pPr>
              <w:spacing w:after="0"/>
              <w:rPr>
                <w:sz w:val="17"/>
                <w:szCs w:val="17"/>
                <w:color w:val="auto"/>
              </w:rPr>
            </w:pPr>
          </w:p>
        </w:tc>
        <w:tc>
          <w:tcPr>
            <w:tcW w:w="3900" w:type="dxa"/>
            <w:vAlign w:val="bottom"/>
          </w:tcPr>
          <w:p>
            <w:pPr>
              <w:spacing w:after="0"/>
              <w:rPr>
                <w:sz w:val="17"/>
                <w:szCs w:val="17"/>
                <w:color w:val="auto"/>
              </w:rPr>
            </w:pPr>
          </w:p>
        </w:tc>
      </w:tr>
      <w:tr>
        <w:trPr>
          <w:trHeight w:val="453"/>
        </w:trPr>
        <w:tc>
          <w:tcPr>
            <w:tcW w:w="3080" w:type="dxa"/>
            <w:vAlign w:val="bottom"/>
          </w:tcPr>
          <w:p>
            <w:pPr>
              <w:spacing w:after="0"/>
              <w:rPr>
                <w:sz w:val="20"/>
                <w:szCs w:val="20"/>
                <w:color w:val="auto"/>
              </w:rPr>
            </w:pPr>
            <w:r>
              <w:rPr>
                <w:rFonts w:ascii="Arial" w:cs="Arial" w:eastAsia="Arial" w:hAnsi="Arial"/>
                <w:sz w:val="18"/>
                <w:szCs w:val="18"/>
                <w:color w:val="auto"/>
              </w:rPr>
              <w:t>Issuing Entity:</w:t>
            </w:r>
          </w:p>
        </w:tc>
        <w:tc>
          <w:tcPr>
            <w:tcW w:w="4400" w:type="dxa"/>
            <w:vAlign w:val="bottom"/>
            <w:gridSpan w:val="3"/>
          </w:tcPr>
          <w:p>
            <w:pPr>
              <w:ind w:left="940"/>
              <w:spacing w:after="0"/>
              <w:rPr>
                <w:sz w:val="20"/>
                <w:szCs w:val="20"/>
                <w:color w:val="auto"/>
              </w:rPr>
            </w:pPr>
            <w:r>
              <w:rPr>
                <w:rFonts w:ascii="Arial" w:cs="Arial" w:eastAsia="Arial" w:hAnsi="Arial"/>
                <w:sz w:val="18"/>
                <w:szCs w:val="18"/>
                <w:color w:val="auto"/>
              </w:rPr>
              <w:t>Principal Life Income Fundings Trust 17</w:t>
            </w:r>
          </w:p>
        </w:tc>
        <w:tc>
          <w:tcPr>
            <w:tcW w:w="3900" w:type="dxa"/>
            <w:vAlign w:val="bottom"/>
          </w:tcPr>
          <w:p>
            <w:pPr>
              <w:spacing w:after="0"/>
              <w:rPr>
                <w:sz w:val="24"/>
                <w:szCs w:val="24"/>
                <w:color w:val="auto"/>
              </w:rPr>
            </w:pPr>
          </w:p>
        </w:tc>
      </w:tr>
      <w:tr>
        <w:trPr>
          <w:trHeight w:val="432"/>
        </w:trPr>
        <w:tc>
          <w:tcPr>
            <w:tcW w:w="3080" w:type="dxa"/>
            <w:vAlign w:val="bottom"/>
          </w:tcPr>
          <w:p>
            <w:pPr>
              <w:spacing w:after="0"/>
              <w:rPr>
                <w:sz w:val="20"/>
                <w:szCs w:val="20"/>
                <w:color w:val="auto"/>
              </w:rPr>
            </w:pPr>
            <w:r>
              <w:rPr>
                <w:rFonts w:ascii="Arial" w:cs="Arial" w:eastAsia="Arial" w:hAnsi="Arial"/>
                <w:sz w:val="18"/>
                <w:szCs w:val="18"/>
                <w:color w:val="auto"/>
              </w:rPr>
              <w:t>Description of Securities:</w:t>
            </w:r>
          </w:p>
        </w:tc>
        <w:tc>
          <w:tcPr>
            <w:tcW w:w="4400" w:type="dxa"/>
            <w:vAlign w:val="bottom"/>
            <w:gridSpan w:val="3"/>
          </w:tcPr>
          <w:p>
            <w:pPr>
              <w:ind w:left="940"/>
              <w:spacing w:after="0"/>
              <w:rPr>
                <w:sz w:val="20"/>
                <w:szCs w:val="20"/>
                <w:color w:val="auto"/>
              </w:rPr>
            </w:pPr>
            <w:r>
              <w:rPr>
                <w:rFonts w:ascii="Arial" w:cs="Arial" w:eastAsia="Arial" w:hAnsi="Arial"/>
                <w:sz w:val="18"/>
                <w:szCs w:val="18"/>
                <w:color w:val="auto"/>
              </w:rPr>
              <w:t>FA-Backed Fixed Rate Senior Notes</w:t>
            </w:r>
          </w:p>
        </w:tc>
        <w:tc>
          <w:tcPr>
            <w:tcW w:w="3900" w:type="dxa"/>
            <w:vAlign w:val="bottom"/>
          </w:tcPr>
          <w:p>
            <w:pPr>
              <w:spacing w:after="0"/>
              <w:rPr>
                <w:sz w:val="24"/>
                <w:szCs w:val="24"/>
                <w:color w:val="auto"/>
              </w:rPr>
            </w:pPr>
          </w:p>
        </w:tc>
      </w:tr>
      <w:tr>
        <w:trPr>
          <w:trHeight w:val="432"/>
        </w:trPr>
        <w:tc>
          <w:tcPr>
            <w:tcW w:w="3080" w:type="dxa"/>
            <w:vAlign w:val="bottom"/>
          </w:tcPr>
          <w:p>
            <w:pPr>
              <w:spacing w:after="0"/>
              <w:rPr>
                <w:sz w:val="20"/>
                <w:szCs w:val="20"/>
                <w:color w:val="auto"/>
              </w:rPr>
            </w:pPr>
            <w:r>
              <w:rPr>
                <w:rFonts w:ascii="Arial" w:cs="Arial" w:eastAsia="Arial" w:hAnsi="Arial"/>
                <w:sz w:val="18"/>
                <w:szCs w:val="18"/>
                <w:color w:val="auto"/>
              </w:rPr>
              <w:t>Expected Ratings:</w:t>
            </w:r>
          </w:p>
        </w:tc>
        <w:tc>
          <w:tcPr>
            <w:tcW w:w="4400" w:type="dxa"/>
            <w:vAlign w:val="bottom"/>
            <w:gridSpan w:val="3"/>
          </w:tcPr>
          <w:p>
            <w:pPr>
              <w:ind w:left="940"/>
              <w:spacing w:after="0"/>
              <w:rPr>
                <w:sz w:val="20"/>
                <w:szCs w:val="20"/>
                <w:color w:val="auto"/>
              </w:rPr>
            </w:pPr>
            <w:r>
              <w:rPr>
                <w:rFonts w:ascii="Arial" w:cs="Arial" w:eastAsia="Arial" w:hAnsi="Arial"/>
                <w:sz w:val="18"/>
                <w:szCs w:val="18"/>
                <w:color w:val="auto"/>
              </w:rPr>
              <w:t>Aa2 / AA (Stable / Stable)</w:t>
            </w:r>
          </w:p>
        </w:tc>
        <w:tc>
          <w:tcPr>
            <w:tcW w:w="3900" w:type="dxa"/>
            <w:vAlign w:val="bottom"/>
          </w:tcPr>
          <w:p>
            <w:pPr>
              <w:spacing w:after="0"/>
              <w:rPr>
                <w:sz w:val="24"/>
                <w:szCs w:val="24"/>
                <w:color w:val="auto"/>
              </w:rPr>
            </w:pPr>
          </w:p>
        </w:tc>
      </w:tr>
      <w:tr>
        <w:trPr>
          <w:trHeight w:val="432"/>
        </w:trPr>
        <w:tc>
          <w:tcPr>
            <w:tcW w:w="3080" w:type="dxa"/>
            <w:vAlign w:val="bottom"/>
          </w:tcPr>
          <w:p>
            <w:pPr>
              <w:spacing w:after="0"/>
              <w:rPr>
                <w:sz w:val="20"/>
                <w:szCs w:val="20"/>
                <w:color w:val="auto"/>
              </w:rPr>
            </w:pPr>
            <w:r>
              <w:rPr>
                <w:rFonts w:ascii="Arial" w:cs="Arial" w:eastAsia="Arial" w:hAnsi="Arial"/>
                <w:sz w:val="18"/>
                <w:szCs w:val="18"/>
                <w:color w:val="auto"/>
              </w:rPr>
              <w:t>Size:</w:t>
            </w:r>
          </w:p>
        </w:tc>
        <w:tc>
          <w:tcPr>
            <w:tcW w:w="3480" w:type="dxa"/>
            <w:vAlign w:val="bottom"/>
            <w:gridSpan w:val="2"/>
          </w:tcPr>
          <w:p>
            <w:pPr>
              <w:ind w:left="940"/>
              <w:spacing w:after="0"/>
              <w:rPr>
                <w:sz w:val="20"/>
                <w:szCs w:val="20"/>
                <w:color w:val="auto"/>
              </w:rPr>
            </w:pPr>
            <w:r>
              <w:rPr>
                <w:rFonts w:ascii="Arial" w:cs="Arial" w:eastAsia="Arial" w:hAnsi="Arial"/>
                <w:sz w:val="18"/>
                <w:szCs w:val="18"/>
                <w:color w:val="auto"/>
              </w:rPr>
              <w:t>$350,000,000</w:t>
            </w:r>
          </w:p>
        </w:tc>
        <w:tc>
          <w:tcPr>
            <w:tcW w:w="920" w:type="dxa"/>
            <w:vAlign w:val="bottom"/>
          </w:tcPr>
          <w:p>
            <w:pPr>
              <w:spacing w:after="0"/>
              <w:rPr>
                <w:sz w:val="24"/>
                <w:szCs w:val="24"/>
                <w:color w:val="auto"/>
              </w:rPr>
            </w:pPr>
          </w:p>
        </w:tc>
        <w:tc>
          <w:tcPr>
            <w:tcW w:w="3900" w:type="dxa"/>
            <w:vAlign w:val="bottom"/>
          </w:tcPr>
          <w:p>
            <w:pPr>
              <w:spacing w:after="0"/>
              <w:rPr>
                <w:sz w:val="24"/>
                <w:szCs w:val="24"/>
                <w:color w:val="auto"/>
              </w:rPr>
            </w:pPr>
          </w:p>
        </w:tc>
      </w:tr>
      <w:tr>
        <w:trPr>
          <w:trHeight w:val="432"/>
        </w:trPr>
        <w:tc>
          <w:tcPr>
            <w:tcW w:w="3080" w:type="dxa"/>
            <w:vAlign w:val="bottom"/>
          </w:tcPr>
          <w:p>
            <w:pPr>
              <w:spacing w:after="0"/>
              <w:rPr>
                <w:sz w:val="20"/>
                <w:szCs w:val="20"/>
                <w:color w:val="auto"/>
              </w:rPr>
            </w:pPr>
            <w:r>
              <w:rPr>
                <w:rFonts w:ascii="Arial" w:cs="Arial" w:eastAsia="Arial" w:hAnsi="Arial"/>
                <w:sz w:val="18"/>
                <w:szCs w:val="18"/>
                <w:color w:val="auto"/>
              </w:rPr>
              <w:t>Trade Date:</w:t>
            </w:r>
          </w:p>
        </w:tc>
        <w:tc>
          <w:tcPr>
            <w:tcW w:w="4400" w:type="dxa"/>
            <w:vAlign w:val="bottom"/>
            <w:gridSpan w:val="3"/>
          </w:tcPr>
          <w:p>
            <w:pPr>
              <w:ind w:left="940"/>
              <w:spacing w:after="0"/>
              <w:rPr>
                <w:sz w:val="20"/>
                <w:szCs w:val="20"/>
                <w:color w:val="auto"/>
              </w:rPr>
            </w:pPr>
            <w:r>
              <w:rPr>
                <w:rFonts w:ascii="Arial" w:cs="Arial" w:eastAsia="Arial" w:hAnsi="Arial"/>
                <w:sz w:val="18"/>
                <w:szCs w:val="18"/>
                <w:color w:val="auto"/>
              </w:rPr>
              <w:t>February 23, 2006</w:t>
            </w:r>
          </w:p>
        </w:tc>
        <w:tc>
          <w:tcPr>
            <w:tcW w:w="3900" w:type="dxa"/>
            <w:vAlign w:val="bottom"/>
          </w:tcPr>
          <w:p>
            <w:pPr>
              <w:spacing w:after="0"/>
              <w:rPr>
                <w:sz w:val="24"/>
                <w:szCs w:val="24"/>
                <w:color w:val="auto"/>
              </w:rPr>
            </w:pPr>
          </w:p>
        </w:tc>
      </w:tr>
      <w:tr>
        <w:trPr>
          <w:trHeight w:val="432"/>
        </w:trPr>
        <w:tc>
          <w:tcPr>
            <w:tcW w:w="3080" w:type="dxa"/>
            <w:vAlign w:val="bottom"/>
          </w:tcPr>
          <w:p>
            <w:pPr>
              <w:spacing w:after="0"/>
              <w:rPr>
                <w:sz w:val="20"/>
                <w:szCs w:val="20"/>
                <w:color w:val="auto"/>
              </w:rPr>
            </w:pPr>
            <w:r>
              <w:rPr>
                <w:rFonts w:ascii="Arial" w:cs="Arial" w:eastAsia="Arial" w:hAnsi="Arial"/>
                <w:sz w:val="18"/>
                <w:szCs w:val="18"/>
                <w:color w:val="auto"/>
              </w:rPr>
              <w:t>Maturity:</w:t>
            </w:r>
          </w:p>
        </w:tc>
        <w:tc>
          <w:tcPr>
            <w:tcW w:w="4400" w:type="dxa"/>
            <w:vAlign w:val="bottom"/>
            <w:gridSpan w:val="3"/>
          </w:tcPr>
          <w:p>
            <w:pPr>
              <w:ind w:left="940"/>
              <w:spacing w:after="0"/>
              <w:rPr>
                <w:sz w:val="20"/>
                <w:szCs w:val="20"/>
                <w:color w:val="auto"/>
              </w:rPr>
            </w:pPr>
            <w:r>
              <w:rPr>
                <w:rFonts w:ascii="Arial" w:cs="Arial" w:eastAsia="Arial" w:hAnsi="Arial"/>
                <w:sz w:val="18"/>
                <w:szCs w:val="18"/>
                <w:color w:val="auto"/>
              </w:rPr>
              <w:t>March 1, 2011</w:t>
            </w:r>
          </w:p>
        </w:tc>
        <w:tc>
          <w:tcPr>
            <w:tcW w:w="3900" w:type="dxa"/>
            <w:vAlign w:val="bottom"/>
          </w:tcPr>
          <w:p>
            <w:pPr>
              <w:spacing w:after="0"/>
              <w:rPr>
                <w:sz w:val="24"/>
                <w:szCs w:val="24"/>
                <w:color w:val="auto"/>
              </w:rPr>
            </w:pPr>
          </w:p>
        </w:tc>
      </w:tr>
      <w:tr>
        <w:trPr>
          <w:trHeight w:val="432"/>
        </w:trPr>
        <w:tc>
          <w:tcPr>
            <w:tcW w:w="3080" w:type="dxa"/>
            <w:vAlign w:val="bottom"/>
          </w:tcPr>
          <w:p>
            <w:pPr>
              <w:spacing w:after="0"/>
              <w:rPr>
                <w:sz w:val="20"/>
                <w:szCs w:val="20"/>
                <w:color w:val="auto"/>
              </w:rPr>
            </w:pPr>
            <w:r>
              <w:rPr>
                <w:rFonts w:ascii="Arial" w:cs="Arial" w:eastAsia="Arial" w:hAnsi="Arial"/>
                <w:sz w:val="18"/>
                <w:szCs w:val="18"/>
                <w:color w:val="auto"/>
              </w:rPr>
              <w:t>Settlement:</w:t>
            </w:r>
          </w:p>
        </w:tc>
        <w:tc>
          <w:tcPr>
            <w:tcW w:w="4400" w:type="dxa"/>
            <w:vAlign w:val="bottom"/>
            <w:gridSpan w:val="3"/>
          </w:tcPr>
          <w:p>
            <w:pPr>
              <w:ind w:left="940"/>
              <w:spacing w:after="0"/>
              <w:rPr>
                <w:sz w:val="20"/>
                <w:szCs w:val="20"/>
                <w:color w:val="auto"/>
              </w:rPr>
            </w:pPr>
            <w:r>
              <w:rPr>
                <w:rFonts w:ascii="Arial" w:cs="Arial" w:eastAsia="Arial" w:hAnsi="Arial"/>
                <w:sz w:val="18"/>
                <w:szCs w:val="18"/>
                <w:color w:val="auto"/>
              </w:rPr>
              <w:t>February 28, 2006 (T+3)</w:t>
            </w:r>
          </w:p>
        </w:tc>
        <w:tc>
          <w:tcPr>
            <w:tcW w:w="3900" w:type="dxa"/>
            <w:vAlign w:val="bottom"/>
          </w:tcPr>
          <w:p>
            <w:pPr>
              <w:spacing w:after="0"/>
              <w:rPr>
                <w:sz w:val="24"/>
                <w:szCs w:val="24"/>
                <w:color w:val="auto"/>
              </w:rPr>
            </w:pPr>
          </w:p>
        </w:tc>
      </w:tr>
      <w:tr>
        <w:trPr>
          <w:trHeight w:val="432"/>
        </w:trPr>
        <w:tc>
          <w:tcPr>
            <w:tcW w:w="3080" w:type="dxa"/>
            <w:vAlign w:val="bottom"/>
          </w:tcPr>
          <w:p>
            <w:pPr>
              <w:spacing w:after="0"/>
              <w:rPr>
                <w:sz w:val="20"/>
                <w:szCs w:val="20"/>
                <w:color w:val="auto"/>
              </w:rPr>
            </w:pPr>
            <w:r>
              <w:rPr>
                <w:rFonts w:ascii="Arial" w:cs="Arial" w:eastAsia="Arial" w:hAnsi="Arial"/>
                <w:sz w:val="18"/>
                <w:szCs w:val="18"/>
                <w:color w:val="auto"/>
              </w:rPr>
              <w:t>Coupon:</w:t>
            </w:r>
          </w:p>
        </w:tc>
        <w:tc>
          <w:tcPr>
            <w:tcW w:w="1800" w:type="dxa"/>
            <w:vAlign w:val="bottom"/>
          </w:tcPr>
          <w:p>
            <w:pPr>
              <w:ind w:left="940"/>
              <w:spacing w:after="0"/>
              <w:rPr>
                <w:sz w:val="20"/>
                <w:szCs w:val="20"/>
                <w:color w:val="auto"/>
              </w:rPr>
            </w:pPr>
            <w:r>
              <w:rPr>
                <w:rFonts w:ascii="Arial" w:cs="Arial" w:eastAsia="Arial" w:hAnsi="Arial"/>
                <w:sz w:val="18"/>
                <w:szCs w:val="18"/>
                <w:color w:val="auto"/>
              </w:rPr>
              <w:t>5.125%</w:t>
            </w:r>
          </w:p>
        </w:tc>
        <w:tc>
          <w:tcPr>
            <w:tcW w:w="16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3900" w:type="dxa"/>
            <w:vAlign w:val="bottom"/>
          </w:tcPr>
          <w:p>
            <w:pPr>
              <w:spacing w:after="0"/>
              <w:rPr>
                <w:sz w:val="24"/>
                <w:szCs w:val="24"/>
                <w:color w:val="auto"/>
              </w:rPr>
            </w:pPr>
          </w:p>
        </w:tc>
      </w:tr>
      <w:tr>
        <w:trPr>
          <w:trHeight w:val="432"/>
        </w:trPr>
        <w:tc>
          <w:tcPr>
            <w:tcW w:w="3080" w:type="dxa"/>
            <w:vAlign w:val="bottom"/>
          </w:tcPr>
          <w:p>
            <w:pPr>
              <w:spacing w:after="0"/>
              <w:rPr>
                <w:sz w:val="20"/>
                <w:szCs w:val="20"/>
                <w:color w:val="auto"/>
              </w:rPr>
            </w:pPr>
            <w:r>
              <w:rPr>
                <w:rFonts w:ascii="Arial" w:cs="Arial" w:eastAsia="Arial" w:hAnsi="Arial"/>
                <w:sz w:val="18"/>
                <w:szCs w:val="18"/>
                <w:color w:val="auto"/>
              </w:rPr>
              <w:t>Yield*:</w:t>
            </w:r>
          </w:p>
        </w:tc>
        <w:tc>
          <w:tcPr>
            <w:tcW w:w="1800" w:type="dxa"/>
            <w:vAlign w:val="bottom"/>
          </w:tcPr>
          <w:p>
            <w:pPr>
              <w:ind w:left="940"/>
              <w:spacing w:after="0"/>
              <w:rPr>
                <w:sz w:val="20"/>
                <w:szCs w:val="20"/>
                <w:color w:val="auto"/>
              </w:rPr>
            </w:pPr>
            <w:r>
              <w:rPr>
                <w:rFonts w:ascii="Arial" w:cs="Arial" w:eastAsia="Arial" w:hAnsi="Arial"/>
                <w:sz w:val="18"/>
                <w:szCs w:val="18"/>
                <w:color w:val="auto"/>
              </w:rPr>
              <w:t>5.182%</w:t>
            </w:r>
          </w:p>
        </w:tc>
        <w:tc>
          <w:tcPr>
            <w:tcW w:w="16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3900" w:type="dxa"/>
            <w:vAlign w:val="bottom"/>
          </w:tcPr>
          <w:p>
            <w:pPr>
              <w:spacing w:after="0"/>
              <w:rPr>
                <w:sz w:val="24"/>
                <w:szCs w:val="24"/>
                <w:color w:val="auto"/>
              </w:rPr>
            </w:pPr>
          </w:p>
        </w:tc>
      </w:tr>
      <w:tr>
        <w:trPr>
          <w:trHeight w:val="432"/>
        </w:trPr>
        <w:tc>
          <w:tcPr>
            <w:tcW w:w="3080" w:type="dxa"/>
            <w:vAlign w:val="bottom"/>
          </w:tcPr>
          <w:p>
            <w:pPr>
              <w:spacing w:after="0"/>
              <w:rPr>
                <w:sz w:val="20"/>
                <w:szCs w:val="20"/>
                <w:color w:val="auto"/>
              </w:rPr>
            </w:pPr>
            <w:r>
              <w:rPr>
                <w:rFonts w:ascii="Arial" w:cs="Arial" w:eastAsia="Arial" w:hAnsi="Arial"/>
                <w:sz w:val="18"/>
                <w:szCs w:val="18"/>
                <w:color w:val="auto"/>
              </w:rPr>
              <w:t>Benchmark Treasury:</w:t>
            </w:r>
          </w:p>
        </w:tc>
        <w:tc>
          <w:tcPr>
            <w:tcW w:w="4400" w:type="dxa"/>
            <w:vAlign w:val="bottom"/>
            <w:gridSpan w:val="3"/>
          </w:tcPr>
          <w:p>
            <w:pPr>
              <w:ind w:left="940"/>
              <w:spacing w:after="0"/>
              <w:rPr>
                <w:sz w:val="20"/>
                <w:szCs w:val="20"/>
                <w:color w:val="auto"/>
              </w:rPr>
            </w:pPr>
            <w:r>
              <w:rPr>
                <w:rFonts w:ascii="Arial" w:cs="Arial" w:eastAsia="Arial" w:hAnsi="Arial"/>
                <w:sz w:val="18"/>
                <w:szCs w:val="18"/>
                <w:color w:val="auto"/>
              </w:rPr>
              <w:t>4.25% due 1/15/2011</w:t>
            </w:r>
          </w:p>
        </w:tc>
        <w:tc>
          <w:tcPr>
            <w:tcW w:w="3900" w:type="dxa"/>
            <w:vAlign w:val="bottom"/>
          </w:tcPr>
          <w:p>
            <w:pPr>
              <w:spacing w:after="0"/>
              <w:rPr>
                <w:sz w:val="24"/>
                <w:szCs w:val="24"/>
                <w:color w:val="auto"/>
              </w:rPr>
            </w:pPr>
          </w:p>
        </w:tc>
      </w:tr>
      <w:tr>
        <w:trPr>
          <w:trHeight w:val="432"/>
        </w:trPr>
        <w:tc>
          <w:tcPr>
            <w:tcW w:w="3080" w:type="dxa"/>
            <w:vAlign w:val="bottom"/>
          </w:tcPr>
          <w:p>
            <w:pPr>
              <w:spacing w:after="0"/>
              <w:rPr>
                <w:sz w:val="20"/>
                <w:szCs w:val="20"/>
                <w:color w:val="auto"/>
              </w:rPr>
            </w:pPr>
            <w:r>
              <w:rPr>
                <w:rFonts w:ascii="Arial" w:cs="Arial" w:eastAsia="Arial" w:hAnsi="Arial"/>
                <w:sz w:val="18"/>
                <w:szCs w:val="18"/>
                <w:color w:val="auto"/>
              </w:rPr>
              <w:t>Spread to Benchmark*:</w:t>
            </w:r>
          </w:p>
        </w:tc>
        <w:tc>
          <w:tcPr>
            <w:tcW w:w="4400" w:type="dxa"/>
            <w:vAlign w:val="bottom"/>
            <w:gridSpan w:val="3"/>
          </w:tcPr>
          <w:p>
            <w:pPr>
              <w:ind w:left="940"/>
              <w:spacing w:after="0"/>
              <w:rPr>
                <w:sz w:val="20"/>
                <w:szCs w:val="20"/>
                <w:color w:val="auto"/>
              </w:rPr>
            </w:pPr>
            <w:r>
              <w:rPr>
                <w:rFonts w:ascii="Arial" w:cs="Arial" w:eastAsia="Arial" w:hAnsi="Arial"/>
                <w:sz w:val="18"/>
                <w:szCs w:val="18"/>
                <w:color w:val="auto"/>
              </w:rPr>
              <w:t>58 basis points</w:t>
            </w:r>
          </w:p>
        </w:tc>
        <w:tc>
          <w:tcPr>
            <w:tcW w:w="3900" w:type="dxa"/>
            <w:vAlign w:val="bottom"/>
          </w:tcPr>
          <w:p>
            <w:pPr>
              <w:spacing w:after="0"/>
              <w:rPr>
                <w:sz w:val="24"/>
                <w:szCs w:val="24"/>
                <w:color w:val="auto"/>
              </w:rPr>
            </w:pPr>
          </w:p>
        </w:tc>
      </w:tr>
      <w:tr>
        <w:trPr>
          <w:trHeight w:val="432"/>
        </w:trPr>
        <w:tc>
          <w:tcPr>
            <w:tcW w:w="3080" w:type="dxa"/>
            <w:vAlign w:val="bottom"/>
          </w:tcPr>
          <w:p>
            <w:pPr>
              <w:spacing w:after="0"/>
              <w:rPr>
                <w:sz w:val="20"/>
                <w:szCs w:val="20"/>
                <w:color w:val="auto"/>
              </w:rPr>
            </w:pPr>
            <w:r>
              <w:rPr>
                <w:rFonts w:ascii="Arial" w:cs="Arial" w:eastAsia="Arial" w:hAnsi="Arial"/>
                <w:sz w:val="18"/>
                <w:szCs w:val="18"/>
                <w:color w:val="auto"/>
              </w:rPr>
              <w:t>Benchmark Price and Yield*:</w:t>
            </w:r>
          </w:p>
        </w:tc>
        <w:tc>
          <w:tcPr>
            <w:tcW w:w="4400" w:type="dxa"/>
            <w:vAlign w:val="bottom"/>
            <w:gridSpan w:val="3"/>
          </w:tcPr>
          <w:p>
            <w:pPr>
              <w:ind w:left="940"/>
              <w:spacing w:after="0"/>
              <w:rPr>
                <w:sz w:val="20"/>
                <w:szCs w:val="20"/>
                <w:color w:val="auto"/>
              </w:rPr>
            </w:pPr>
            <w:r>
              <w:rPr>
                <w:rFonts w:ascii="Arial" w:cs="Arial" w:eastAsia="Arial" w:hAnsi="Arial"/>
                <w:sz w:val="18"/>
                <w:szCs w:val="18"/>
                <w:color w:val="auto"/>
              </w:rPr>
              <w:t>98-15 to yield 5.182%</w:t>
            </w:r>
          </w:p>
        </w:tc>
        <w:tc>
          <w:tcPr>
            <w:tcW w:w="3900" w:type="dxa"/>
            <w:vAlign w:val="bottom"/>
          </w:tcPr>
          <w:p>
            <w:pPr>
              <w:spacing w:after="0"/>
              <w:rPr>
                <w:sz w:val="24"/>
                <w:szCs w:val="24"/>
                <w:color w:val="auto"/>
              </w:rPr>
            </w:pPr>
          </w:p>
        </w:tc>
      </w:tr>
      <w:tr>
        <w:trPr>
          <w:trHeight w:val="432"/>
        </w:trPr>
        <w:tc>
          <w:tcPr>
            <w:tcW w:w="3080" w:type="dxa"/>
            <w:vAlign w:val="bottom"/>
          </w:tcPr>
          <w:p>
            <w:pPr>
              <w:spacing w:after="0"/>
              <w:rPr>
                <w:sz w:val="20"/>
                <w:szCs w:val="20"/>
                <w:color w:val="auto"/>
              </w:rPr>
            </w:pPr>
            <w:r>
              <w:rPr>
                <w:rFonts w:ascii="Arial" w:cs="Arial" w:eastAsia="Arial" w:hAnsi="Arial"/>
                <w:sz w:val="18"/>
                <w:szCs w:val="18"/>
                <w:color w:val="auto"/>
              </w:rPr>
              <w:t>Redemption / Call Features:</w:t>
            </w:r>
          </w:p>
        </w:tc>
        <w:tc>
          <w:tcPr>
            <w:tcW w:w="4400" w:type="dxa"/>
            <w:vAlign w:val="bottom"/>
            <w:gridSpan w:val="3"/>
          </w:tcPr>
          <w:p>
            <w:pPr>
              <w:ind w:left="940"/>
              <w:spacing w:after="0"/>
              <w:rPr>
                <w:sz w:val="20"/>
                <w:szCs w:val="20"/>
                <w:color w:val="auto"/>
              </w:rPr>
            </w:pPr>
            <w:r>
              <w:rPr>
                <w:rFonts w:ascii="Arial" w:cs="Arial" w:eastAsia="Arial" w:hAnsi="Arial"/>
                <w:sz w:val="18"/>
                <w:szCs w:val="18"/>
                <w:color w:val="auto"/>
              </w:rPr>
              <w:t>N/A</w:t>
            </w:r>
          </w:p>
        </w:tc>
        <w:tc>
          <w:tcPr>
            <w:tcW w:w="3900" w:type="dxa"/>
            <w:vAlign w:val="bottom"/>
          </w:tcPr>
          <w:p>
            <w:pPr>
              <w:spacing w:after="0"/>
              <w:rPr>
                <w:sz w:val="24"/>
                <w:szCs w:val="24"/>
                <w:color w:val="auto"/>
              </w:rPr>
            </w:pPr>
          </w:p>
        </w:tc>
      </w:tr>
      <w:tr>
        <w:trPr>
          <w:trHeight w:val="432"/>
        </w:trPr>
        <w:tc>
          <w:tcPr>
            <w:tcW w:w="3080" w:type="dxa"/>
            <w:vAlign w:val="bottom"/>
          </w:tcPr>
          <w:p>
            <w:pPr>
              <w:spacing w:after="0"/>
              <w:rPr>
                <w:sz w:val="20"/>
                <w:szCs w:val="20"/>
                <w:color w:val="auto"/>
              </w:rPr>
            </w:pPr>
            <w:r>
              <w:rPr>
                <w:rFonts w:ascii="Arial" w:cs="Arial" w:eastAsia="Arial" w:hAnsi="Arial"/>
                <w:sz w:val="18"/>
                <w:szCs w:val="18"/>
                <w:color w:val="auto"/>
              </w:rPr>
              <w:t>CUSIP:</w:t>
            </w:r>
          </w:p>
        </w:tc>
        <w:tc>
          <w:tcPr>
            <w:tcW w:w="4400" w:type="dxa"/>
            <w:vAlign w:val="bottom"/>
            <w:gridSpan w:val="3"/>
          </w:tcPr>
          <w:p>
            <w:pPr>
              <w:ind w:left="940"/>
              <w:spacing w:after="0"/>
              <w:rPr>
                <w:sz w:val="20"/>
                <w:szCs w:val="20"/>
                <w:color w:val="auto"/>
              </w:rPr>
            </w:pPr>
            <w:r>
              <w:rPr>
                <w:rFonts w:ascii="Arial" w:cs="Arial" w:eastAsia="Arial" w:hAnsi="Arial"/>
                <w:sz w:val="18"/>
                <w:szCs w:val="18"/>
                <w:color w:val="auto"/>
              </w:rPr>
              <w:t>74254PLA8</w:t>
            </w:r>
          </w:p>
        </w:tc>
        <w:tc>
          <w:tcPr>
            <w:tcW w:w="3900" w:type="dxa"/>
            <w:vAlign w:val="bottom"/>
          </w:tcPr>
          <w:p>
            <w:pPr>
              <w:spacing w:after="0"/>
              <w:rPr>
                <w:sz w:val="24"/>
                <w:szCs w:val="24"/>
                <w:color w:val="auto"/>
              </w:rPr>
            </w:pPr>
          </w:p>
        </w:tc>
      </w:tr>
      <w:tr>
        <w:trPr>
          <w:trHeight w:val="432"/>
        </w:trPr>
        <w:tc>
          <w:tcPr>
            <w:tcW w:w="3080" w:type="dxa"/>
            <w:vAlign w:val="bottom"/>
          </w:tcPr>
          <w:p>
            <w:pPr>
              <w:spacing w:after="0"/>
              <w:rPr>
                <w:sz w:val="20"/>
                <w:szCs w:val="20"/>
                <w:color w:val="auto"/>
              </w:rPr>
            </w:pPr>
            <w:r>
              <w:rPr>
                <w:rFonts w:ascii="Arial" w:cs="Arial" w:eastAsia="Arial" w:hAnsi="Arial"/>
                <w:sz w:val="18"/>
                <w:szCs w:val="18"/>
                <w:color w:val="auto"/>
              </w:rPr>
              <w:t>Public Offering Price*:</w:t>
            </w:r>
          </w:p>
        </w:tc>
        <w:tc>
          <w:tcPr>
            <w:tcW w:w="1800" w:type="dxa"/>
            <w:vAlign w:val="bottom"/>
          </w:tcPr>
          <w:p>
            <w:pPr>
              <w:ind w:left="940"/>
              <w:spacing w:after="0"/>
              <w:rPr>
                <w:sz w:val="20"/>
                <w:szCs w:val="20"/>
                <w:color w:val="auto"/>
              </w:rPr>
            </w:pPr>
            <w:r>
              <w:rPr>
                <w:rFonts w:ascii="Arial" w:cs="Arial" w:eastAsia="Arial" w:hAnsi="Arial"/>
                <w:sz w:val="18"/>
                <w:szCs w:val="18"/>
                <w:color w:val="auto"/>
              </w:rPr>
              <w:t>99.751</w:t>
            </w:r>
          </w:p>
        </w:tc>
        <w:tc>
          <w:tcPr>
            <w:tcW w:w="16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3900" w:type="dxa"/>
            <w:vAlign w:val="bottom"/>
          </w:tcPr>
          <w:p>
            <w:pPr>
              <w:spacing w:after="0"/>
              <w:rPr>
                <w:sz w:val="24"/>
                <w:szCs w:val="24"/>
                <w:color w:val="auto"/>
              </w:rPr>
            </w:pPr>
          </w:p>
        </w:tc>
      </w:tr>
      <w:tr>
        <w:trPr>
          <w:trHeight w:val="432"/>
        </w:trPr>
        <w:tc>
          <w:tcPr>
            <w:tcW w:w="3080" w:type="dxa"/>
            <w:vAlign w:val="bottom"/>
          </w:tcPr>
          <w:p>
            <w:pPr>
              <w:spacing w:after="0"/>
              <w:rPr>
                <w:sz w:val="20"/>
                <w:szCs w:val="20"/>
                <w:color w:val="auto"/>
              </w:rPr>
            </w:pPr>
            <w:r>
              <w:rPr>
                <w:rFonts w:ascii="Arial" w:cs="Arial" w:eastAsia="Arial" w:hAnsi="Arial"/>
                <w:sz w:val="18"/>
                <w:szCs w:val="18"/>
                <w:color w:val="auto"/>
              </w:rPr>
              <w:t>Discounts:</w:t>
            </w:r>
          </w:p>
        </w:tc>
        <w:tc>
          <w:tcPr>
            <w:tcW w:w="1800" w:type="dxa"/>
            <w:vAlign w:val="bottom"/>
          </w:tcPr>
          <w:p>
            <w:pPr>
              <w:ind w:left="940"/>
              <w:spacing w:after="0"/>
              <w:rPr>
                <w:sz w:val="20"/>
                <w:szCs w:val="20"/>
                <w:color w:val="auto"/>
              </w:rPr>
            </w:pPr>
            <w:r>
              <w:rPr>
                <w:rFonts w:ascii="Arial" w:cs="Arial" w:eastAsia="Arial" w:hAnsi="Arial"/>
                <w:sz w:val="18"/>
                <w:szCs w:val="18"/>
                <w:color w:val="auto"/>
              </w:rPr>
              <w:t>0.315%</w:t>
            </w:r>
          </w:p>
        </w:tc>
        <w:tc>
          <w:tcPr>
            <w:tcW w:w="16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3900" w:type="dxa"/>
            <w:vAlign w:val="bottom"/>
          </w:tcPr>
          <w:p>
            <w:pPr>
              <w:spacing w:after="0"/>
              <w:rPr>
                <w:sz w:val="24"/>
                <w:szCs w:val="24"/>
                <w:color w:val="auto"/>
              </w:rPr>
            </w:pPr>
          </w:p>
        </w:tc>
      </w:tr>
      <w:tr>
        <w:trPr>
          <w:trHeight w:val="432"/>
        </w:trPr>
        <w:tc>
          <w:tcPr>
            <w:tcW w:w="3080" w:type="dxa"/>
            <w:vAlign w:val="bottom"/>
          </w:tcPr>
          <w:p>
            <w:pPr>
              <w:spacing w:after="0"/>
              <w:rPr>
                <w:sz w:val="20"/>
                <w:szCs w:val="20"/>
                <w:color w:val="auto"/>
              </w:rPr>
            </w:pPr>
            <w:r>
              <w:rPr>
                <w:rFonts w:ascii="Arial" w:cs="Arial" w:eastAsia="Arial" w:hAnsi="Arial"/>
                <w:sz w:val="18"/>
                <w:szCs w:val="18"/>
                <w:color w:val="auto"/>
              </w:rPr>
              <w:t>Proceeds to Issuing Entity:</w:t>
            </w:r>
          </w:p>
        </w:tc>
        <w:tc>
          <w:tcPr>
            <w:tcW w:w="3480" w:type="dxa"/>
            <w:vAlign w:val="bottom"/>
            <w:gridSpan w:val="2"/>
          </w:tcPr>
          <w:p>
            <w:pPr>
              <w:ind w:left="940"/>
              <w:spacing w:after="0"/>
              <w:rPr>
                <w:sz w:val="20"/>
                <w:szCs w:val="20"/>
                <w:color w:val="auto"/>
              </w:rPr>
            </w:pPr>
            <w:r>
              <w:rPr>
                <w:rFonts w:ascii="Arial" w:cs="Arial" w:eastAsia="Arial" w:hAnsi="Arial"/>
                <w:sz w:val="18"/>
                <w:szCs w:val="18"/>
                <w:color w:val="auto"/>
              </w:rPr>
              <w:t>$348,026,000   (99.436%)</w:t>
            </w:r>
          </w:p>
        </w:tc>
        <w:tc>
          <w:tcPr>
            <w:tcW w:w="920" w:type="dxa"/>
            <w:vAlign w:val="bottom"/>
          </w:tcPr>
          <w:p>
            <w:pPr>
              <w:spacing w:after="0"/>
              <w:rPr>
                <w:sz w:val="24"/>
                <w:szCs w:val="24"/>
                <w:color w:val="auto"/>
              </w:rPr>
            </w:pPr>
          </w:p>
        </w:tc>
        <w:tc>
          <w:tcPr>
            <w:tcW w:w="3900" w:type="dxa"/>
            <w:vAlign w:val="bottom"/>
          </w:tcPr>
          <w:p>
            <w:pPr>
              <w:spacing w:after="0"/>
              <w:rPr>
                <w:sz w:val="24"/>
                <w:szCs w:val="24"/>
                <w:color w:val="auto"/>
              </w:rPr>
            </w:pPr>
          </w:p>
        </w:tc>
      </w:tr>
      <w:tr>
        <w:trPr>
          <w:trHeight w:val="418"/>
        </w:trPr>
        <w:tc>
          <w:tcPr>
            <w:tcW w:w="3080" w:type="dxa"/>
            <w:vAlign w:val="bottom"/>
          </w:tcPr>
          <w:p>
            <w:pPr>
              <w:spacing w:after="0"/>
              <w:rPr>
                <w:sz w:val="20"/>
                <w:szCs w:val="20"/>
                <w:color w:val="auto"/>
              </w:rPr>
            </w:pPr>
            <w:r>
              <w:rPr>
                <w:rFonts w:ascii="Arial" w:cs="Arial" w:eastAsia="Arial" w:hAnsi="Arial"/>
                <w:sz w:val="18"/>
                <w:szCs w:val="18"/>
                <w:color w:val="auto"/>
              </w:rPr>
              <w:t>Coupon Payment Dates:</w:t>
            </w:r>
          </w:p>
        </w:tc>
        <w:tc>
          <w:tcPr>
            <w:tcW w:w="8300" w:type="dxa"/>
            <w:vAlign w:val="bottom"/>
            <w:gridSpan w:val="4"/>
          </w:tcPr>
          <w:p>
            <w:pPr>
              <w:ind w:left="940"/>
              <w:spacing w:after="0"/>
              <w:rPr>
                <w:sz w:val="20"/>
                <w:szCs w:val="20"/>
                <w:color w:val="auto"/>
              </w:rPr>
            </w:pPr>
            <w:r>
              <w:rPr>
                <w:rFonts w:ascii="Arial" w:cs="Arial" w:eastAsia="Arial" w:hAnsi="Arial"/>
                <w:sz w:val="18"/>
                <w:szCs w:val="18"/>
                <w:color w:val="auto"/>
                <w:w w:val="89"/>
              </w:rPr>
              <w:t>Semi-annually on March 1 and September 1 of each year, commencing September 1, 2006 and ending</w:t>
            </w:r>
          </w:p>
        </w:tc>
      </w:tr>
      <w:tr>
        <w:trPr>
          <w:trHeight w:val="230"/>
        </w:trPr>
        <w:tc>
          <w:tcPr>
            <w:tcW w:w="3080" w:type="dxa"/>
            <w:vAlign w:val="bottom"/>
          </w:tcPr>
          <w:p>
            <w:pPr>
              <w:spacing w:after="0"/>
              <w:rPr>
                <w:sz w:val="20"/>
                <w:szCs w:val="20"/>
                <w:color w:val="auto"/>
              </w:rPr>
            </w:pPr>
          </w:p>
        </w:tc>
        <w:tc>
          <w:tcPr>
            <w:tcW w:w="4400" w:type="dxa"/>
            <w:vAlign w:val="bottom"/>
            <w:gridSpan w:val="3"/>
          </w:tcPr>
          <w:p>
            <w:pPr>
              <w:ind w:left="940"/>
              <w:spacing w:after="0"/>
              <w:rPr>
                <w:sz w:val="20"/>
                <w:szCs w:val="20"/>
                <w:color w:val="auto"/>
              </w:rPr>
            </w:pPr>
            <w:r>
              <w:rPr>
                <w:rFonts w:ascii="Arial" w:cs="Arial" w:eastAsia="Arial" w:hAnsi="Arial"/>
                <w:sz w:val="18"/>
                <w:szCs w:val="18"/>
                <w:color w:val="auto"/>
              </w:rPr>
              <w:t>on the Maturity Date</w:t>
            </w:r>
          </w:p>
        </w:tc>
        <w:tc>
          <w:tcPr>
            <w:tcW w:w="3900" w:type="dxa"/>
            <w:vAlign w:val="bottom"/>
          </w:tcPr>
          <w:p>
            <w:pPr>
              <w:spacing w:after="0"/>
              <w:rPr>
                <w:sz w:val="20"/>
                <w:szCs w:val="20"/>
                <w:color w:val="auto"/>
              </w:rPr>
            </w:pPr>
          </w:p>
        </w:tc>
      </w:tr>
      <w:tr>
        <w:trPr>
          <w:trHeight w:val="432"/>
        </w:trPr>
        <w:tc>
          <w:tcPr>
            <w:tcW w:w="3080" w:type="dxa"/>
            <w:vAlign w:val="bottom"/>
          </w:tcPr>
          <w:p>
            <w:pPr>
              <w:spacing w:after="0"/>
              <w:rPr>
                <w:sz w:val="20"/>
                <w:szCs w:val="20"/>
                <w:color w:val="auto"/>
              </w:rPr>
            </w:pPr>
            <w:r>
              <w:rPr>
                <w:rFonts w:ascii="Arial" w:cs="Arial" w:eastAsia="Arial" w:hAnsi="Arial"/>
                <w:sz w:val="18"/>
                <w:szCs w:val="18"/>
                <w:color w:val="auto"/>
              </w:rPr>
              <w:t>Day Count:</w:t>
            </w:r>
          </w:p>
        </w:tc>
        <w:tc>
          <w:tcPr>
            <w:tcW w:w="1800" w:type="dxa"/>
            <w:vAlign w:val="bottom"/>
          </w:tcPr>
          <w:p>
            <w:pPr>
              <w:ind w:left="940"/>
              <w:spacing w:after="0"/>
              <w:rPr>
                <w:sz w:val="20"/>
                <w:szCs w:val="20"/>
                <w:color w:val="auto"/>
              </w:rPr>
            </w:pPr>
            <w:r>
              <w:rPr>
                <w:rFonts w:ascii="Arial" w:cs="Arial" w:eastAsia="Arial" w:hAnsi="Arial"/>
                <w:sz w:val="18"/>
                <w:szCs w:val="18"/>
                <w:color w:val="auto"/>
              </w:rPr>
              <w:t>30/360</w:t>
            </w:r>
          </w:p>
        </w:tc>
        <w:tc>
          <w:tcPr>
            <w:tcW w:w="16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3900" w:type="dxa"/>
            <w:vAlign w:val="bottom"/>
          </w:tcPr>
          <w:p>
            <w:pPr>
              <w:spacing w:after="0"/>
              <w:rPr>
                <w:sz w:val="24"/>
                <w:szCs w:val="24"/>
                <w:color w:val="auto"/>
              </w:rPr>
            </w:pPr>
          </w:p>
        </w:tc>
      </w:tr>
      <w:tr>
        <w:trPr>
          <w:trHeight w:val="432"/>
        </w:trPr>
        <w:tc>
          <w:tcPr>
            <w:tcW w:w="3080" w:type="dxa"/>
            <w:vAlign w:val="bottom"/>
          </w:tcPr>
          <w:p>
            <w:pPr>
              <w:spacing w:after="0"/>
              <w:rPr>
                <w:sz w:val="20"/>
                <w:szCs w:val="20"/>
                <w:color w:val="auto"/>
              </w:rPr>
            </w:pPr>
            <w:r>
              <w:rPr>
                <w:rFonts w:ascii="Arial" w:cs="Arial" w:eastAsia="Arial" w:hAnsi="Arial"/>
                <w:sz w:val="18"/>
                <w:szCs w:val="18"/>
                <w:color w:val="auto"/>
              </w:rPr>
              <w:t>Minimum Denominations:</w:t>
            </w:r>
          </w:p>
        </w:tc>
        <w:tc>
          <w:tcPr>
            <w:tcW w:w="4400" w:type="dxa"/>
            <w:vAlign w:val="bottom"/>
            <w:gridSpan w:val="3"/>
          </w:tcPr>
          <w:p>
            <w:pPr>
              <w:ind w:left="940"/>
              <w:spacing w:after="0"/>
              <w:rPr>
                <w:sz w:val="20"/>
                <w:szCs w:val="20"/>
                <w:color w:val="auto"/>
              </w:rPr>
            </w:pPr>
            <w:r>
              <w:rPr>
                <w:rFonts w:ascii="Arial" w:cs="Arial" w:eastAsia="Arial" w:hAnsi="Arial"/>
                <w:sz w:val="18"/>
                <w:szCs w:val="18"/>
                <w:color w:val="auto"/>
              </w:rPr>
              <w:t>$1,000 by $1,000</w:t>
            </w:r>
          </w:p>
        </w:tc>
        <w:tc>
          <w:tcPr>
            <w:tcW w:w="3900" w:type="dxa"/>
            <w:vAlign w:val="bottom"/>
          </w:tcPr>
          <w:p>
            <w:pPr>
              <w:spacing w:after="0"/>
              <w:rPr>
                <w:sz w:val="24"/>
                <w:szCs w:val="24"/>
                <w:color w:val="auto"/>
              </w:rPr>
            </w:pPr>
          </w:p>
        </w:tc>
      </w:tr>
      <w:tr>
        <w:trPr>
          <w:trHeight w:val="432"/>
        </w:trPr>
        <w:tc>
          <w:tcPr>
            <w:tcW w:w="3080" w:type="dxa"/>
            <w:vAlign w:val="bottom"/>
          </w:tcPr>
          <w:p>
            <w:pPr>
              <w:spacing w:after="0"/>
              <w:rPr>
                <w:sz w:val="20"/>
                <w:szCs w:val="20"/>
                <w:color w:val="auto"/>
              </w:rPr>
            </w:pPr>
            <w:r>
              <w:rPr>
                <w:rFonts w:ascii="Arial" w:cs="Arial" w:eastAsia="Arial" w:hAnsi="Arial"/>
                <w:sz w:val="18"/>
                <w:szCs w:val="18"/>
                <w:color w:val="auto"/>
              </w:rPr>
              <w:t>Billing and Delivery:</w:t>
            </w:r>
          </w:p>
        </w:tc>
        <w:tc>
          <w:tcPr>
            <w:tcW w:w="4400" w:type="dxa"/>
            <w:vAlign w:val="bottom"/>
            <w:gridSpan w:val="3"/>
          </w:tcPr>
          <w:p>
            <w:pPr>
              <w:ind w:left="940"/>
              <w:spacing w:after="0"/>
              <w:rPr>
                <w:sz w:val="20"/>
                <w:szCs w:val="20"/>
                <w:color w:val="auto"/>
              </w:rPr>
            </w:pPr>
            <w:r>
              <w:rPr>
                <w:rFonts w:ascii="Arial" w:cs="Arial" w:eastAsia="Arial" w:hAnsi="Arial"/>
                <w:sz w:val="18"/>
                <w:szCs w:val="18"/>
                <w:color w:val="auto"/>
              </w:rPr>
              <w:t>Goldman, Sachs &amp; Co.</w:t>
            </w:r>
          </w:p>
        </w:tc>
        <w:tc>
          <w:tcPr>
            <w:tcW w:w="3900" w:type="dxa"/>
            <w:vAlign w:val="bottom"/>
          </w:tcPr>
          <w:p>
            <w:pPr>
              <w:spacing w:after="0"/>
              <w:rPr>
                <w:sz w:val="24"/>
                <w:szCs w:val="24"/>
                <w:color w:val="auto"/>
              </w:rPr>
            </w:pPr>
          </w:p>
        </w:tc>
      </w:tr>
      <w:tr>
        <w:trPr>
          <w:trHeight w:val="418"/>
        </w:trPr>
        <w:tc>
          <w:tcPr>
            <w:tcW w:w="3080" w:type="dxa"/>
            <w:vAlign w:val="bottom"/>
          </w:tcPr>
          <w:p>
            <w:pPr>
              <w:spacing w:after="0"/>
              <w:rPr>
                <w:sz w:val="20"/>
                <w:szCs w:val="20"/>
                <w:color w:val="auto"/>
              </w:rPr>
            </w:pPr>
            <w:r>
              <w:rPr>
                <w:rFonts w:ascii="Arial" w:cs="Arial" w:eastAsia="Arial" w:hAnsi="Arial"/>
                <w:sz w:val="18"/>
                <w:szCs w:val="18"/>
                <w:color w:val="auto"/>
              </w:rPr>
              <w:t>Bookrunners:</w:t>
            </w:r>
          </w:p>
        </w:tc>
        <w:tc>
          <w:tcPr>
            <w:tcW w:w="4400" w:type="dxa"/>
            <w:vAlign w:val="bottom"/>
            <w:gridSpan w:val="3"/>
          </w:tcPr>
          <w:p>
            <w:pPr>
              <w:ind w:left="940"/>
              <w:spacing w:after="0"/>
              <w:rPr>
                <w:sz w:val="20"/>
                <w:szCs w:val="20"/>
                <w:color w:val="auto"/>
              </w:rPr>
            </w:pPr>
            <w:r>
              <w:rPr>
                <w:rFonts w:ascii="Arial" w:cs="Arial" w:eastAsia="Arial" w:hAnsi="Arial"/>
                <w:sz w:val="18"/>
                <w:szCs w:val="18"/>
                <w:color w:val="auto"/>
              </w:rPr>
              <w:t>Banc of America Securities LLC</w:t>
            </w:r>
          </w:p>
        </w:tc>
        <w:tc>
          <w:tcPr>
            <w:tcW w:w="3900" w:type="dxa"/>
            <w:vAlign w:val="bottom"/>
          </w:tcPr>
          <w:p>
            <w:pPr>
              <w:jc w:val="right"/>
              <w:ind w:right="2830"/>
              <w:spacing w:after="0"/>
              <w:rPr>
                <w:sz w:val="20"/>
                <w:szCs w:val="20"/>
                <w:color w:val="auto"/>
              </w:rPr>
            </w:pPr>
            <w:r>
              <w:rPr>
                <w:rFonts w:ascii="Arial" w:cs="Arial" w:eastAsia="Arial" w:hAnsi="Arial"/>
                <w:sz w:val="18"/>
                <w:szCs w:val="18"/>
                <w:color w:val="auto"/>
              </w:rPr>
              <w:t>47.5%</w:t>
            </w:r>
          </w:p>
        </w:tc>
      </w:tr>
      <w:tr>
        <w:trPr>
          <w:trHeight w:val="230"/>
        </w:trPr>
        <w:tc>
          <w:tcPr>
            <w:tcW w:w="3080" w:type="dxa"/>
            <w:vAlign w:val="bottom"/>
          </w:tcPr>
          <w:p>
            <w:pPr>
              <w:spacing w:after="0"/>
              <w:rPr>
                <w:sz w:val="20"/>
                <w:szCs w:val="20"/>
                <w:color w:val="auto"/>
              </w:rPr>
            </w:pPr>
          </w:p>
        </w:tc>
        <w:tc>
          <w:tcPr>
            <w:tcW w:w="4400" w:type="dxa"/>
            <w:vAlign w:val="bottom"/>
            <w:gridSpan w:val="3"/>
          </w:tcPr>
          <w:p>
            <w:pPr>
              <w:ind w:left="940"/>
              <w:spacing w:after="0"/>
              <w:rPr>
                <w:sz w:val="20"/>
                <w:szCs w:val="20"/>
                <w:color w:val="auto"/>
              </w:rPr>
            </w:pPr>
            <w:r>
              <w:rPr>
                <w:rFonts w:ascii="Arial" w:cs="Arial" w:eastAsia="Arial" w:hAnsi="Arial"/>
                <w:sz w:val="18"/>
                <w:szCs w:val="18"/>
                <w:color w:val="auto"/>
              </w:rPr>
              <w:t>Goldman, Sachs &amp; Co.</w:t>
            </w:r>
          </w:p>
        </w:tc>
        <w:tc>
          <w:tcPr>
            <w:tcW w:w="3900" w:type="dxa"/>
            <w:vAlign w:val="bottom"/>
          </w:tcPr>
          <w:p>
            <w:pPr>
              <w:jc w:val="right"/>
              <w:ind w:right="2830"/>
              <w:spacing w:after="0"/>
              <w:rPr>
                <w:sz w:val="20"/>
                <w:szCs w:val="20"/>
                <w:color w:val="auto"/>
              </w:rPr>
            </w:pPr>
            <w:r>
              <w:rPr>
                <w:rFonts w:ascii="Arial" w:cs="Arial" w:eastAsia="Arial" w:hAnsi="Arial"/>
                <w:sz w:val="18"/>
                <w:szCs w:val="18"/>
                <w:color w:val="auto"/>
              </w:rPr>
              <w:t>47.5%</w:t>
            </w:r>
          </w:p>
        </w:tc>
      </w:tr>
      <w:tr>
        <w:trPr>
          <w:trHeight w:val="418"/>
        </w:trPr>
        <w:tc>
          <w:tcPr>
            <w:tcW w:w="3080" w:type="dxa"/>
            <w:vAlign w:val="bottom"/>
          </w:tcPr>
          <w:p>
            <w:pPr>
              <w:spacing w:after="0"/>
              <w:rPr>
                <w:sz w:val="20"/>
                <w:szCs w:val="20"/>
                <w:color w:val="auto"/>
              </w:rPr>
            </w:pPr>
            <w:r>
              <w:rPr>
                <w:rFonts w:ascii="Arial" w:cs="Arial" w:eastAsia="Arial" w:hAnsi="Arial"/>
                <w:sz w:val="18"/>
                <w:szCs w:val="18"/>
                <w:color w:val="auto"/>
              </w:rPr>
              <w:t>Co-Managers:</w:t>
            </w:r>
          </w:p>
        </w:tc>
        <w:tc>
          <w:tcPr>
            <w:tcW w:w="4400" w:type="dxa"/>
            <w:vAlign w:val="bottom"/>
            <w:gridSpan w:val="3"/>
          </w:tcPr>
          <w:p>
            <w:pPr>
              <w:ind w:left="940"/>
              <w:spacing w:after="0"/>
              <w:rPr>
                <w:sz w:val="20"/>
                <w:szCs w:val="20"/>
                <w:color w:val="auto"/>
              </w:rPr>
            </w:pPr>
            <w:r>
              <w:rPr>
                <w:rFonts w:ascii="Arial" w:cs="Arial" w:eastAsia="Arial" w:hAnsi="Arial"/>
                <w:sz w:val="18"/>
                <w:szCs w:val="18"/>
                <w:color w:val="auto"/>
              </w:rPr>
              <w:t>Barclays Capital Inc.</w:t>
            </w:r>
          </w:p>
        </w:tc>
        <w:tc>
          <w:tcPr>
            <w:tcW w:w="3900" w:type="dxa"/>
            <w:vAlign w:val="bottom"/>
          </w:tcPr>
          <w:p>
            <w:pPr>
              <w:jc w:val="right"/>
              <w:ind w:right="2830"/>
              <w:spacing w:after="0"/>
              <w:rPr>
                <w:sz w:val="20"/>
                <w:szCs w:val="20"/>
                <w:color w:val="auto"/>
              </w:rPr>
            </w:pPr>
            <w:r>
              <w:rPr>
                <w:rFonts w:ascii="Arial" w:cs="Arial" w:eastAsia="Arial" w:hAnsi="Arial"/>
                <w:sz w:val="18"/>
                <w:szCs w:val="18"/>
                <w:color w:val="auto"/>
              </w:rPr>
              <w:t>1.25%</w:t>
            </w:r>
          </w:p>
        </w:tc>
      </w:tr>
      <w:tr>
        <w:trPr>
          <w:trHeight w:val="216"/>
        </w:trPr>
        <w:tc>
          <w:tcPr>
            <w:tcW w:w="3080" w:type="dxa"/>
            <w:vAlign w:val="bottom"/>
          </w:tcPr>
          <w:p>
            <w:pPr>
              <w:spacing w:after="0"/>
              <w:rPr>
                <w:sz w:val="18"/>
                <w:szCs w:val="18"/>
                <w:color w:val="auto"/>
              </w:rPr>
            </w:pPr>
          </w:p>
        </w:tc>
        <w:tc>
          <w:tcPr>
            <w:tcW w:w="4400" w:type="dxa"/>
            <w:vAlign w:val="bottom"/>
            <w:gridSpan w:val="3"/>
          </w:tcPr>
          <w:p>
            <w:pPr>
              <w:ind w:left="940"/>
              <w:spacing w:after="0"/>
              <w:rPr>
                <w:sz w:val="20"/>
                <w:szCs w:val="20"/>
                <w:color w:val="auto"/>
              </w:rPr>
            </w:pPr>
            <w:r>
              <w:rPr>
                <w:rFonts w:ascii="Arial" w:cs="Arial" w:eastAsia="Arial" w:hAnsi="Arial"/>
                <w:sz w:val="18"/>
                <w:szCs w:val="18"/>
                <w:color w:val="auto"/>
              </w:rPr>
              <w:t>Credit Suisse Securities (USA) LLC</w:t>
            </w:r>
          </w:p>
        </w:tc>
        <w:tc>
          <w:tcPr>
            <w:tcW w:w="3900" w:type="dxa"/>
            <w:vAlign w:val="bottom"/>
          </w:tcPr>
          <w:p>
            <w:pPr>
              <w:jc w:val="right"/>
              <w:ind w:right="2830"/>
              <w:spacing w:after="0"/>
              <w:rPr>
                <w:sz w:val="20"/>
                <w:szCs w:val="20"/>
                <w:color w:val="auto"/>
              </w:rPr>
            </w:pPr>
            <w:r>
              <w:rPr>
                <w:rFonts w:ascii="Arial" w:cs="Arial" w:eastAsia="Arial" w:hAnsi="Arial"/>
                <w:sz w:val="18"/>
                <w:szCs w:val="18"/>
                <w:color w:val="auto"/>
              </w:rPr>
              <w:t>1.25%</w:t>
            </w:r>
          </w:p>
        </w:tc>
      </w:tr>
      <w:tr>
        <w:trPr>
          <w:trHeight w:val="216"/>
        </w:trPr>
        <w:tc>
          <w:tcPr>
            <w:tcW w:w="3080" w:type="dxa"/>
            <w:vAlign w:val="bottom"/>
          </w:tcPr>
          <w:p>
            <w:pPr>
              <w:spacing w:after="0"/>
              <w:rPr>
                <w:sz w:val="18"/>
                <w:szCs w:val="18"/>
                <w:color w:val="auto"/>
              </w:rPr>
            </w:pPr>
          </w:p>
        </w:tc>
        <w:tc>
          <w:tcPr>
            <w:tcW w:w="4400" w:type="dxa"/>
            <w:vAlign w:val="bottom"/>
            <w:gridSpan w:val="3"/>
          </w:tcPr>
          <w:p>
            <w:pPr>
              <w:ind w:left="940"/>
              <w:spacing w:after="0"/>
              <w:rPr>
                <w:sz w:val="20"/>
                <w:szCs w:val="20"/>
                <w:color w:val="auto"/>
              </w:rPr>
            </w:pPr>
            <w:r>
              <w:rPr>
                <w:rFonts w:ascii="Arial" w:cs="Arial" w:eastAsia="Arial" w:hAnsi="Arial"/>
                <w:sz w:val="18"/>
                <w:szCs w:val="18"/>
                <w:color w:val="auto"/>
              </w:rPr>
              <w:t>Lehman Brothers Inc.</w:t>
            </w:r>
          </w:p>
        </w:tc>
        <w:tc>
          <w:tcPr>
            <w:tcW w:w="3900" w:type="dxa"/>
            <w:vAlign w:val="bottom"/>
          </w:tcPr>
          <w:p>
            <w:pPr>
              <w:jc w:val="right"/>
              <w:ind w:right="2830"/>
              <w:spacing w:after="0"/>
              <w:rPr>
                <w:sz w:val="20"/>
                <w:szCs w:val="20"/>
                <w:color w:val="auto"/>
              </w:rPr>
            </w:pPr>
            <w:r>
              <w:rPr>
                <w:rFonts w:ascii="Arial" w:cs="Arial" w:eastAsia="Arial" w:hAnsi="Arial"/>
                <w:sz w:val="18"/>
                <w:szCs w:val="18"/>
                <w:color w:val="auto"/>
              </w:rPr>
              <w:t>1.25%</w:t>
            </w:r>
          </w:p>
        </w:tc>
      </w:tr>
      <w:tr>
        <w:trPr>
          <w:trHeight w:val="230"/>
        </w:trPr>
        <w:tc>
          <w:tcPr>
            <w:tcW w:w="3080" w:type="dxa"/>
            <w:vAlign w:val="bottom"/>
          </w:tcPr>
          <w:p>
            <w:pPr>
              <w:spacing w:after="0"/>
              <w:rPr>
                <w:sz w:val="20"/>
                <w:szCs w:val="20"/>
                <w:color w:val="auto"/>
              </w:rPr>
            </w:pPr>
          </w:p>
        </w:tc>
        <w:tc>
          <w:tcPr>
            <w:tcW w:w="4400" w:type="dxa"/>
            <w:vAlign w:val="bottom"/>
            <w:gridSpan w:val="3"/>
          </w:tcPr>
          <w:p>
            <w:pPr>
              <w:ind w:left="940"/>
              <w:spacing w:after="0"/>
              <w:rPr>
                <w:sz w:val="20"/>
                <w:szCs w:val="20"/>
                <w:color w:val="auto"/>
              </w:rPr>
            </w:pPr>
            <w:r>
              <w:rPr>
                <w:rFonts w:ascii="Arial" w:cs="Arial" w:eastAsia="Arial" w:hAnsi="Arial"/>
                <w:sz w:val="18"/>
                <w:szCs w:val="18"/>
                <w:color w:val="auto"/>
              </w:rPr>
              <w:t>Wachovia Capital Markets, LLC</w:t>
            </w:r>
          </w:p>
        </w:tc>
        <w:tc>
          <w:tcPr>
            <w:tcW w:w="3900" w:type="dxa"/>
            <w:vAlign w:val="bottom"/>
          </w:tcPr>
          <w:p>
            <w:pPr>
              <w:jc w:val="right"/>
              <w:ind w:right="2830"/>
              <w:spacing w:after="0"/>
              <w:rPr>
                <w:sz w:val="20"/>
                <w:szCs w:val="20"/>
                <w:color w:val="auto"/>
              </w:rPr>
            </w:pPr>
            <w:r>
              <w:rPr>
                <w:rFonts w:ascii="Arial" w:cs="Arial" w:eastAsia="Arial" w:hAnsi="Arial"/>
                <w:sz w:val="18"/>
                <w:szCs w:val="18"/>
                <w:color w:val="auto"/>
              </w:rPr>
              <w:t>1.25%</w:t>
            </w: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 Please note that the above terms apply as of the time of pricing</w:t>
      </w:r>
    </w:p>
    <w:p>
      <w:pPr>
        <w:spacing w:after="0" w:line="117" w:lineRule="exact"/>
        <w:rPr>
          <w:sz w:val="20"/>
          <w:szCs w:val="20"/>
          <w:color w:val="auto"/>
        </w:rPr>
      </w:pPr>
    </w:p>
    <w:p>
      <w:pPr>
        <w:ind w:right="60"/>
        <w:spacing w:after="0" w:line="297" w:lineRule="auto"/>
        <w:rPr>
          <w:sz w:val="20"/>
          <w:szCs w:val="20"/>
          <w:color w:val="auto"/>
        </w:rPr>
      </w:pPr>
      <w:r>
        <w:rPr>
          <w:rFonts w:ascii="Arial" w:cs="Arial" w:eastAsia="Arial" w:hAnsi="Arial"/>
          <w:sz w:val="16"/>
          <w:szCs w:val="16"/>
          <w:color w:val="auto"/>
        </w:rPr>
        <w:t>Principal Life Insurance Company (“PLIC”), as statutory issuer and depositor, and Principal Financial Group, Inc. (“PFG”) have filed a registration statement (including a prospectus) with the Securities and Exchange Commission (“SEC”) for the offering to which this communication relates. Before you invest, you should read the prospectus in that registration statement and other documents PLIC and PFG have filed with the SEC for more complete information about PLIC, PFG, and this offering. You may get these documents for free by visiting EDGAR on the SEC website at www.sec.gov. Alternatively, PLIC, PFG, any underwriter or any dealer participating in the offering will arrange to send you the prospectus if you request it by calling toll-free 1-866-375-2526.</w:t>
      </w:r>
    </w:p>
    <w:sectPr>
      <w:pgSz w:w="11900" w:h="16838" w:orient="portrait"/>
      <w:cols w:equalWidth="0" w:num="1">
        <w:col w:w="11420"/>
      </w:cols>
      <w:pgMar w:left="240" w:top="638"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2020-02-05T20:42:44Z</dcterms:created>
  <dcterms:modified xsi:type="dcterms:W3CDTF">2020-02-05T20:42:44Z</dcterms:modified>
</cp:coreProperties>
</file>