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FORM 8-K</w:t>
      </w:r>
    </w:p>
    <w:p>
      <w:pPr>
        <w:spacing w:after="0" w:line="201"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CURRENT REPORT</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ind w:left="2220"/>
        <w:spacing w:after="0"/>
        <w:rPr>
          <w:sz w:val="20"/>
          <w:szCs w:val="20"/>
          <w:color w:val="auto"/>
        </w:rPr>
      </w:pPr>
      <w:r>
        <w:rPr>
          <w:rFonts w:ascii="Courier New" w:cs="Courier New" w:eastAsia="Courier New" w:hAnsi="Courier New"/>
          <w:sz w:val="18"/>
          <w:szCs w:val="18"/>
          <w:color w:val="auto"/>
        </w:rPr>
        <w:t>Pursuant to Section 13 or 15(d) of the</w:t>
      </w:r>
    </w:p>
    <w:p>
      <w:pPr>
        <w:ind w:left="2640"/>
        <w:spacing w:after="0" w:line="238" w:lineRule="auto"/>
        <w:rPr>
          <w:sz w:val="20"/>
          <w:szCs w:val="20"/>
          <w:color w:val="auto"/>
        </w:rPr>
      </w:pPr>
      <w:r>
        <w:rPr>
          <w:rFonts w:ascii="Courier New" w:cs="Courier New" w:eastAsia="Courier New" w:hAnsi="Courier New"/>
          <w:sz w:val="18"/>
          <w:szCs w:val="18"/>
          <w:color w:val="auto"/>
        </w:rPr>
        <w:t>Securities Exchange Act of 1934</w:t>
      </w:r>
    </w:p>
    <w:p>
      <w:pPr>
        <w:spacing w:after="0" w:line="200" w:lineRule="exact"/>
        <w:rPr>
          <w:sz w:val="24"/>
          <w:szCs w:val="24"/>
          <w:color w:val="auto"/>
        </w:rPr>
      </w:pPr>
    </w:p>
    <w:p>
      <w:pPr>
        <w:spacing w:after="0" w:line="204" w:lineRule="exact"/>
        <w:rPr>
          <w:sz w:val="24"/>
          <w:szCs w:val="24"/>
          <w:color w:val="auto"/>
        </w:rPr>
      </w:pPr>
    </w:p>
    <w:p>
      <w:pPr>
        <w:ind w:left="2540"/>
        <w:spacing w:after="0"/>
        <w:rPr>
          <w:sz w:val="20"/>
          <w:szCs w:val="20"/>
          <w:color w:val="auto"/>
        </w:rPr>
      </w:pPr>
      <w:r>
        <w:rPr>
          <w:rFonts w:ascii="Courier New" w:cs="Courier New" w:eastAsia="Courier New" w:hAnsi="Courier New"/>
          <w:sz w:val="18"/>
          <w:szCs w:val="18"/>
          <w:color w:val="auto"/>
        </w:rPr>
        <w:t>Date of Report: November 30, 2001</w:t>
      </w:r>
    </w:p>
    <w:p>
      <w:pPr>
        <w:ind w:left="2540"/>
        <w:spacing w:after="0" w:line="238" w:lineRule="auto"/>
        <w:rPr>
          <w:sz w:val="20"/>
          <w:szCs w:val="20"/>
          <w:color w:val="auto"/>
        </w:rPr>
      </w:pPr>
      <w:r>
        <w:rPr>
          <w:rFonts w:ascii="Courier New" w:cs="Courier New" w:eastAsia="Courier New" w:hAnsi="Courier New"/>
          <w:sz w:val="18"/>
          <w:szCs w:val="18"/>
          <w:color w:val="auto"/>
        </w:rPr>
        <w:t>(Date of earliest event reported)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jc w:val="center"/>
        <w:ind w:right="1659"/>
        <w:spacing w:after="0"/>
        <w:rPr>
          <w:sz w:val="20"/>
          <w:szCs w:val="20"/>
          <w:color w:val="auto"/>
        </w:rPr>
      </w:pPr>
      <w:r>
        <w:rPr>
          <w:rFonts w:ascii="Courier New" w:cs="Courier New" w:eastAsia="Courier New" w:hAnsi="Courier New"/>
          <w:sz w:val="18"/>
          <w:szCs w:val="18"/>
          <w:color w:val="auto"/>
        </w:rPr>
        <w:t>PRINCIPAL FINANCIAL GROUP, INC.</w:t>
      </w:r>
    </w:p>
    <w:p>
      <w:pPr>
        <w:jc w:val="center"/>
        <w:ind w:right="1779"/>
        <w:spacing w:after="0" w:line="238" w:lineRule="auto"/>
        <w:rPr>
          <w:sz w:val="20"/>
          <w:szCs w:val="20"/>
          <w:color w:val="auto"/>
        </w:rPr>
      </w:pPr>
      <w:r>
        <w:rPr>
          <w:rFonts w:ascii="Courier New" w:cs="Courier New" w:eastAsia="Courier New" w:hAnsi="Courier New"/>
          <w:sz w:val="18"/>
          <w:szCs w:val="18"/>
          <w:color w:val="auto"/>
        </w:rPr>
        <w:t>(Exact name of registrant as specified in its charter)</w:t>
      </w:r>
    </w:p>
    <w:p>
      <w:pPr>
        <w:spacing w:after="0" w:line="200" w:lineRule="exact"/>
        <w:rPr>
          <w:sz w:val="24"/>
          <w:szCs w:val="24"/>
          <w:color w:val="auto"/>
        </w:rPr>
      </w:pPr>
    </w:p>
    <w:p>
      <w:pPr>
        <w:spacing w:after="0" w:line="204" w:lineRule="exact"/>
        <w:rPr>
          <w:sz w:val="24"/>
          <w:szCs w:val="24"/>
          <w:color w:val="auto"/>
        </w:rPr>
      </w:pPr>
    </w:p>
    <w:p>
      <w:pPr>
        <w:ind w:left="1060"/>
        <w:spacing w:after="0"/>
        <w:tabs>
          <w:tab w:leader="none" w:pos="3680" w:val="left"/>
          <w:tab w:leader="none" w:pos="6000" w:val="left"/>
        </w:tabs>
        <w:rPr>
          <w:sz w:val="20"/>
          <w:szCs w:val="20"/>
          <w:color w:val="auto"/>
        </w:rPr>
      </w:pPr>
      <w:r>
        <w:rPr>
          <w:rFonts w:ascii="Courier New" w:cs="Courier New" w:eastAsia="Courier New" w:hAnsi="Courier New"/>
          <w:sz w:val="18"/>
          <w:szCs w:val="18"/>
          <w:color w:val="auto"/>
        </w:rPr>
        <w:t>Delaware</w:t>
      </w:r>
      <w:r>
        <w:rPr>
          <w:sz w:val="20"/>
          <w:szCs w:val="20"/>
          <w:color w:val="auto"/>
        </w:rPr>
        <w:tab/>
      </w:r>
      <w:r>
        <w:rPr>
          <w:rFonts w:ascii="Courier New" w:cs="Courier New" w:eastAsia="Courier New" w:hAnsi="Courier New"/>
          <w:sz w:val="18"/>
          <w:szCs w:val="18"/>
          <w:color w:val="auto"/>
        </w:rPr>
        <w:t>1-16725</w:t>
      </w:r>
      <w:r>
        <w:rPr>
          <w:sz w:val="20"/>
          <w:szCs w:val="20"/>
          <w:color w:val="auto"/>
        </w:rPr>
        <w:tab/>
      </w:r>
      <w:r>
        <w:rPr>
          <w:rFonts w:ascii="Courier New" w:cs="Courier New" w:eastAsia="Courier New" w:hAnsi="Courier New"/>
          <w:sz w:val="16"/>
          <w:szCs w:val="16"/>
          <w:color w:val="auto"/>
        </w:rPr>
        <w:t>42-1520346</w:t>
      </w:r>
    </w:p>
    <w:p>
      <w:pPr>
        <w:spacing w:after="0"/>
        <w:tabs>
          <w:tab w:leader="none" w:pos="3560" w:val="left"/>
          <w:tab w:leader="none" w:pos="5680" w:val="left"/>
        </w:tabs>
        <w:rPr>
          <w:sz w:val="20"/>
          <w:szCs w:val="20"/>
          <w:color w:val="auto"/>
        </w:rPr>
      </w:pPr>
      <w:r>
        <w:rPr>
          <w:rFonts w:ascii="Courier New" w:cs="Courier New" w:eastAsia="Courier New" w:hAnsi="Courier New"/>
          <w:sz w:val="18"/>
          <w:szCs w:val="18"/>
          <w:color w:val="auto"/>
        </w:rPr>
        <w:t>(State or other jurisdiction</w:t>
      </w:r>
      <w:r>
        <w:rPr>
          <w:sz w:val="20"/>
          <w:szCs w:val="20"/>
          <w:color w:val="auto"/>
        </w:rPr>
        <w:tab/>
      </w:r>
      <w:r>
        <w:rPr>
          <w:rFonts w:ascii="Courier New" w:cs="Courier New" w:eastAsia="Courier New" w:hAnsi="Courier New"/>
          <w:sz w:val="18"/>
          <w:szCs w:val="18"/>
          <w:color w:val="auto"/>
        </w:rPr>
        <w:t>Commission</w:t>
      </w:r>
      <w:r>
        <w:rPr>
          <w:sz w:val="20"/>
          <w:szCs w:val="20"/>
          <w:color w:val="auto"/>
        </w:rPr>
        <w:tab/>
      </w:r>
      <w:r>
        <w:rPr>
          <w:rFonts w:ascii="Courier New" w:cs="Courier New" w:eastAsia="Courier New" w:hAnsi="Courier New"/>
          <w:sz w:val="16"/>
          <w:szCs w:val="16"/>
          <w:color w:val="auto"/>
        </w:rPr>
        <w:t>(I.R.S. Employer</w:t>
      </w:r>
    </w:p>
    <w:p>
      <w:pPr>
        <w:ind w:left="640"/>
        <w:spacing w:after="0"/>
        <w:tabs>
          <w:tab w:leader="none" w:pos="3560" w:val="left"/>
          <w:tab w:leader="none" w:pos="5360" w:val="left"/>
        </w:tabs>
        <w:rPr>
          <w:sz w:val="20"/>
          <w:szCs w:val="20"/>
          <w:color w:val="auto"/>
        </w:rPr>
      </w:pPr>
      <w:r>
        <w:rPr>
          <w:rFonts w:ascii="Courier New" w:cs="Courier New" w:eastAsia="Courier New" w:hAnsi="Courier New"/>
          <w:sz w:val="18"/>
          <w:szCs w:val="18"/>
          <w:color w:val="auto"/>
        </w:rPr>
        <w:t>of incorporation)</w:t>
      </w:r>
      <w:r>
        <w:rPr>
          <w:sz w:val="20"/>
          <w:szCs w:val="20"/>
          <w:color w:val="auto"/>
        </w:rPr>
        <w:tab/>
      </w:r>
      <w:r>
        <w:rPr>
          <w:rFonts w:ascii="Courier New" w:cs="Courier New" w:eastAsia="Courier New" w:hAnsi="Courier New"/>
          <w:sz w:val="18"/>
          <w:szCs w:val="18"/>
          <w:color w:val="auto"/>
        </w:rPr>
        <w:t>file number</w:t>
      </w:r>
      <w:r>
        <w:rPr>
          <w:sz w:val="20"/>
          <w:szCs w:val="20"/>
          <w:color w:val="auto"/>
        </w:rPr>
        <w:tab/>
      </w:r>
      <w:r>
        <w:rPr>
          <w:rFonts w:ascii="Courier New" w:cs="Courier New" w:eastAsia="Courier New" w:hAnsi="Courier New"/>
          <w:sz w:val="16"/>
          <w:szCs w:val="16"/>
          <w:color w:val="auto"/>
        </w:rPr>
        <w:t>Identification Number)</w:t>
      </w:r>
    </w:p>
    <w:p>
      <w:pPr>
        <w:spacing w:after="0" w:line="200" w:lineRule="exact"/>
        <w:rPr>
          <w:sz w:val="24"/>
          <w:szCs w:val="24"/>
          <w:color w:val="auto"/>
        </w:rPr>
      </w:pPr>
    </w:p>
    <w:p>
      <w:pPr>
        <w:spacing w:after="0" w:line="203" w:lineRule="exact"/>
        <w:rPr>
          <w:sz w:val="24"/>
          <w:szCs w:val="24"/>
          <w:color w:val="auto"/>
        </w:rPr>
      </w:pPr>
    </w:p>
    <w:p>
      <w:pPr>
        <w:ind w:left="2220"/>
        <w:spacing w:after="0"/>
        <w:rPr>
          <w:sz w:val="20"/>
          <w:szCs w:val="20"/>
          <w:color w:val="auto"/>
        </w:rPr>
      </w:pPr>
      <w:r>
        <w:rPr>
          <w:rFonts w:ascii="Courier New" w:cs="Courier New" w:eastAsia="Courier New" w:hAnsi="Courier New"/>
          <w:sz w:val="18"/>
          <w:szCs w:val="18"/>
          <w:color w:val="auto"/>
        </w:rPr>
        <w:t>711 High Street, Des Moines, Iowa 50392</w:t>
      </w:r>
    </w:p>
    <w:p>
      <w:pPr>
        <w:ind w:left="2120"/>
        <w:spacing w:after="0" w:line="238" w:lineRule="auto"/>
        <w:rPr>
          <w:sz w:val="20"/>
          <w:szCs w:val="20"/>
          <w:color w:val="auto"/>
        </w:rPr>
      </w:pPr>
      <w:r>
        <w:rPr>
          <w:rFonts w:ascii="Courier New" w:cs="Courier New" w:eastAsia="Courier New" w:hAnsi="Courier New"/>
          <w:sz w:val="18"/>
          <w:szCs w:val="18"/>
          <w:color w:val="auto"/>
        </w:rPr>
        <w:t>(Address of principal executive offices)</w:t>
      </w:r>
    </w:p>
    <w:p>
      <w:pPr>
        <w:spacing w:after="0" w:line="200" w:lineRule="exact"/>
        <w:rPr>
          <w:sz w:val="24"/>
          <w:szCs w:val="24"/>
          <w:color w:val="auto"/>
        </w:rPr>
      </w:pPr>
    </w:p>
    <w:p>
      <w:pPr>
        <w:spacing w:after="0" w:line="204" w:lineRule="exact"/>
        <w:rPr>
          <w:sz w:val="24"/>
          <w:szCs w:val="24"/>
          <w:color w:val="auto"/>
        </w:rPr>
      </w:pPr>
    </w:p>
    <w:p>
      <w:pPr>
        <w:ind w:left="1480"/>
        <w:spacing w:after="0"/>
        <w:rPr>
          <w:sz w:val="20"/>
          <w:szCs w:val="20"/>
          <w:color w:val="auto"/>
        </w:rPr>
      </w:pPr>
      <w:r>
        <w:rPr>
          <w:rFonts w:ascii="Courier New" w:cs="Courier New" w:eastAsia="Courier New" w:hAnsi="Courier New"/>
          <w:sz w:val="18"/>
          <w:szCs w:val="18"/>
          <w:color w:val="auto"/>
        </w:rPr>
        <w:t>(Registrant's telephone number, including area code)</w:t>
      </w:r>
    </w:p>
    <w:p>
      <w:pPr>
        <w:ind w:left="4120" w:hanging="636"/>
        <w:spacing w:after="0" w:line="238" w:lineRule="auto"/>
        <w:tabs>
          <w:tab w:leader="none" w:pos="412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247-5111</w:t>
      </w:r>
    </w:p>
    <w:p>
      <w:pPr>
        <w:spacing w:after="0" w:line="201" w:lineRule="exact"/>
        <w:rPr>
          <w:rFonts w:ascii="Courier New" w:cs="Courier New" w:eastAsia="Courier New" w:hAnsi="Courier New"/>
          <w:sz w:val="18"/>
          <w:szCs w:val="18"/>
          <w:color w:val="auto"/>
        </w:rPr>
      </w:pPr>
    </w:p>
    <w:p>
      <w:pPr>
        <w:ind w:left="328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spacing w:after="0" w:line="200" w:lineRule="exact"/>
        <w:rPr>
          <w:sz w:val="24"/>
          <w:szCs w:val="24"/>
          <w:color w:val="auto"/>
        </w:rPr>
      </w:pPr>
    </w:p>
    <w:p>
      <w:pPr>
        <w:spacing w:after="0" w:line="200" w:lineRule="exact"/>
        <w:rPr>
          <w:sz w:val="24"/>
          <w:szCs w:val="24"/>
          <w:color w:val="auto"/>
        </w:rPr>
      </w:pPr>
    </w:p>
    <w:p>
      <w:pPr>
        <w:spacing w:after="0" w:line="38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7. Exhibits.</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99.1 Press Release of Principal Financial Group, Inc., dated November 30, 2001.</w:t>
      </w:r>
    </w:p>
    <w:p>
      <w:pPr>
        <w:spacing w:after="0" w:line="200" w:lineRule="exact"/>
        <w:rPr>
          <w:sz w:val="24"/>
          <w:szCs w:val="24"/>
          <w:color w:val="auto"/>
        </w:rPr>
      </w:pPr>
    </w:p>
    <w:p>
      <w:pPr>
        <w:spacing w:after="0" w:line="22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9. Regulation FD Disclosure.</w:t>
      </w:r>
    </w:p>
    <w:p>
      <w:pPr>
        <w:spacing w:after="0" w:line="207" w:lineRule="exact"/>
        <w:rPr>
          <w:sz w:val="24"/>
          <w:szCs w:val="24"/>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On November 30, 2001, Principal Financial Group, Inc., a Delaware corporation, issued a press release, a copy of which is attached hereto as Exhibit 99.1 and incorporated herein by reference pursuant to Regulation FD.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SIGNATURE</w:t>
      </w:r>
    </w:p>
    <w:p>
      <w:pPr>
        <w:sectPr>
          <w:pgSz w:w="11900" w:h="16838" w:orient="portrait"/>
          <w:cols w:equalWidth="0" w:num="1">
            <w:col w:w="10219"/>
          </w:cols>
          <w:pgMar w:left="240" w:top="244" w:right="1440" w:bottom="253" w:gutter="0" w:footer="0" w:header="0"/>
        </w:sectPr>
      </w:pPr>
    </w:p>
    <w:p>
      <w:pPr>
        <w:spacing w:after="0" w:line="207" w:lineRule="exact"/>
        <w:rPr>
          <w:sz w:val="24"/>
          <w:szCs w:val="24"/>
          <w:color w:val="auto"/>
        </w:rPr>
      </w:pPr>
    </w:p>
    <w:p>
      <w:pPr>
        <w:jc w:val="both"/>
        <w:spacing w:after="0" w:line="236" w:lineRule="auto"/>
        <w:rPr>
          <w:sz w:val="20"/>
          <w:szCs w:val="20"/>
          <w:color w:val="auto"/>
        </w:rPr>
      </w:pPr>
      <w:r>
        <w:rPr>
          <w:rFonts w:ascii="Courier New" w:cs="Courier New" w:eastAsia="Courier New" w:hAnsi="Courier New"/>
          <w:sz w:val="18"/>
          <w:szCs w:val="18"/>
          <w:color w:val="auto"/>
        </w:rPr>
        <w:t>Pursuant to the requirements of the Securities registrant has duly caused this report to be undersigned thereunto duly authorized.</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ind w:right="1779" w:firstLine="105"/>
        <w:spacing w:after="0" w:line="235" w:lineRule="auto"/>
        <w:rPr>
          <w:sz w:val="20"/>
          <w:szCs w:val="20"/>
          <w:color w:val="auto"/>
        </w:rPr>
      </w:pPr>
      <w:r>
        <w:rPr>
          <w:rFonts w:ascii="Courier New" w:cs="Courier New" w:eastAsia="Courier New" w:hAnsi="Courier New"/>
          <w:sz w:val="18"/>
          <w:szCs w:val="18"/>
          <w:color w:val="auto"/>
        </w:rPr>
        <w:t>Exchange Act of 1934, the signed on its behalf by the</w:t>
      </w:r>
    </w:p>
    <w:p>
      <w:pPr>
        <w:spacing w:after="0" w:line="402" w:lineRule="exact"/>
        <w:rPr>
          <w:sz w:val="24"/>
          <w:szCs w:val="24"/>
          <w:color w:val="auto"/>
        </w:rPr>
      </w:pPr>
    </w:p>
    <w:p>
      <w:pPr>
        <w:sectPr>
          <w:pgSz w:w="11900" w:h="16838" w:orient="portrait"/>
          <w:cols w:equalWidth="0" w:num="2">
            <w:col w:w="5280" w:space="100"/>
            <w:col w:w="4839"/>
          </w:cols>
          <w:pgMar w:left="240" w:top="244" w:right="1440" w:bottom="253" w:gutter="0" w:footer="0" w:header="0"/>
          <w:type w:val="continuous"/>
        </w:sectPr>
      </w:pPr>
    </w:p>
    <w:p>
      <w:pPr>
        <w:spacing w:after="0" w:line="206" w:lineRule="exact"/>
        <w:rPr>
          <w:sz w:val="24"/>
          <w:szCs w:val="24"/>
          <w:color w:val="auto"/>
        </w:rPr>
      </w:pPr>
    </w:p>
    <w:p>
      <w:pPr>
        <w:ind w:left="3060"/>
        <w:spacing w:after="0"/>
        <w:rPr>
          <w:sz w:val="20"/>
          <w:szCs w:val="20"/>
          <w:color w:val="auto"/>
        </w:rPr>
      </w:pPr>
      <w:r>
        <w:rPr>
          <w:rFonts w:ascii="Courier New" w:cs="Courier New" w:eastAsia="Courier New" w:hAnsi="Courier New"/>
          <w:sz w:val="18"/>
          <w:szCs w:val="18"/>
          <w:color w:val="auto"/>
        </w:rPr>
        <w:t>PRINCIPAL FINANCIAL GROUP, INC.</w:t>
      </w:r>
    </w:p>
    <w:p>
      <w:pPr>
        <w:spacing w:after="0" w:line="200" w:lineRule="exact"/>
        <w:rPr>
          <w:sz w:val="24"/>
          <w:szCs w:val="24"/>
          <w:color w:val="auto"/>
        </w:rPr>
      </w:pPr>
    </w:p>
    <w:p>
      <w:pPr>
        <w:spacing w:after="0" w:line="204" w:lineRule="exact"/>
        <w:rPr>
          <w:sz w:val="24"/>
          <w:szCs w:val="24"/>
          <w:color w:val="auto"/>
        </w:rPr>
      </w:pPr>
    </w:p>
    <w:p>
      <w:pPr>
        <w:ind w:left="3060"/>
        <w:spacing w:after="0"/>
        <w:tabs>
          <w:tab w:leader="none" w:pos="36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 Michael H. Gersie</w:t>
      </w:r>
    </w:p>
    <w:p>
      <w:pPr>
        <w:spacing w:after="0" w:line="4" w:lineRule="exact"/>
        <w:rPr>
          <w:sz w:val="24"/>
          <w:szCs w:val="24"/>
          <w:color w:val="auto"/>
        </w:rPr>
      </w:pPr>
    </w:p>
    <w:p>
      <w:pPr>
        <w:ind w:left="37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ind w:left="3060"/>
        <w:spacing w:after="0"/>
        <w:tabs>
          <w:tab w:leader="none" w:pos="388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8"/>
          <w:szCs w:val="18"/>
          <w:color w:val="auto"/>
        </w:rPr>
        <w:t>Michael H. Gersie</w:t>
      </w:r>
    </w:p>
    <w:p>
      <w:pPr>
        <w:ind w:left="3060"/>
        <w:spacing w:after="0"/>
        <w:tabs>
          <w:tab w:leader="none" w:pos="3880" w:val="left"/>
        </w:tabs>
        <w:rPr>
          <w:sz w:val="20"/>
          <w:szCs w:val="20"/>
          <w:color w:val="auto"/>
        </w:rPr>
      </w:pPr>
      <w:r>
        <w:rPr>
          <w:rFonts w:ascii="Courier New" w:cs="Courier New" w:eastAsia="Courier New" w:hAnsi="Courier New"/>
          <w:sz w:val="18"/>
          <w:szCs w:val="18"/>
          <w:color w:val="auto"/>
        </w:rPr>
        <w:t>Title:</w:t>
      </w:r>
      <w:r>
        <w:rPr>
          <w:sz w:val="20"/>
          <w:szCs w:val="20"/>
          <w:color w:val="auto"/>
        </w:rPr>
        <w:tab/>
      </w:r>
      <w:r>
        <w:rPr>
          <w:rFonts w:ascii="Courier New" w:cs="Courier New" w:eastAsia="Courier New" w:hAnsi="Courier New"/>
          <w:sz w:val="16"/>
          <w:szCs w:val="16"/>
          <w:color w:val="auto"/>
        </w:rPr>
        <w:t>Executive Vice President and</w:t>
      </w:r>
    </w:p>
    <w:p>
      <w:pPr>
        <w:ind w:left="3900"/>
        <w:spacing w:after="0"/>
        <w:rPr>
          <w:sz w:val="20"/>
          <w:szCs w:val="20"/>
          <w:color w:val="auto"/>
        </w:rPr>
      </w:pPr>
      <w:r>
        <w:rPr>
          <w:rFonts w:ascii="Courier New" w:cs="Courier New" w:eastAsia="Courier New" w:hAnsi="Courier New"/>
          <w:sz w:val="18"/>
          <w:szCs w:val="18"/>
          <w:color w:val="auto"/>
        </w:rPr>
        <w:t>Chief Financial Officer</w:t>
      </w:r>
    </w:p>
    <w:p>
      <w:pPr>
        <w:sectPr>
          <w:pgSz w:w="11900" w:h="16838" w:orient="portrait"/>
          <w:cols w:equalWidth="0" w:num="1">
            <w:col w:w="10219"/>
          </w:cols>
          <w:pgMar w:left="240" w:top="244" w:right="1440" w:bottom="253" w:gutter="0" w:footer="0" w:header="0"/>
          <w:type w:val="continuous"/>
        </w:sectPr>
      </w:pPr>
    </w:p>
    <w:bookmarkStart w:id="1" w:name="page2"/>
    <w:bookmarkEnd w:id="1"/>
    <w:p>
      <w:pPr>
        <w:spacing w:after="0"/>
        <w:tabs>
          <w:tab w:leader="none" w:pos="72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6"/>
          <w:szCs w:val="16"/>
          <w:color w:val="auto"/>
        </w:rPr>
        <w:t>November 30, 2001</w:t>
      </w:r>
    </w:p>
    <w:p>
      <w:pPr>
        <w:sectPr>
          <w:pgSz w:w="11900" w:h="16838" w:orient="portrait"/>
          <w:cols w:equalWidth="0" w:num="1">
            <w:col w:w="10219"/>
          </w:cols>
          <w:pgMar w:left="240" w:top="136" w:right="1440"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4"/>
        </w:trPr>
        <w:tc>
          <w:tcPr>
            <w:tcW w:w="1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780" w:type="dxa"/>
            <w:vAlign w:val="bottom"/>
          </w:tcPr>
          <w:p>
            <w:pPr>
              <w:ind w:left="2040"/>
              <w:spacing w:after="0"/>
              <w:rPr>
                <w:sz w:val="20"/>
                <w:szCs w:val="20"/>
                <w:color w:val="auto"/>
              </w:rPr>
            </w:pPr>
            <w:r>
              <w:rPr>
                <w:rFonts w:ascii="Courier New" w:cs="Courier New" w:eastAsia="Courier New" w:hAnsi="Courier New"/>
                <w:sz w:val="18"/>
                <w:szCs w:val="18"/>
                <w:color w:val="auto"/>
              </w:rPr>
              <w:t>EXHIBIT INDEX</w:t>
            </w:r>
          </w:p>
        </w:tc>
        <w:tc>
          <w:tcPr>
            <w:tcW w:w="90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405"/>
        </w:trPr>
        <w:tc>
          <w:tcPr>
            <w:tcW w:w="1160" w:type="dxa"/>
            <w:vAlign w:val="bottom"/>
          </w:tcPr>
          <w:p>
            <w:pPr>
              <w:spacing w:after="0"/>
              <w:rPr>
                <w:sz w:val="20"/>
                <w:szCs w:val="20"/>
                <w:color w:val="auto"/>
              </w:rPr>
            </w:pPr>
            <w:r>
              <w:rPr>
                <w:rFonts w:ascii="Courier New" w:cs="Courier New" w:eastAsia="Courier New" w:hAnsi="Courier New"/>
                <w:sz w:val="18"/>
                <w:szCs w:val="18"/>
                <w:color w:val="auto"/>
              </w:rPr>
              <w:t>Exhibit</w:t>
            </w:r>
          </w:p>
        </w:tc>
        <w:tc>
          <w:tcPr>
            <w:tcW w:w="380" w:type="dxa"/>
            <w:vAlign w:val="bottom"/>
          </w:tcPr>
          <w:p>
            <w:pPr>
              <w:spacing w:after="0"/>
              <w:rPr>
                <w:sz w:val="24"/>
                <w:szCs w:val="24"/>
                <w:color w:val="auto"/>
              </w:rPr>
            </w:pPr>
          </w:p>
        </w:tc>
        <w:tc>
          <w:tcPr>
            <w:tcW w:w="4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03"/>
        </w:trPr>
        <w:tc>
          <w:tcPr>
            <w:tcW w:w="1160" w:type="dxa"/>
            <w:vAlign w:val="bottom"/>
          </w:tcPr>
          <w:p>
            <w:pPr>
              <w:spacing w:after="0" w:line="203" w:lineRule="exact"/>
              <w:rPr>
                <w:sz w:val="20"/>
                <w:szCs w:val="20"/>
                <w:color w:val="auto"/>
              </w:rPr>
            </w:pPr>
            <w:r>
              <w:rPr>
                <w:rFonts w:ascii="Courier New" w:cs="Courier New" w:eastAsia="Courier New" w:hAnsi="Courier New"/>
                <w:sz w:val="18"/>
                <w:szCs w:val="18"/>
                <w:color w:val="auto"/>
              </w:rPr>
              <w:t>Number</w:t>
            </w:r>
          </w:p>
        </w:tc>
        <w:tc>
          <w:tcPr>
            <w:tcW w:w="380" w:type="dxa"/>
            <w:vAlign w:val="bottom"/>
          </w:tcPr>
          <w:p>
            <w:pPr>
              <w:spacing w:after="0"/>
              <w:rPr>
                <w:sz w:val="17"/>
                <w:szCs w:val="17"/>
                <w:color w:val="auto"/>
              </w:rPr>
            </w:pPr>
          </w:p>
        </w:tc>
        <w:tc>
          <w:tcPr>
            <w:tcW w:w="47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Exhibit</w:t>
            </w:r>
          </w:p>
        </w:tc>
        <w:tc>
          <w:tcPr>
            <w:tcW w:w="90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203"/>
        </w:trPr>
        <w:tc>
          <w:tcPr>
            <w:tcW w:w="1160" w:type="dxa"/>
            <w:vAlign w:val="bottom"/>
          </w:tcPr>
          <w:p>
            <w:pPr>
              <w:spacing w:after="0" w:line="203" w:lineRule="exact"/>
              <w:rPr>
                <w:sz w:val="20"/>
                <w:szCs w:val="20"/>
                <w:color w:val="auto"/>
              </w:rPr>
            </w:pPr>
            <w:r>
              <w:rPr>
                <w:rFonts w:ascii="Courier New" w:cs="Courier New" w:eastAsia="Courier New" w:hAnsi="Courier New"/>
                <w:sz w:val="18"/>
                <w:szCs w:val="18"/>
                <w:color w:val="auto"/>
              </w:rPr>
              <w:t>- -------</w:t>
            </w:r>
          </w:p>
        </w:tc>
        <w:tc>
          <w:tcPr>
            <w:tcW w:w="380" w:type="dxa"/>
            <w:vAlign w:val="bottom"/>
          </w:tcPr>
          <w:p>
            <w:pPr>
              <w:spacing w:after="0"/>
              <w:rPr>
                <w:sz w:val="17"/>
                <w:szCs w:val="17"/>
                <w:color w:val="auto"/>
              </w:rPr>
            </w:pPr>
          </w:p>
        </w:tc>
        <w:tc>
          <w:tcPr>
            <w:tcW w:w="4780" w:type="dxa"/>
            <w:vAlign w:val="bottom"/>
          </w:tcPr>
          <w:p>
            <w:pPr>
              <w:ind w:left="360"/>
              <w:spacing w:after="0" w:line="203" w:lineRule="exact"/>
              <w:rPr>
                <w:sz w:val="20"/>
                <w:szCs w:val="20"/>
                <w:color w:val="auto"/>
              </w:rPr>
            </w:pPr>
            <w:r>
              <w:rPr>
                <w:rFonts w:ascii="Courier New" w:cs="Courier New" w:eastAsia="Courier New" w:hAnsi="Courier New"/>
                <w:sz w:val="18"/>
                <w:szCs w:val="18"/>
                <w:color w:val="auto"/>
              </w:rPr>
              <w:t>-------</w:t>
            </w:r>
          </w:p>
        </w:tc>
        <w:tc>
          <w:tcPr>
            <w:tcW w:w="90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203"/>
        </w:trPr>
        <w:tc>
          <w:tcPr>
            <w:tcW w:w="1160" w:type="dxa"/>
            <w:vAlign w:val="bottom"/>
          </w:tcPr>
          <w:p>
            <w:pPr>
              <w:spacing w:after="0" w:line="203" w:lineRule="exact"/>
              <w:rPr>
                <w:sz w:val="20"/>
                <w:szCs w:val="20"/>
                <w:color w:val="auto"/>
              </w:rPr>
            </w:pPr>
            <w:r>
              <w:rPr>
                <w:rFonts w:ascii="Courier New" w:cs="Courier New" w:eastAsia="Courier New" w:hAnsi="Courier New"/>
                <w:sz w:val="18"/>
                <w:szCs w:val="18"/>
                <w:color w:val="auto"/>
              </w:rPr>
              <w:t>99.1</w:t>
            </w:r>
          </w:p>
        </w:tc>
        <w:tc>
          <w:tcPr>
            <w:tcW w:w="380" w:type="dxa"/>
            <w:vAlign w:val="bottom"/>
          </w:tcPr>
          <w:p>
            <w:pPr>
              <w:spacing w:after="0"/>
              <w:rPr>
                <w:sz w:val="17"/>
                <w:szCs w:val="17"/>
                <w:color w:val="auto"/>
              </w:rPr>
            </w:pPr>
          </w:p>
        </w:tc>
        <w:tc>
          <w:tcPr>
            <w:tcW w:w="47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Press Release, dated November 30, 2001.</w:t>
            </w:r>
          </w:p>
        </w:tc>
        <w:tc>
          <w:tcPr>
            <w:tcW w:w="90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608"/>
        </w:trPr>
        <w:tc>
          <w:tcPr>
            <w:tcW w:w="1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780" w:type="dxa"/>
            <w:vAlign w:val="bottom"/>
          </w:tcPr>
          <w:p>
            <w:pPr>
              <w:ind w:left="1740"/>
              <w:spacing w:after="0"/>
              <w:rPr>
                <w:sz w:val="20"/>
                <w:szCs w:val="20"/>
                <w:color w:val="auto"/>
              </w:rPr>
            </w:pPr>
            <w:r>
              <w:rPr>
                <w:rFonts w:ascii="Courier New" w:cs="Courier New" w:eastAsia="Courier New" w:hAnsi="Courier New"/>
                <w:sz w:val="18"/>
                <w:szCs w:val="18"/>
                <w:color w:val="auto"/>
              </w:rPr>
              <w:t>Exhibit Number 99.1</w:t>
            </w:r>
          </w:p>
        </w:tc>
        <w:tc>
          <w:tcPr>
            <w:tcW w:w="9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405"/>
        </w:trPr>
        <w:tc>
          <w:tcPr>
            <w:tcW w:w="1160" w:type="dxa"/>
            <w:vAlign w:val="bottom"/>
          </w:tcPr>
          <w:p>
            <w:pPr>
              <w:spacing w:after="0"/>
              <w:rPr>
                <w:sz w:val="20"/>
                <w:szCs w:val="20"/>
                <w:color w:val="auto"/>
              </w:rPr>
            </w:pPr>
            <w:r>
              <w:rPr>
                <w:rFonts w:ascii="Courier New" w:cs="Courier New" w:eastAsia="Courier New" w:hAnsi="Courier New"/>
                <w:sz w:val="18"/>
                <w:szCs w:val="18"/>
                <w:color w:val="auto"/>
              </w:rPr>
              <w:t>RELEASE:</w:t>
            </w:r>
          </w:p>
        </w:tc>
        <w:tc>
          <w:tcPr>
            <w:tcW w:w="380" w:type="dxa"/>
            <w:vAlign w:val="bottom"/>
          </w:tcPr>
          <w:p>
            <w:pPr>
              <w:spacing w:after="0"/>
              <w:rPr>
                <w:sz w:val="24"/>
                <w:szCs w:val="24"/>
                <w:color w:val="auto"/>
              </w:rPr>
            </w:pPr>
          </w:p>
        </w:tc>
        <w:tc>
          <w:tcPr>
            <w:tcW w:w="4780" w:type="dxa"/>
            <w:vAlign w:val="bottom"/>
          </w:tcPr>
          <w:p>
            <w:pPr>
              <w:ind w:left="160"/>
              <w:spacing w:after="0"/>
              <w:rPr>
                <w:sz w:val="20"/>
                <w:szCs w:val="20"/>
                <w:color w:val="auto"/>
              </w:rPr>
            </w:pPr>
            <w:r>
              <w:rPr>
                <w:rFonts w:ascii="Courier New" w:cs="Courier New" w:eastAsia="Courier New" w:hAnsi="Courier New"/>
                <w:sz w:val="18"/>
                <w:szCs w:val="18"/>
                <w:color w:val="auto"/>
              </w:rPr>
              <w:t>On receipt</w:t>
            </w:r>
          </w:p>
        </w:tc>
        <w:tc>
          <w:tcPr>
            <w:tcW w:w="9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03"/>
        </w:trPr>
        <w:tc>
          <w:tcPr>
            <w:tcW w:w="722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MEDIA CONTACTS: Jeff Rader, 515-247-7883, rader.jeff@principal.com</w:t>
            </w:r>
          </w:p>
        </w:tc>
        <w:tc>
          <w:tcPr>
            <w:tcW w:w="1220" w:type="dxa"/>
            <w:vAlign w:val="bottom"/>
          </w:tcPr>
          <w:p>
            <w:pPr>
              <w:spacing w:after="0"/>
              <w:rPr>
                <w:sz w:val="17"/>
                <w:szCs w:val="17"/>
                <w:color w:val="auto"/>
              </w:rPr>
            </w:pPr>
          </w:p>
        </w:tc>
      </w:tr>
      <w:tr>
        <w:trPr>
          <w:trHeight w:val="203"/>
        </w:trPr>
        <w:tc>
          <w:tcPr>
            <w:tcW w:w="1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680" w:type="dxa"/>
            <w:vAlign w:val="bottom"/>
            <w:gridSpan w:val="2"/>
          </w:tcPr>
          <w:p>
            <w:pPr>
              <w:ind w:left="160"/>
              <w:spacing w:after="0" w:line="203" w:lineRule="exact"/>
              <w:rPr>
                <w:sz w:val="20"/>
                <w:szCs w:val="20"/>
                <w:color w:val="auto"/>
              </w:rPr>
            </w:pPr>
            <w:r>
              <w:rPr>
                <w:rFonts w:ascii="Courier New" w:cs="Courier New" w:eastAsia="Courier New" w:hAnsi="Courier New"/>
                <w:sz w:val="18"/>
                <w:szCs w:val="18"/>
                <w:color w:val="auto"/>
              </w:rPr>
              <w:t>Eva Quinn, 515-247-7468, quinn.eva@principal.com</w:t>
            </w:r>
          </w:p>
        </w:tc>
        <w:tc>
          <w:tcPr>
            <w:tcW w:w="1220" w:type="dxa"/>
            <w:vAlign w:val="bottom"/>
          </w:tcPr>
          <w:p>
            <w:pPr>
              <w:spacing w:after="0"/>
              <w:rPr>
                <w:sz w:val="17"/>
                <w:szCs w:val="17"/>
                <w:color w:val="auto"/>
              </w:rPr>
            </w:pPr>
          </w:p>
        </w:tc>
      </w:tr>
      <w:tr>
        <w:trPr>
          <w:trHeight w:val="810"/>
        </w:trPr>
        <w:tc>
          <w:tcPr>
            <w:tcW w:w="1160" w:type="dxa"/>
            <w:vAlign w:val="bottom"/>
          </w:tcPr>
          <w:p>
            <w:pPr>
              <w:spacing w:after="0"/>
              <w:rPr>
                <w:sz w:val="24"/>
                <w:szCs w:val="24"/>
                <w:color w:val="auto"/>
              </w:rPr>
            </w:pPr>
          </w:p>
        </w:tc>
        <w:tc>
          <w:tcPr>
            <w:tcW w:w="6060" w:type="dxa"/>
            <w:vAlign w:val="bottom"/>
            <w:gridSpan w:val="3"/>
          </w:tcPr>
          <w:p>
            <w:pPr>
              <w:jc w:val="right"/>
              <w:spacing w:after="0"/>
              <w:rPr>
                <w:sz w:val="20"/>
                <w:szCs w:val="20"/>
                <w:color w:val="auto"/>
              </w:rPr>
            </w:pPr>
            <w:r>
              <w:rPr>
                <w:rFonts w:ascii="Courier New" w:cs="Courier New" w:eastAsia="Courier New" w:hAnsi="Courier New"/>
                <w:sz w:val="18"/>
                <w:szCs w:val="18"/>
                <w:color w:val="auto"/>
                <w:w w:val="99"/>
              </w:rPr>
              <w:t>PRINCIPAL FINANCIAL GROUP, INC. REVIEWING ENRON EXPOSURE</w:t>
            </w:r>
          </w:p>
        </w:tc>
        <w:tc>
          <w:tcPr>
            <w:tcW w:w="1220" w:type="dxa"/>
            <w:vAlign w:val="bottom"/>
          </w:tcPr>
          <w:p>
            <w:pPr>
              <w:spacing w:after="0"/>
              <w:rPr>
                <w:sz w:val="24"/>
                <w:szCs w:val="24"/>
                <w:color w:val="auto"/>
              </w:rPr>
            </w:pPr>
          </w:p>
        </w:tc>
      </w:tr>
      <w:tr>
        <w:trPr>
          <w:trHeight w:val="405"/>
        </w:trPr>
        <w:tc>
          <w:tcPr>
            <w:tcW w:w="1160" w:type="dxa"/>
            <w:vAlign w:val="bottom"/>
          </w:tcPr>
          <w:p>
            <w:pPr>
              <w:spacing w:after="0"/>
              <w:rPr>
                <w:sz w:val="20"/>
                <w:szCs w:val="20"/>
                <w:color w:val="auto"/>
              </w:rPr>
            </w:pPr>
            <w:r>
              <w:rPr>
                <w:rFonts w:ascii="Courier New" w:cs="Courier New" w:eastAsia="Courier New" w:hAnsi="Courier New"/>
                <w:sz w:val="18"/>
                <w:szCs w:val="18"/>
                <w:color w:val="auto"/>
                <w:w w:val="95"/>
              </w:rPr>
              <w:t>Des Moines,</w:t>
            </w:r>
          </w:p>
        </w:tc>
        <w:tc>
          <w:tcPr>
            <w:tcW w:w="5160" w:type="dxa"/>
            <w:vAlign w:val="bottom"/>
            <w:gridSpan w:val="2"/>
          </w:tcPr>
          <w:p>
            <w:pPr>
              <w:ind w:left="220"/>
              <w:spacing w:after="0"/>
              <w:rPr>
                <w:sz w:val="20"/>
                <w:szCs w:val="20"/>
                <w:color w:val="auto"/>
              </w:rPr>
            </w:pPr>
            <w:r>
              <w:rPr>
                <w:rFonts w:ascii="Courier New" w:cs="Courier New" w:eastAsia="Courier New" w:hAnsi="Courier New"/>
                <w:sz w:val="18"/>
                <w:szCs w:val="18"/>
                <w:color w:val="auto"/>
                <w:w w:val="99"/>
              </w:rPr>
              <w:t>IA (November 30, 2001) -- Principal  Financial</w:t>
            </w:r>
          </w:p>
        </w:tc>
        <w:tc>
          <w:tcPr>
            <w:tcW w:w="900" w:type="dxa"/>
            <w:vAlign w:val="bottom"/>
          </w:tcPr>
          <w:p>
            <w:pPr>
              <w:jc w:val="right"/>
              <w:ind w:right="72"/>
              <w:spacing w:after="0"/>
              <w:rPr>
                <w:sz w:val="20"/>
                <w:szCs w:val="20"/>
                <w:color w:val="auto"/>
              </w:rPr>
            </w:pPr>
            <w:r>
              <w:rPr>
                <w:rFonts w:ascii="Courier New" w:cs="Courier New" w:eastAsia="Courier New" w:hAnsi="Courier New"/>
                <w:sz w:val="18"/>
                <w:szCs w:val="18"/>
                <w:color w:val="auto"/>
              </w:rPr>
              <w:t>Group,</w:t>
            </w:r>
          </w:p>
        </w:tc>
        <w:tc>
          <w:tcPr>
            <w:tcW w:w="1220" w:type="dxa"/>
            <w:vAlign w:val="bottom"/>
          </w:tcPr>
          <w:p>
            <w:pPr>
              <w:jc w:val="right"/>
              <w:spacing w:after="0"/>
              <w:rPr>
                <w:sz w:val="20"/>
                <w:szCs w:val="20"/>
                <w:color w:val="auto"/>
              </w:rPr>
            </w:pPr>
            <w:r>
              <w:rPr>
                <w:rFonts w:ascii="Courier New" w:cs="Courier New" w:eastAsia="Courier New" w:hAnsi="Courier New"/>
                <w:sz w:val="18"/>
                <w:szCs w:val="18"/>
                <w:color w:val="auto"/>
              </w:rPr>
              <w:t>Inc. (NYSE:</w:t>
            </w:r>
          </w:p>
        </w:tc>
      </w:tr>
      <w:tr>
        <w:trPr>
          <w:trHeight w:val="203"/>
        </w:trPr>
        <w:tc>
          <w:tcPr>
            <w:tcW w:w="154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PFG) announced</w:t>
            </w:r>
          </w:p>
        </w:tc>
        <w:tc>
          <w:tcPr>
            <w:tcW w:w="6900" w:type="dxa"/>
            <w:vAlign w:val="bottom"/>
            <w:gridSpan w:val="3"/>
          </w:tcPr>
          <w:p>
            <w:pPr>
              <w:ind w:left="160"/>
              <w:spacing w:after="0" w:line="203" w:lineRule="exact"/>
              <w:rPr>
                <w:sz w:val="20"/>
                <w:szCs w:val="20"/>
                <w:color w:val="auto"/>
              </w:rPr>
            </w:pPr>
            <w:r>
              <w:rPr>
                <w:rFonts w:ascii="Courier New" w:cs="Courier New" w:eastAsia="Courier New" w:hAnsi="Courier New"/>
                <w:sz w:val="18"/>
                <w:szCs w:val="18"/>
                <w:color w:val="auto"/>
                <w:w w:val="97"/>
              </w:rPr>
              <w:t>today that it is reviewing its exposure to Enron.  The amount of</w:t>
            </w:r>
          </w:p>
        </w:tc>
      </w:tr>
      <w:tr>
        <w:trPr>
          <w:trHeight w:val="203"/>
        </w:trPr>
        <w:tc>
          <w:tcPr>
            <w:tcW w:w="632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w w:val="98"/>
              </w:rPr>
              <w:t>exposure to Enron held by The Principal(R) is approximately</w:t>
            </w:r>
          </w:p>
        </w:tc>
        <w:tc>
          <w:tcPr>
            <w:tcW w:w="21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$171 million,  with</w:t>
            </w:r>
          </w:p>
        </w:tc>
      </w:tr>
      <w:tr>
        <w:trPr>
          <w:trHeight w:val="203"/>
        </w:trPr>
        <w:tc>
          <w:tcPr>
            <w:tcW w:w="154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approximately</w:t>
            </w:r>
          </w:p>
        </w:tc>
        <w:tc>
          <w:tcPr>
            <w:tcW w:w="69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8"/>
              </w:rPr>
              <w:t>$92 million of that amount in secured  issuances of Enron-related</w:t>
            </w:r>
          </w:p>
        </w:tc>
      </w:tr>
      <w:tr>
        <w:trPr>
          <w:trHeight w:val="203"/>
        </w:trPr>
        <w:tc>
          <w:tcPr>
            <w:tcW w:w="1160" w:type="dxa"/>
            <w:vAlign w:val="bottom"/>
          </w:tcPr>
          <w:p>
            <w:pPr>
              <w:spacing w:after="0" w:line="203" w:lineRule="exact"/>
              <w:rPr>
                <w:sz w:val="20"/>
                <w:szCs w:val="20"/>
                <w:color w:val="auto"/>
              </w:rPr>
            </w:pPr>
            <w:r>
              <w:rPr>
                <w:rFonts w:ascii="Courier New" w:cs="Courier New" w:eastAsia="Courier New" w:hAnsi="Courier New"/>
                <w:sz w:val="18"/>
                <w:szCs w:val="18"/>
                <w:color w:val="auto"/>
              </w:rPr>
              <w:t>entities.</w:t>
            </w:r>
          </w:p>
        </w:tc>
        <w:tc>
          <w:tcPr>
            <w:tcW w:w="606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7"/>
              </w:rPr>
              <w:t>The Principal  expects to take a write-down in the fourth</w:t>
            </w:r>
          </w:p>
        </w:tc>
        <w:tc>
          <w:tcPr>
            <w:tcW w:w="1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quarter of</w:t>
            </w:r>
          </w:p>
        </w:tc>
      </w:tr>
    </w:tbl>
    <w:p>
      <w:pPr>
        <w:spacing w:after="0" w:line="4"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2001 related to Enron exposure. The company is working to determine actual loss, but cannot at this time provide an estimate of the impairment.</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Principal is also reviewing additional exposure of $50 million associated with investments in Enron-related entities Florida Gas Transmission Co., Centragas Project and Portland General Electric. However, The Principal does not expect any material write-down associated with these investments.</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Forward looking and cautionary statements</w:t>
      </w:r>
    </w:p>
    <w:p>
      <w:pPr>
        <w:spacing w:after="0" w:line="207"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This release contains certain statements which are not historical facts and which constitute forward-looking statements within the meaning of the Private Securities Litigation Reform Act of 1995, including, without limitation, statements as to sales targets, sales and earnings trends, and management's beliefs, expectations, goals and opinions. These statements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registration statement on Form S-1 filed by the company with the Securities and Exchange Commission. These risks and uncertainties include, without limitation: competitive factors; volatility of financial markets; decrease in ratings; interest rate changes; inability to attract and retain sales representatives; international business risks; foreign currency exchange rate fluctuations; and investment portfolio risks.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About the Principal Financial Group</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Principal Financial Group(R) (www.principal.com) is a leader in offering businesses, individuals and institutional clients a wide range of financial products and services, including retirement and investment services, life and health insurance and mortgage banking through its diverse family of financial services companies. More employers choose the Principal Financial Group (The Principal (R))(1) for their 401(k) plans than any other bank, mutual fund, or insurance company in the United States(2). Its flagship and largest member, Principal Life Insurance Company, was founded in 1879. A member of the Fortune 500, the Principal Financial Group has $112.3 billion in assets under management(3) and serves some 13 million customers worldwide from offices in Asia, Australia, Europe, Latin America and the United States.</w:t>
      </w:r>
    </w:p>
    <w:p>
      <w:pPr>
        <w:spacing w:after="0" w:line="21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 --------</w:t>
      </w:r>
    </w:p>
    <w:p>
      <w:pPr>
        <w:spacing w:after="0" w:line="207" w:lineRule="exact"/>
        <w:rPr>
          <w:sz w:val="20"/>
          <w:szCs w:val="20"/>
          <w:color w:val="auto"/>
        </w:rPr>
      </w:pPr>
    </w:p>
    <w:p>
      <w:pPr>
        <w:ind w:left="540" w:right="1779" w:hanging="532"/>
        <w:spacing w:after="0" w:line="235" w:lineRule="auto"/>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Principal" is a registered trademark referring to the Principal Financial Group.</w:t>
      </w:r>
    </w:p>
    <w:p>
      <w:pPr>
        <w:spacing w:after="0" w:line="5"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CFO Magazine, April/May 2001, based on total plans served in 2000 by insurance companies, banks and investment firms.</w:t>
      </w:r>
    </w:p>
    <w:p>
      <w:pPr>
        <w:spacing w:after="0" w:line="1" w:lineRule="exact"/>
        <w:rPr>
          <w:rFonts w:ascii="Courier New" w:cs="Courier New" w:eastAsia="Courier New" w:hAnsi="Courier New"/>
          <w:sz w:val="18"/>
          <w:szCs w:val="18"/>
          <w:color w:val="auto"/>
        </w:rPr>
      </w:pPr>
    </w:p>
    <w:p>
      <w:pPr>
        <w:ind w:left="540" w:hanging="532"/>
        <w:spacing w:after="0" w:line="238" w:lineRule="auto"/>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As of September 30, 2001.</w:t>
      </w:r>
    </w:p>
    <w:sectPr>
      <w:pgSz w:w="11900" w:h="16838" w:orient="portrait"/>
      <w:cols w:equalWidth="0" w:num="1">
        <w:col w:w="10219"/>
      </w:cols>
      <w:pgMar w:left="240" w:top="919" w:right="1440" w:bottom="97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15"/>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2020-02-16T18:35:09Z</dcterms:created>
  <dcterms:modified xsi:type="dcterms:W3CDTF">2020-02-16T18:35:09Z</dcterms:modified>
</cp:coreProperties>
</file>