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22820" cy="50425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5042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80"/>
          </w:cols>
          <w:pgMar w:left="240" w:top="226" w:right="15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Tallett Elizabeth E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0" w:type="dxa"/>
            <w:vAlign w:val="bottom"/>
            <w:gridSpan w:val="9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gridSpan w:val="6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restart"/>
          </w:tcPr>
          <w:p>
            <w:pPr>
              <w:ind w:left="2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X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]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vMerge w:val="restart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</w:tcPr>
          <w:p>
            <w:pPr>
              <w:ind w:left="6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2C2C2C"/>
            </w:tcBorders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3. Date of Earliest Transaction (Month/Day/Year)</w:t>
            </w: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30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711 HIGH STREET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80" w:type="dxa"/>
            <w:vAlign w:val="bottom"/>
            <w:gridSpan w:val="5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09/28/2018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2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10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2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80" w:type="dxa"/>
            <w:vAlign w:val="bottom"/>
            <w:gridSpan w:val="9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gridSpan w:val="6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0"/>
              </w:rPr>
              <w:t>Person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940" w:type="dxa"/>
            <w:vAlign w:val="bottom"/>
            <w:tcBorders>
              <w:top w:val="single" w:sz="8" w:color="2C2C2C"/>
            </w:tcBorders>
            <w:gridSpan w:val="21"/>
          </w:tcPr>
          <w:p>
            <w:pPr>
              <w:jc w:val="right"/>
              <w:ind w:right="5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40" w:type="dxa"/>
            <w:vAlign w:val="bottom"/>
            <w:gridSpan w:val="5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gridSpan w:val="7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8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00" w:type="dxa"/>
            <w:vAlign w:val="bottom"/>
            <w:gridSpan w:val="7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Disposed Of (D) (Instr. 3, 4 and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gridSpan w:val="5"/>
          </w:tcPr>
          <w:p>
            <w:pPr>
              <w:ind w:left="8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4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3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3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  <w:vMerge w:val="restart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Price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jc w:val="center"/>
              <w:ind w:left="6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09/28/2018</w:t>
            </w: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453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spacing w:after="0" w:line="3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5"/>
                <w:szCs w:val="35"/>
                <w:color w:val="000000"/>
                <w:w w:val="96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5"/>
                <w:szCs w:val="35"/>
                <w:color w:val="0000FF"/>
                <w:w w:val="96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96"/>
              </w:rPr>
              <w:t>(1)</w:t>
            </w: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3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52,660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30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60" w:type="dxa"/>
            <w:vAlign w:val="bottom"/>
            <w:gridSpan w:val="16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62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4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80" w:type="dxa"/>
            <w:vAlign w:val="bottom"/>
            <w:gridSpan w:val="3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4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80" w:type="dxa"/>
            <w:vAlign w:val="bottom"/>
            <w:gridSpan w:val="3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40" w:type="dxa"/>
            <w:vAlign w:val="bottom"/>
            <w:gridSpan w:val="3"/>
          </w:tcPr>
          <w:p>
            <w:pPr>
              <w:jc w:val="center"/>
              <w:ind w:righ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8)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6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(Instr. 3 and 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Exercisable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Phantom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gridSpan w:val="3"/>
            <w:vMerge w:val="restart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62.8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restart"/>
          </w:tcPr>
          <w:p>
            <w:pPr>
              <w:jc w:val="right"/>
              <w:ind w:right="112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09/28/2018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  <w:vMerge w:val="restart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840" w:type="dxa"/>
            <w:vAlign w:val="bottom"/>
            <w:vMerge w:val="restart"/>
          </w:tcPr>
          <w:p>
            <w:pPr>
              <w:ind w:left="1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62.8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restart"/>
          </w:tcPr>
          <w:p>
            <w:pPr>
              <w:jc w:val="right"/>
              <w:ind w:right="17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6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  <w:w w:val="96"/>
              </w:rPr>
              <w:t>58.59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ind w:left="2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5"/>
              </w:rPr>
              <w:t>7,002.1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Units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Grant of restricted stock units.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units convert to common stock on a one-for-one basis.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The reported phantom stock units were acquired pursuant to the Principal Deferred Compensation Plan for Non-Employee Directors and will be settled on the reporting person's retirement.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98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7"/>
        </w:trPr>
        <w:tc>
          <w:tcPr>
            <w:tcW w:w="2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Patrick A. Kirchner, by Power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10/02/2018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20" w:type="dxa"/>
            <w:vAlign w:val="bottom"/>
            <w:gridSpan w:val="3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of Attorney</w:t>
            </w:r>
          </w:p>
        </w:tc>
        <w:tc>
          <w:tcPr>
            <w:tcW w:w="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8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2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66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00"/>
      </w:cols>
      <w:pgMar w:left="240" w:top="226" w:right="1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192460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2020-01-11T19:08:44Z</dcterms:created>
  <dcterms:modified xsi:type="dcterms:W3CDTF">2020-01-11T19:08:44Z</dcterms:modified>
</cp:coreProperties>
</file>