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Arial" w:cs="Arial" w:eastAsia="Arial" w:hAnsi="Arial"/>
          <w:sz w:val="18"/>
          <w:szCs w:val="18"/>
          <w:color w:val="auto"/>
        </w:rPr>
        <w:t>Use these links to rapidly review the document</w:t>
      </w:r>
    </w:p>
    <w:p>
      <w:pPr>
        <w:spacing w:after="0" w:line="14" w:lineRule="exact"/>
        <w:rPr>
          <w:sz w:val="24"/>
          <w:szCs w:val="24"/>
          <w:color w:val="auto"/>
        </w:rPr>
      </w:pPr>
    </w:p>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rPr>
          <w:rFonts w:ascii="Arial" w:cs="Arial" w:eastAsia="Arial" w:hAnsi="Arial"/>
          <w:sz w:val="18"/>
          <w:szCs w:val="18"/>
          <w:u w:val="single" w:color="auto"/>
          <w:color w:val="0000EE"/>
        </w:rPr>
      </w:pPr>
      <w:hyperlink w:anchor="page27">
        <w:r>
          <w:rPr>
            <w:rFonts w:ascii="Arial" w:cs="Arial" w:eastAsia="Arial" w:hAnsi="Arial"/>
            <w:sz w:val="18"/>
            <w:szCs w:val="18"/>
            <w:u w:val="single" w:color="auto"/>
            <w:color w:val="0000EE"/>
          </w:rPr>
          <w:t>Executive Compensation</w:t>
        </w:r>
      </w:hyperlink>
    </w:p>
    <w:p>
      <w:pPr>
        <w:spacing w:after="0" w:line="188" w:lineRule="exact"/>
        <w:rPr>
          <w:sz w:val="24"/>
          <w:szCs w:val="24"/>
          <w:color w:val="auto"/>
        </w:rPr>
      </w:pPr>
    </w:p>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4"/>
          <w:szCs w:val="24"/>
          <w:color w:val="auto"/>
        </w:rPr>
      </w:pPr>
    </w:p>
    <w:p>
      <w:pPr>
        <w:jc w:val="center"/>
        <w:ind w:right="-1220"/>
        <w:spacing w:after="0"/>
        <w:rPr>
          <w:sz w:val="20"/>
          <w:szCs w:val="20"/>
          <w:color w:val="auto"/>
        </w:rPr>
      </w:pPr>
      <w:r>
        <w:rPr>
          <w:rFonts w:ascii="Arial" w:cs="Arial" w:eastAsia="Arial" w:hAnsi="Arial"/>
          <w:sz w:val="15"/>
          <w:szCs w:val="15"/>
          <w:b w:val="1"/>
          <w:bCs w:val="1"/>
          <w:color w:val="7B7C80"/>
        </w:rPr>
        <w:t>UNITED STATES</w:t>
      </w:r>
    </w:p>
    <w:p>
      <w:pPr>
        <w:spacing w:after="0" w:line="17" w:lineRule="exact"/>
        <w:rPr>
          <w:sz w:val="24"/>
          <w:szCs w:val="24"/>
          <w:color w:val="auto"/>
        </w:rPr>
      </w:pPr>
    </w:p>
    <w:p>
      <w:pPr>
        <w:jc w:val="center"/>
        <w:ind w:right="-1220"/>
        <w:spacing w:after="0"/>
        <w:rPr>
          <w:sz w:val="20"/>
          <w:szCs w:val="20"/>
          <w:color w:val="auto"/>
        </w:rPr>
      </w:pPr>
      <w:r>
        <w:rPr>
          <w:rFonts w:ascii="Arial" w:cs="Arial" w:eastAsia="Arial" w:hAnsi="Arial"/>
          <w:sz w:val="14"/>
          <w:szCs w:val="14"/>
          <w:b w:val="1"/>
          <w:bCs w:val="1"/>
          <w:color w:val="7B7C80"/>
        </w:rPr>
        <w:t>SECURITIES AND EXCHANGE COMMISSION</w:t>
      </w:r>
    </w:p>
    <w:p>
      <w:pPr>
        <w:spacing w:after="0" w:line="11" w:lineRule="exact"/>
        <w:rPr>
          <w:sz w:val="24"/>
          <w:szCs w:val="24"/>
          <w:color w:val="auto"/>
        </w:rPr>
      </w:pPr>
    </w:p>
    <w:p>
      <w:pPr>
        <w:jc w:val="center"/>
        <w:ind w:right="-1220"/>
        <w:spacing w:after="0"/>
        <w:rPr>
          <w:sz w:val="20"/>
          <w:szCs w:val="20"/>
          <w:color w:val="auto"/>
        </w:rPr>
      </w:pPr>
      <w:r>
        <w:rPr>
          <w:rFonts w:ascii="Arial" w:cs="Arial" w:eastAsia="Arial" w:hAnsi="Arial"/>
          <w:sz w:val="15"/>
          <w:szCs w:val="15"/>
          <w:b w:val="1"/>
          <w:bCs w:val="1"/>
          <w:color w:val="7B7C80"/>
        </w:rPr>
        <w:t>Washington, D.C. 20549</w:t>
      </w:r>
    </w:p>
    <w:p>
      <w:pPr>
        <w:spacing w:after="0" w:line="151" w:lineRule="exact"/>
        <w:rPr>
          <w:sz w:val="24"/>
          <w:szCs w:val="24"/>
          <w:color w:val="auto"/>
        </w:rPr>
      </w:pPr>
    </w:p>
    <w:p>
      <w:pPr>
        <w:ind w:left="4920"/>
        <w:spacing w:after="0"/>
        <w:rPr>
          <w:sz w:val="20"/>
          <w:szCs w:val="20"/>
          <w:color w:val="auto"/>
        </w:rPr>
      </w:pPr>
      <w:r>
        <w:rPr>
          <w:rFonts w:ascii="Arial" w:cs="Arial" w:eastAsia="Arial" w:hAnsi="Arial"/>
          <w:sz w:val="21"/>
          <w:szCs w:val="21"/>
          <w:b w:val="1"/>
          <w:bCs w:val="1"/>
          <w:color w:val="7B7C80"/>
        </w:rPr>
        <w:t>SCHEDULE 14A</w:t>
      </w:r>
    </w:p>
    <w:p>
      <w:pPr>
        <w:sectPr>
          <w:pgSz w:w="11900" w:h="16838" w:orient="portrait"/>
          <w:cols w:equalWidth="0" w:num="1">
            <w:col w:w="10219"/>
          </w:cols>
          <w:pgMar w:left="240" w:top="602" w:right="1440" w:bottom="1440" w:gutter="0" w:footer="0" w:header="0"/>
        </w:sectPr>
      </w:pPr>
    </w:p>
    <w:p>
      <w:pPr>
        <w:spacing w:after="0" w:line="214" w:lineRule="exact"/>
        <w:rPr>
          <w:sz w:val="24"/>
          <w:szCs w:val="24"/>
          <w:color w:val="auto"/>
        </w:rPr>
      </w:pPr>
    </w:p>
    <w:p>
      <w:pPr>
        <w:ind w:left="4220"/>
        <w:spacing w:after="0"/>
        <w:rPr>
          <w:sz w:val="20"/>
          <w:szCs w:val="20"/>
          <w:color w:val="auto"/>
        </w:rPr>
      </w:pPr>
      <w:r>
        <w:rPr>
          <w:rFonts w:ascii="Arial" w:cs="Arial" w:eastAsia="Arial" w:hAnsi="Arial"/>
          <w:sz w:val="14"/>
          <w:szCs w:val="14"/>
          <w:color w:val="7B7C80"/>
        </w:rPr>
        <w:t>Proxy Statement Pursuant to Section 14(a) of</w:t>
      </w:r>
    </w:p>
    <w:p>
      <w:pPr>
        <w:spacing w:after="0" w:line="11" w:lineRule="exact"/>
        <w:rPr>
          <w:sz w:val="24"/>
          <w:szCs w:val="24"/>
          <w:color w:val="auto"/>
        </w:rPr>
      </w:pPr>
    </w:p>
    <w:p>
      <w:pPr>
        <w:ind w:left="3660"/>
        <w:spacing w:after="0"/>
        <w:rPr>
          <w:sz w:val="20"/>
          <w:szCs w:val="20"/>
          <w:color w:val="auto"/>
        </w:rPr>
      </w:pPr>
      <w:r>
        <w:rPr>
          <w:rFonts w:ascii="Arial" w:cs="Arial" w:eastAsia="Arial" w:hAnsi="Arial"/>
          <w:sz w:val="14"/>
          <w:szCs w:val="14"/>
          <w:color w:val="7B7C80"/>
        </w:rPr>
        <w:t>the Securities Exchange Act of 1934 (Amendment No.</w:t>
      </w:r>
    </w:p>
    <w:p>
      <w:pPr>
        <w:spacing w:after="0" w:line="20" w:lineRule="exact"/>
        <w:rPr>
          <w:sz w:val="24"/>
          <w:szCs w:val="24"/>
          <w:color w:val="auto"/>
        </w:rPr>
      </w:pPr>
      <w:r>
        <w:rPr>
          <w:sz w:val="24"/>
          <w:szCs w:val="24"/>
          <w:color w:val="auto"/>
        </w:rPr>
        <w:br w:type="column"/>
      </w:r>
    </w:p>
    <w:p>
      <w:pPr>
        <w:spacing w:after="0" w:line="366" w:lineRule="exact"/>
        <w:rPr>
          <w:sz w:val="24"/>
          <w:szCs w:val="24"/>
          <w:color w:val="auto"/>
        </w:rPr>
      </w:pPr>
    </w:p>
    <w:p>
      <w:pPr>
        <w:spacing w:after="0"/>
        <w:rPr>
          <w:sz w:val="20"/>
          <w:szCs w:val="20"/>
          <w:color w:val="auto"/>
        </w:rPr>
      </w:pPr>
      <w:r>
        <w:rPr>
          <w:rFonts w:ascii="Arial" w:cs="Arial" w:eastAsia="Arial" w:hAnsi="Arial"/>
          <w:sz w:val="15"/>
          <w:szCs w:val="15"/>
          <w:color w:val="7B7C80"/>
        </w:rPr>
        <w:t>)</w:t>
      </w:r>
    </w:p>
    <w:p>
      <w:pPr>
        <w:spacing w:after="0" w:line="145" w:lineRule="exact"/>
        <w:rPr>
          <w:sz w:val="24"/>
          <w:szCs w:val="24"/>
          <w:color w:val="auto"/>
        </w:rPr>
      </w:pPr>
    </w:p>
    <w:p>
      <w:pPr>
        <w:sectPr>
          <w:pgSz w:w="11900" w:h="16838" w:orient="portrait"/>
          <w:cols w:equalWidth="0" w:num="2">
            <w:col w:w="7220" w:space="500"/>
            <w:col w:w="2499"/>
          </w:cols>
          <w:pgMar w:left="240" w:top="602" w:right="1440" w:bottom="1440" w:gutter="0" w:footer="0" w:header="0"/>
          <w:type w:val="continuous"/>
        </w:sectPr>
      </w:pPr>
    </w:p>
    <w:p>
      <w:pPr>
        <w:ind w:left="1140"/>
        <w:spacing w:after="0" w:line="173" w:lineRule="exact"/>
        <w:rPr>
          <w:sz w:val="20"/>
          <w:szCs w:val="20"/>
          <w:color w:val="auto"/>
        </w:rPr>
      </w:pPr>
      <w:r>
        <w:rPr>
          <w:rFonts w:ascii="Arial" w:cs="Arial" w:eastAsia="Arial" w:hAnsi="Arial"/>
          <w:sz w:val="15"/>
          <w:szCs w:val="15"/>
          <w:color w:val="7B7C80"/>
        </w:rPr>
        <w:t xml:space="preserve">Filed by the Registrant </w:t>
      </w:r>
      <w:r>
        <w:rPr>
          <w:rFonts w:ascii="MS PGothic" w:cs="MS PGothic" w:eastAsia="MS PGothic" w:hAnsi="MS PGothic"/>
          <w:sz w:val="15"/>
          <w:szCs w:val="15"/>
          <w:color w:val="7B7C80"/>
        </w:rPr>
        <w:t>☒</w:t>
      </w:r>
    </w:p>
    <w:p>
      <w:pPr>
        <w:spacing w:after="0" w:line="245" w:lineRule="exact"/>
        <w:rPr>
          <w:sz w:val="24"/>
          <w:szCs w:val="24"/>
          <w:color w:val="auto"/>
        </w:rPr>
      </w:pPr>
    </w:p>
    <w:p>
      <w:pPr>
        <w:ind w:left="1140"/>
        <w:spacing w:after="0"/>
        <w:rPr>
          <w:sz w:val="20"/>
          <w:szCs w:val="20"/>
          <w:color w:val="auto"/>
        </w:rPr>
      </w:pPr>
      <w:r>
        <w:rPr>
          <w:rFonts w:ascii="Arial" w:cs="Arial" w:eastAsia="Arial" w:hAnsi="Arial"/>
          <w:sz w:val="14"/>
          <w:szCs w:val="14"/>
          <w:color w:val="7B7C80"/>
        </w:rPr>
        <w:t>Filed by a Party other than the Registrant o</w:t>
      </w:r>
    </w:p>
    <w:p>
      <w:pPr>
        <w:spacing w:after="0" w:line="204" w:lineRule="exact"/>
        <w:rPr>
          <w:sz w:val="24"/>
          <w:szCs w:val="24"/>
          <w:color w:val="auto"/>
        </w:rPr>
      </w:pPr>
    </w:p>
    <w:p>
      <w:pPr>
        <w:ind w:left="1140"/>
        <w:spacing w:after="0"/>
        <w:rPr>
          <w:sz w:val="20"/>
          <w:szCs w:val="20"/>
          <w:color w:val="auto"/>
        </w:rPr>
      </w:pPr>
      <w:r>
        <w:rPr>
          <w:rFonts w:ascii="Arial" w:cs="Arial" w:eastAsia="Arial" w:hAnsi="Arial"/>
          <w:sz w:val="15"/>
          <w:szCs w:val="15"/>
          <w:color w:val="7B7C80"/>
        </w:rPr>
        <w:t>Check the appropriate box:</w:t>
      </w:r>
    </w:p>
    <w:p>
      <w:pPr>
        <w:sectPr>
          <w:pgSz w:w="11900" w:h="16838" w:orient="portrait"/>
          <w:cols w:equalWidth="0" w:num="1">
            <w:col w:w="10219"/>
          </w:cols>
          <w:pgMar w:left="240" w:top="602" w:right="1440" w:bottom="1440" w:gutter="0" w:footer="0" w:header="0"/>
          <w:type w:val="continuous"/>
        </w:sectPr>
      </w:pPr>
    </w:p>
    <w:p>
      <w:pPr>
        <w:spacing w:after="0" w:line="196" w:lineRule="exact"/>
        <w:rPr>
          <w:sz w:val="24"/>
          <w:szCs w:val="24"/>
          <w:color w:val="auto"/>
        </w:rPr>
      </w:pPr>
    </w:p>
    <w:p>
      <w:pPr>
        <w:ind w:left="1140"/>
        <w:spacing w:after="0"/>
        <w:rPr>
          <w:sz w:val="20"/>
          <w:szCs w:val="20"/>
          <w:color w:val="auto"/>
        </w:rPr>
      </w:pPr>
      <w:r>
        <w:rPr>
          <w:rFonts w:ascii="Arial" w:cs="Arial" w:eastAsia="Arial" w:hAnsi="Arial"/>
          <w:sz w:val="14"/>
          <w:szCs w:val="14"/>
          <w:color w:val="7B7C80"/>
        </w:rPr>
        <w:t>o</w:t>
      </w:r>
    </w:p>
    <w:p>
      <w:pPr>
        <w:spacing w:after="0" w:line="20" w:lineRule="exact"/>
        <w:rPr>
          <w:sz w:val="24"/>
          <w:szCs w:val="24"/>
          <w:color w:val="auto"/>
        </w:rPr>
      </w:pPr>
      <w:r>
        <w:rPr>
          <w:sz w:val="24"/>
          <w:szCs w:val="24"/>
          <w:color w:val="auto"/>
        </w:rPr>
        <w:br w:type="column"/>
      </w:r>
    </w:p>
    <w:p>
      <w:pPr>
        <w:spacing w:after="0" w:line="186" w:lineRule="exact"/>
        <w:rPr>
          <w:sz w:val="24"/>
          <w:szCs w:val="24"/>
          <w:color w:val="auto"/>
        </w:rPr>
      </w:pPr>
    </w:p>
    <w:p>
      <w:pPr>
        <w:spacing w:after="0"/>
        <w:rPr>
          <w:sz w:val="20"/>
          <w:szCs w:val="20"/>
          <w:color w:val="auto"/>
        </w:rPr>
      </w:pPr>
      <w:r>
        <w:rPr>
          <w:rFonts w:ascii="Arial" w:cs="Arial" w:eastAsia="Arial" w:hAnsi="Arial"/>
          <w:sz w:val="14"/>
          <w:szCs w:val="14"/>
          <w:color w:val="7B7C80"/>
        </w:rPr>
        <w:t>Preliminary Proxy Statement</w:t>
      </w:r>
    </w:p>
    <w:p>
      <w:pPr>
        <w:spacing w:after="0" w:line="200" w:lineRule="exact"/>
        <w:rPr>
          <w:sz w:val="24"/>
          <w:szCs w:val="24"/>
          <w:color w:val="auto"/>
        </w:rPr>
      </w:pPr>
    </w:p>
    <w:p>
      <w:pPr>
        <w:sectPr>
          <w:pgSz w:w="11900" w:h="16838" w:orient="portrait"/>
          <w:cols w:equalWidth="0" w:num="2">
            <w:col w:w="1220" w:space="260"/>
            <w:col w:w="8739"/>
          </w:cols>
          <w:pgMar w:left="240" w:top="602" w:right="1440" w:bottom="1440" w:gutter="0" w:footer="0" w:header="0"/>
          <w:type w:val="continuous"/>
        </w:sectPr>
      </w:pPr>
    </w:p>
    <w:p>
      <w:pPr>
        <w:spacing w:after="0" w:line="19" w:lineRule="exact"/>
        <w:rPr>
          <w:sz w:val="24"/>
          <w:szCs w:val="24"/>
          <w:color w:val="auto"/>
        </w:rPr>
      </w:pPr>
    </w:p>
    <w:p>
      <w:pPr>
        <w:ind w:left="1140"/>
        <w:spacing w:after="0"/>
        <w:rPr>
          <w:sz w:val="20"/>
          <w:szCs w:val="20"/>
          <w:color w:val="auto"/>
        </w:rPr>
      </w:pPr>
      <w:r>
        <w:rPr>
          <w:rFonts w:ascii="Arial" w:cs="Arial" w:eastAsia="Arial" w:hAnsi="Arial"/>
          <w:sz w:val="14"/>
          <w:szCs w:val="14"/>
          <w:color w:val="7B7C80"/>
        </w:rPr>
        <w:t>o</w:t>
      </w:r>
    </w:p>
    <w:p>
      <w:pPr>
        <w:spacing w:after="0" w:line="20" w:lineRule="exact"/>
        <w:rPr>
          <w:sz w:val="24"/>
          <w:szCs w:val="24"/>
          <w:color w:val="auto"/>
        </w:rPr>
      </w:pPr>
      <w:r>
        <w:rPr>
          <w:sz w:val="24"/>
          <w:szCs w:val="24"/>
          <w:color w:val="auto"/>
        </w:rPr>
        <w:br w:type="column"/>
      </w:r>
    </w:p>
    <w:p>
      <w:pPr>
        <w:spacing w:after="0"/>
        <w:rPr>
          <w:sz w:val="20"/>
          <w:szCs w:val="20"/>
          <w:color w:val="auto"/>
        </w:rPr>
      </w:pPr>
      <w:r>
        <w:rPr>
          <w:rFonts w:ascii="Arial" w:cs="Arial" w:eastAsia="Arial" w:hAnsi="Arial"/>
          <w:sz w:val="14"/>
          <w:szCs w:val="14"/>
          <w:b w:val="1"/>
          <w:bCs w:val="1"/>
          <w:color w:val="7B7C80"/>
        </w:rPr>
        <w:t>Confidential, for Use of the Commission Only (as permitted by Rule 14a-6(e)(2))</w:t>
      </w:r>
    </w:p>
    <w:p>
      <w:pPr>
        <w:spacing w:after="0" w:line="208" w:lineRule="exact"/>
        <w:rPr>
          <w:sz w:val="24"/>
          <w:szCs w:val="24"/>
          <w:color w:val="auto"/>
        </w:rPr>
      </w:pPr>
    </w:p>
    <w:p>
      <w:pPr>
        <w:sectPr>
          <w:pgSz w:w="11900" w:h="16838" w:orient="portrait"/>
          <w:cols w:equalWidth="0" w:num="2">
            <w:col w:w="1220" w:space="260"/>
            <w:col w:w="8739"/>
          </w:cols>
          <w:pgMar w:left="240" w:top="602" w:right="1440" w:bottom="1440" w:gutter="0" w:footer="0" w:header="0"/>
          <w:type w:val="continuous"/>
        </w:sectPr>
      </w:pPr>
    </w:p>
    <w:p>
      <w:pPr>
        <w:spacing w:after="0" w:line="1" w:lineRule="exact"/>
        <w:rPr>
          <w:sz w:val="24"/>
          <w:szCs w:val="24"/>
          <w:color w:val="auto"/>
        </w:rPr>
      </w:pPr>
    </w:p>
    <w:p>
      <w:pPr>
        <w:ind w:left="1140"/>
        <w:spacing w:after="0" w:line="141" w:lineRule="exact"/>
        <w:rPr>
          <w:sz w:val="20"/>
          <w:szCs w:val="20"/>
          <w:color w:val="auto"/>
        </w:rPr>
      </w:pPr>
      <w:r>
        <w:rPr>
          <w:rFonts w:ascii="MS PGothic" w:cs="MS PGothic" w:eastAsia="MS PGothic" w:hAnsi="MS PGothic"/>
          <w:sz w:val="14"/>
          <w:szCs w:val="14"/>
          <w:color w:val="7B7C80"/>
        </w:rPr>
        <w:t>☒</w:t>
      </w:r>
    </w:p>
    <w:p>
      <w:pPr>
        <w:spacing w:after="0" w:line="20" w:lineRule="exact"/>
        <w:rPr>
          <w:sz w:val="24"/>
          <w:szCs w:val="24"/>
          <w:color w:val="auto"/>
        </w:rPr>
      </w:pPr>
      <w:r>
        <w:rPr>
          <w:sz w:val="24"/>
          <w:szCs w:val="24"/>
          <w:color w:val="auto"/>
        </w:rPr>
        <w:br w:type="column"/>
      </w:r>
    </w:p>
    <w:p>
      <w:pPr>
        <w:spacing w:after="0" w:line="18" w:lineRule="exact"/>
        <w:rPr>
          <w:sz w:val="24"/>
          <w:szCs w:val="24"/>
          <w:color w:val="auto"/>
        </w:rPr>
      </w:pPr>
    </w:p>
    <w:p>
      <w:pPr>
        <w:spacing w:after="0"/>
        <w:rPr>
          <w:sz w:val="20"/>
          <w:szCs w:val="20"/>
          <w:color w:val="auto"/>
        </w:rPr>
      </w:pPr>
      <w:r>
        <w:rPr>
          <w:rFonts w:ascii="Arial" w:cs="Arial" w:eastAsia="Arial" w:hAnsi="Arial"/>
          <w:sz w:val="14"/>
          <w:szCs w:val="14"/>
          <w:color w:val="7B7C80"/>
        </w:rPr>
        <w:t>Definitive Proxy Statement</w:t>
      </w:r>
    </w:p>
    <w:p>
      <w:pPr>
        <w:spacing w:after="0" w:line="200" w:lineRule="exact"/>
        <w:rPr>
          <w:sz w:val="24"/>
          <w:szCs w:val="24"/>
          <w:color w:val="auto"/>
        </w:rPr>
      </w:pPr>
    </w:p>
    <w:p>
      <w:pPr>
        <w:sectPr>
          <w:pgSz w:w="11900" w:h="16838" w:orient="portrait"/>
          <w:cols w:equalWidth="0" w:num="2">
            <w:col w:w="1280" w:space="200"/>
            <w:col w:w="8739"/>
          </w:cols>
          <w:pgMar w:left="240" w:top="602" w:right="1440" w:bottom="1440" w:gutter="0" w:footer="0" w:header="0"/>
          <w:type w:val="continuous"/>
        </w:sectPr>
      </w:pPr>
    </w:p>
    <w:p>
      <w:pPr>
        <w:spacing w:after="0" w:line="19" w:lineRule="exact"/>
        <w:rPr>
          <w:sz w:val="24"/>
          <w:szCs w:val="24"/>
          <w:color w:val="auto"/>
        </w:rPr>
      </w:pPr>
    </w:p>
    <w:p>
      <w:pPr>
        <w:ind w:left="1140"/>
        <w:spacing w:after="0"/>
        <w:rPr>
          <w:sz w:val="20"/>
          <w:szCs w:val="20"/>
          <w:color w:val="auto"/>
        </w:rPr>
      </w:pPr>
      <w:r>
        <w:rPr>
          <w:rFonts w:ascii="Arial" w:cs="Arial" w:eastAsia="Arial" w:hAnsi="Arial"/>
          <w:sz w:val="14"/>
          <w:szCs w:val="14"/>
          <w:color w:val="7B7C80"/>
        </w:rPr>
        <w:t>o</w:t>
      </w:r>
    </w:p>
    <w:p>
      <w:pPr>
        <w:spacing w:after="0" w:line="20" w:lineRule="exact"/>
        <w:rPr>
          <w:sz w:val="24"/>
          <w:szCs w:val="24"/>
          <w:color w:val="auto"/>
        </w:rPr>
      </w:pPr>
      <w:r>
        <w:rPr>
          <w:sz w:val="24"/>
          <w:szCs w:val="24"/>
          <w:color w:val="auto"/>
        </w:rPr>
        <w:br w:type="column"/>
      </w:r>
    </w:p>
    <w:p>
      <w:pPr>
        <w:spacing w:after="0" w:line="9" w:lineRule="exact"/>
        <w:rPr>
          <w:sz w:val="24"/>
          <w:szCs w:val="24"/>
          <w:color w:val="auto"/>
        </w:rPr>
      </w:pPr>
    </w:p>
    <w:p>
      <w:pPr>
        <w:spacing w:after="0"/>
        <w:rPr>
          <w:sz w:val="20"/>
          <w:szCs w:val="20"/>
          <w:color w:val="auto"/>
        </w:rPr>
      </w:pPr>
      <w:r>
        <w:rPr>
          <w:rFonts w:ascii="Arial" w:cs="Arial" w:eastAsia="Arial" w:hAnsi="Arial"/>
          <w:sz w:val="14"/>
          <w:szCs w:val="14"/>
          <w:color w:val="7B7C80"/>
        </w:rPr>
        <w:t>Definitive Additional Materials</w:t>
      </w:r>
    </w:p>
    <w:p>
      <w:pPr>
        <w:spacing w:after="0" w:line="200" w:lineRule="exact"/>
        <w:rPr>
          <w:sz w:val="24"/>
          <w:szCs w:val="24"/>
          <w:color w:val="auto"/>
        </w:rPr>
      </w:pPr>
    </w:p>
    <w:p>
      <w:pPr>
        <w:sectPr>
          <w:pgSz w:w="11900" w:h="16838" w:orient="portrait"/>
          <w:cols w:equalWidth="0" w:num="2">
            <w:col w:w="1220" w:space="260"/>
            <w:col w:w="8739"/>
          </w:cols>
          <w:pgMar w:left="240" w:top="602" w:right="1440" w:bottom="1440" w:gutter="0" w:footer="0" w:header="0"/>
          <w:type w:val="continuous"/>
        </w:sectPr>
      </w:pPr>
    </w:p>
    <w:p>
      <w:pPr>
        <w:spacing w:after="0" w:line="19" w:lineRule="exact"/>
        <w:rPr>
          <w:sz w:val="24"/>
          <w:szCs w:val="24"/>
          <w:color w:val="auto"/>
        </w:rPr>
      </w:pPr>
    </w:p>
    <w:p>
      <w:pPr>
        <w:ind w:left="1140"/>
        <w:spacing w:after="0"/>
        <w:rPr>
          <w:sz w:val="20"/>
          <w:szCs w:val="20"/>
          <w:color w:val="auto"/>
        </w:rPr>
      </w:pPr>
      <w:r>
        <w:rPr>
          <w:rFonts w:ascii="Arial" w:cs="Arial" w:eastAsia="Arial" w:hAnsi="Arial"/>
          <w:sz w:val="14"/>
          <w:szCs w:val="14"/>
          <w:color w:val="7B7C80"/>
        </w:rPr>
        <w:t>o</w:t>
      </w:r>
    </w:p>
    <w:p>
      <w:pPr>
        <w:spacing w:after="0" w:line="20" w:lineRule="exact"/>
        <w:rPr>
          <w:sz w:val="24"/>
          <w:szCs w:val="24"/>
          <w:color w:val="auto"/>
        </w:rPr>
      </w:pPr>
      <w:r>
        <w:rPr>
          <w:sz w:val="24"/>
          <w:szCs w:val="24"/>
          <w:color w:val="auto"/>
        </w:rPr>
        <w:br w:type="column"/>
      </w:r>
    </w:p>
    <w:p>
      <w:pPr>
        <w:spacing w:after="0" w:line="9" w:lineRule="exact"/>
        <w:rPr>
          <w:sz w:val="24"/>
          <w:szCs w:val="24"/>
          <w:color w:val="auto"/>
        </w:rPr>
      </w:pPr>
    </w:p>
    <w:p>
      <w:pPr>
        <w:spacing w:after="0"/>
        <w:rPr>
          <w:sz w:val="20"/>
          <w:szCs w:val="20"/>
          <w:color w:val="auto"/>
        </w:rPr>
      </w:pPr>
      <w:r>
        <w:rPr>
          <w:rFonts w:ascii="Arial" w:cs="Arial" w:eastAsia="Arial" w:hAnsi="Arial"/>
          <w:sz w:val="14"/>
          <w:szCs w:val="14"/>
          <w:color w:val="7B7C80"/>
        </w:rPr>
        <w:t>Soliciting Material under §240.14a-12</w:t>
      </w:r>
    </w:p>
    <w:p>
      <w:pPr>
        <w:spacing w:after="0" w:line="200" w:lineRule="exact"/>
        <w:rPr>
          <w:sz w:val="24"/>
          <w:szCs w:val="24"/>
          <w:color w:val="auto"/>
        </w:rPr>
      </w:pPr>
    </w:p>
    <w:p>
      <w:pPr>
        <w:sectPr>
          <w:pgSz w:w="11900" w:h="16838" w:orient="portrait"/>
          <w:cols w:equalWidth="0" w:num="2">
            <w:col w:w="1220" w:space="260"/>
            <w:col w:w="8739"/>
          </w:cols>
          <w:pgMar w:left="240" w:top="602" w:right="1440" w:bottom="1440" w:gutter="0" w:footer="0" w:header="0"/>
          <w:type w:val="continuous"/>
        </w:sectPr>
      </w:pPr>
    </w:p>
    <w:p>
      <w:pPr>
        <w:spacing w:after="0" w:line="343" w:lineRule="exact"/>
        <w:rPr>
          <w:sz w:val="24"/>
          <w:szCs w:val="24"/>
          <w:color w:val="auto"/>
        </w:rPr>
      </w:pPr>
    </w:p>
    <w:p>
      <w:pPr>
        <w:jc w:val="center"/>
        <w:ind w:right="-1220"/>
        <w:spacing w:after="0"/>
        <w:rPr>
          <w:sz w:val="20"/>
          <w:szCs w:val="20"/>
          <w:color w:val="auto"/>
        </w:rPr>
      </w:pPr>
      <w:r>
        <w:rPr>
          <w:rFonts w:ascii="Arial" w:cs="Arial" w:eastAsia="Arial" w:hAnsi="Arial"/>
          <w:sz w:val="15"/>
          <w:szCs w:val="15"/>
          <w:b w:val="1"/>
          <w:bCs w:val="1"/>
          <w:color w:val="7B7C80"/>
        </w:rPr>
        <w:t>PRINCIPAL FINANCIAL GROUP, INC.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721995</wp:posOffset>
            </wp:positionH>
            <wp:positionV relativeFrom="paragraph">
              <wp:posOffset>60325</wp:posOffset>
            </wp:positionV>
            <wp:extent cx="5826760" cy="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826760" cy="6985"/>
                    </a:xfrm>
                    <a:prstGeom prst="rect">
                      <a:avLst/>
                    </a:prstGeom>
                    <a:noFill/>
                  </pic:spPr>
                </pic:pic>
              </a:graphicData>
            </a:graphic>
          </wp:anchor>
        </w:drawing>
      </w:r>
    </w:p>
    <w:p>
      <w:pPr>
        <w:spacing w:after="0" w:line="158" w:lineRule="exact"/>
        <w:rPr>
          <w:sz w:val="24"/>
          <w:szCs w:val="24"/>
          <w:color w:val="auto"/>
        </w:rPr>
      </w:pPr>
    </w:p>
    <w:p>
      <w:pPr>
        <w:jc w:val="center"/>
        <w:ind w:right="-1220"/>
        <w:spacing w:after="0"/>
        <w:rPr>
          <w:sz w:val="20"/>
          <w:szCs w:val="20"/>
          <w:color w:val="auto"/>
        </w:rPr>
      </w:pPr>
      <w:r>
        <w:rPr>
          <w:rFonts w:ascii="Arial" w:cs="Arial" w:eastAsia="Arial" w:hAnsi="Arial"/>
          <w:sz w:val="15"/>
          <w:szCs w:val="15"/>
          <w:color w:val="7B7C80"/>
        </w:rPr>
        <w:t>(Name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721995</wp:posOffset>
            </wp:positionH>
            <wp:positionV relativeFrom="paragraph">
              <wp:posOffset>288925</wp:posOffset>
            </wp:positionV>
            <wp:extent cx="5826760" cy="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826760" cy="6985"/>
                    </a:xfrm>
                    <a:prstGeom prst="rect">
                      <a:avLst/>
                    </a:prstGeom>
                    <a:noFill/>
                  </pic:spPr>
                </pic:pic>
              </a:graphicData>
            </a:graphic>
          </wp:anchor>
        </w:drawing>
      </w:r>
    </w:p>
    <w:p>
      <w:pPr>
        <w:spacing w:after="0" w:line="200" w:lineRule="exact"/>
        <w:rPr>
          <w:sz w:val="24"/>
          <w:szCs w:val="24"/>
          <w:color w:val="auto"/>
        </w:rPr>
      </w:pPr>
    </w:p>
    <w:p>
      <w:pPr>
        <w:spacing w:after="0" w:line="318" w:lineRule="exact"/>
        <w:rPr>
          <w:sz w:val="24"/>
          <w:szCs w:val="24"/>
          <w:color w:val="auto"/>
        </w:rPr>
      </w:pPr>
    </w:p>
    <w:p>
      <w:pPr>
        <w:ind w:left="3360"/>
        <w:spacing w:after="0"/>
        <w:rPr>
          <w:sz w:val="20"/>
          <w:szCs w:val="20"/>
          <w:color w:val="auto"/>
        </w:rPr>
      </w:pPr>
      <w:r>
        <w:rPr>
          <w:rFonts w:ascii="Arial" w:cs="Arial" w:eastAsia="Arial" w:hAnsi="Arial"/>
          <w:sz w:val="15"/>
          <w:szCs w:val="15"/>
          <w:color w:val="7B7C80"/>
        </w:rPr>
        <w:t>(Name of Person(s) Filing Proxy Statement, if other than the Registrant)</w:t>
      </w:r>
    </w:p>
    <w:p>
      <w:pPr>
        <w:spacing w:after="0" w:line="171" w:lineRule="exact"/>
        <w:rPr>
          <w:sz w:val="24"/>
          <w:szCs w:val="24"/>
          <w:color w:val="auto"/>
        </w:rPr>
      </w:pPr>
    </w:p>
    <w:p>
      <w:pPr>
        <w:ind w:left="1140"/>
        <w:spacing w:after="0"/>
        <w:rPr>
          <w:sz w:val="20"/>
          <w:szCs w:val="20"/>
          <w:color w:val="auto"/>
        </w:rPr>
      </w:pPr>
      <w:r>
        <w:rPr>
          <w:rFonts w:ascii="Arial" w:cs="Arial" w:eastAsia="Arial" w:hAnsi="Arial"/>
          <w:sz w:val="15"/>
          <w:szCs w:val="15"/>
          <w:color w:val="7B7C80"/>
        </w:rPr>
        <w:t>Payment of Filing Fee (Check the appropriate box):</w:t>
      </w:r>
    </w:p>
    <w:p>
      <w:pPr>
        <w:spacing w:after="0" w:line="206" w:lineRule="exact"/>
        <w:rPr>
          <w:sz w:val="24"/>
          <w:szCs w:val="24"/>
          <w:color w:val="auto"/>
        </w:rPr>
      </w:pPr>
    </w:p>
    <w:p>
      <w:pPr>
        <w:ind w:left="1480" w:hanging="343"/>
        <w:spacing w:after="0"/>
        <w:tabs>
          <w:tab w:leader="none" w:pos="1480" w:val="left"/>
        </w:tabs>
        <w:numPr>
          <w:ilvl w:val="0"/>
          <w:numId w:val="1"/>
        </w:numPr>
        <w:rPr>
          <w:rFonts w:ascii="MS PGothic" w:cs="MS PGothic" w:eastAsia="MS PGothic" w:hAnsi="MS PGothic"/>
          <w:sz w:val="15"/>
          <w:szCs w:val="15"/>
          <w:color w:val="7B7C80"/>
        </w:rPr>
      </w:pPr>
      <w:r>
        <w:rPr>
          <w:rFonts w:ascii="Arial" w:cs="Arial" w:eastAsia="Arial" w:hAnsi="Arial"/>
          <w:sz w:val="15"/>
          <w:szCs w:val="15"/>
          <w:color w:val="7B7C80"/>
        </w:rPr>
        <w:t>No fee required.</w:t>
      </w:r>
    </w:p>
    <w:p>
      <w:pPr>
        <w:spacing w:after="0" w:line="217" w:lineRule="exact"/>
        <w:rPr>
          <w:sz w:val="24"/>
          <w:szCs w:val="24"/>
          <w:color w:val="auto"/>
        </w:rPr>
      </w:pPr>
    </w:p>
    <w:p>
      <w:pPr>
        <w:ind w:left="1480" w:hanging="343"/>
        <w:spacing w:after="0"/>
        <w:tabs>
          <w:tab w:leader="none" w:pos="1480" w:val="left"/>
        </w:tabs>
        <w:numPr>
          <w:ilvl w:val="0"/>
          <w:numId w:val="2"/>
        </w:numPr>
        <w:rPr>
          <w:rFonts w:ascii="Arial" w:cs="Arial" w:eastAsia="Arial" w:hAnsi="Arial"/>
          <w:sz w:val="15"/>
          <w:szCs w:val="15"/>
          <w:color w:val="7B7C80"/>
        </w:rPr>
      </w:pPr>
      <w:r>
        <w:rPr>
          <w:rFonts w:ascii="Arial" w:cs="Arial" w:eastAsia="Arial" w:hAnsi="Arial"/>
          <w:sz w:val="15"/>
          <w:szCs w:val="15"/>
          <w:color w:val="7B7C80"/>
        </w:rPr>
        <w:t>Fee computed on table below per Exchange Act Rules 14a-6(i)(1) and 0-11.</w:t>
      </w:r>
    </w:p>
    <w:p>
      <w:pPr>
        <w:spacing w:after="0" w:line="10" w:lineRule="exact"/>
        <w:rPr>
          <w:rFonts w:ascii="Arial" w:cs="Arial" w:eastAsia="Arial" w:hAnsi="Arial"/>
          <w:sz w:val="15"/>
          <w:szCs w:val="15"/>
          <w:color w:val="7B7C80"/>
        </w:rPr>
      </w:pPr>
    </w:p>
    <w:p>
      <w:pPr>
        <w:ind w:left="1840" w:hanging="359"/>
        <w:spacing w:after="0"/>
        <w:tabs>
          <w:tab w:leader="none" w:pos="184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Title of each class of securities to which transaction applies:</w:t>
      </w:r>
    </w:p>
    <w:p>
      <w:pPr>
        <w:spacing w:after="0" w:line="182" w:lineRule="exact"/>
        <w:rPr>
          <w:rFonts w:ascii="Arial" w:cs="Arial" w:eastAsia="Arial" w:hAnsi="Arial"/>
          <w:sz w:val="15"/>
          <w:szCs w:val="15"/>
          <w:color w:val="7B7C80"/>
        </w:rPr>
      </w:pPr>
    </w:p>
    <w:p>
      <w:pPr>
        <w:ind w:left="1840" w:hanging="359"/>
        <w:spacing w:after="0"/>
        <w:tabs>
          <w:tab w:leader="none" w:pos="184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Aggregate number of securities to which transaction applies:</w:t>
      </w:r>
    </w:p>
    <w:p>
      <w:pPr>
        <w:spacing w:after="0" w:line="182" w:lineRule="exact"/>
        <w:rPr>
          <w:rFonts w:ascii="Arial" w:cs="Arial" w:eastAsia="Arial" w:hAnsi="Arial"/>
          <w:sz w:val="15"/>
          <w:szCs w:val="15"/>
          <w:color w:val="7B7C80"/>
        </w:rPr>
      </w:pPr>
    </w:p>
    <w:p>
      <w:pPr>
        <w:ind w:left="1840" w:right="119" w:hanging="359"/>
        <w:spacing w:after="0" w:line="247" w:lineRule="auto"/>
        <w:tabs>
          <w:tab w:leader="none" w:pos="184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Per unit price or other underlying value of transaction computed pursuant to Exchange Act Rule 0-11 (set forth the amount on which the filing fee is calculated and state how it was determined):</w:t>
      </w:r>
    </w:p>
    <w:p>
      <w:pPr>
        <w:spacing w:after="0" w:line="171" w:lineRule="exact"/>
        <w:rPr>
          <w:rFonts w:ascii="Arial" w:cs="Arial" w:eastAsia="Arial" w:hAnsi="Arial"/>
          <w:sz w:val="15"/>
          <w:szCs w:val="15"/>
          <w:color w:val="7B7C80"/>
        </w:rPr>
      </w:pPr>
    </w:p>
    <w:p>
      <w:pPr>
        <w:ind w:left="1840" w:hanging="359"/>
        <w:spacing w:after="0"/>
        <w:tabs>
          <w:tab w:leader="none" w:pos="184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Proposed maximum aggregate value of transaction:</w:t>
      </w:r>
    </w:p>
    <w:p>
      <w:pPr>
        <w:spacing w:after="0" w:line="182" w:lineRule="exact"/>
        <w:rPr>
          <w:rFonts w:ascii="Arial" w:cs="Arial" w:eastAsia="Arial" w:hAnsi="Arial"/>
          <w:sz w:val="15"/>
          <w:szCs w:val="15"/>
          <w:color w:val="7B7C80"/>
        </w:rPr>
      </w:pPr>
    </w:p>
    <w:p>
      <w:pPr>
        <w:ind w:left="1840" w:hanging="359"/>
        <w:spacing w:after="0"/>
        <w:tabs>
          <w:tab w:leader="none" w:pos="184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Total fee paid:</w:t>
      </w:r>
    </w:p>
    <w:p>
      <w:pPr>
        <w:spacing w:after="0" w:line="388" w:lineRule="exact"/>
        <w:rPr>
          <w:rFonts w:ascii="Arial" w:cs="Arial" w:eastAsia="Arial" w:hAnsi="Arial"/>
          <w:sz w:val="15"/>
          <w:szCs w:val="15"/>
          <w:color w:val="7B7C80"/>
        </w:rPr>
      </w:pPr>
    </w:p>
    <w:p>
      <w:pPr>
        <w:ind w:left="1480" w:hanging="343"/>
        <w:spacing w:after="0"/>
        <w:tabs>
          <w:tab w:leader="none" w:pos="1480" w:val="left"/>
        </w:tabs>
        <w:numPr>
          <w:ilvl w:val="0"/>
          <w:numId w:val="2"/>
        </w:numPr>
        <w:rPr>
          <w:rFonts w:ascii="Arial" w:cs="Arial" w:eastAsia="Arial" w:hAnsi="Arial"/>
          <w:sz w:val="15"/>
          <w:szCs w:val="15"/>
          <w:color w:val="7B7C80"/>
        </w:rPr>
      </w:pPr>
      <w:r>
        <w:rPr>
          <w:rFonts w:ascii="Arial" w:cs="Arial" w:eastAsia="Arial" w:hAnsi="Arial"/>
          <w:sz w:val="15"/>
          <w:szCs w:val="15"/>
          <w:color w:val="7B7C80"/>
        </w:rPr>
        <w:t>Fee paid previously with preliminary materials.</w:t>
      </w:r>
    </w:p>
    <w:p>
      <w:pPr>
        <w:spacing w:after="0" w:line="217" w:lineRule="exact"/>
        <w:rPr>
          <w:rFonts w:ascii="Arial" w:cs="Arial" w:eastAsia="Arial" w:hAnsi="Arial"/>
          <w:sz w:val="15"/>
          <w:szCs w:val="15"/>
          <w:color w:val="7B7C80"/>
        </w:rPr>
      </w:pPr>
    </w:p>
    <w:p>
      <w:pPr>
        <w:ind w:left="1480" w:right="179" w:hanging="343"/>
        <w:spacing w:after="0" w:line="243" w:lineRule="auto"/>
        <w:tabs>
          <w:tab w:leader="none" w:pos="1480" w:val="left"/>
        </w:tabs>
        <w:numPr>
          <w:ilvl w:val="0"/>
          <w:numId w:val="2"/>
        </w:numPr>
        <w:rPr>
          <w:rFonts w:ascii="Arial" w:cs="Arial" w:eastAsia="Arial" w:hAnsi="Arial"/>
          <w:sz w:val="15"/>
          <w:szCs w:val="15"/>
          <w:color w:val="7B7C80"/>
        </w:rPr>
      </w:pPr>
      <w:r>
        <w:rPr>
          <w:rFonts w:ascii="Arial" w:cs="Arial" w:eastAsia="Arial" w:hAnsi="Arial"/>
          <w:sz w:val="15"/>
          <w:szCs w:val="15"/>
          <w:color w:val="7B7C80"/>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spacing w:after="0" w:line="197" w:lineRule="exact"/>
        <w:rPr>
          <w:rFonts w:ascii="Arial" w:cs="Arial" w:eastAsia="Arial" w:hAnsi="Arial"/>
          <w:sz w:val="15"/>
          <w:szCs w:val="15"/>
          <w:color w:val="7B7C80"/>
        </w:rPr>
      </w:pPr>
    </w:p>
    <w:p>
      <w:pPr>
        <w:ind w:left="1840" w:hanging="359"/>
        <w:spacing w:after="0"/>
        <w:tabs>
          <w:tab w:leader="none" w:pos="184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Amount Previously Paid:</w:t>
      </w:r>
    </w:p>
    <w:p>
      <w:pPr>
        <w:spacing w:after="0" w:line="182" w:lineRule="exact"/>
        <w:rPr>
          <w:rFonts w:ascii="Arial" w:cs="Arial" w:eastAsia="Arial" w:hAnsi="Arial"/>
          <w:sz w:val="15"/>
          <w:szCs w:val="15"/>
          <w:color w:val="7B7C80"/>
        </w:rPr>
      </w:pPr>
    </w:p>
    <w:p>
      <w:pPr>
        <w:ind w:left="1840" w:hanging="359"/>
        <w:spacing w:after="0"/>
        <w:tabs>
          <w:tab w:leader="none" w:pos="184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Form, Schedule or Registration Statement No.:</w:t>
      </w:r>
    </w:p>
    <w:p>
      <w:pPr>
        <w:spacing w:after="0" w:line="182" w:lineRule="exact"/>
        <w:rPr>
          <w:rFonts w:ascii="Arial" w:cs="Arial" w:eastAsia="Arial" w:hAnsi="Arial"/>
          <w:sz w:val="15"/>
          <w:szCs w:val="15"/>
          <w:color w:val="7B7C80"/>
        </w:rPr>
      </w:pPr>
    </w:p>
    <w:p>
      <w:pPr>
        <w:ind w:left="1840" w:hanging="359"/>
        <w:spacing w:after="0"/>
        <w:tabs>
          <w:tab w:leader="none" w:pos="184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Filing Party:</w:t>
      </w:r>
    </w:p>
    <w:p>
      <w:pPr>
        <w:spacing w:after="0" w:line="182" w:lineRule="exact"/>
        <w:rPr>
          <w:rFonts w:ascii="Arial" w:cs="Arial" w:eastAsia="Arial" w:hAnsi="Arial"/>
          <w:sz w:val="15"/>
          <w:szCs w:val="15"/>
          <w:color w:val="7B7C80"/>
        </w:rPr>
      </w:pPr>
    </w:p>
    <w:p>
      <w:pPr>
        <w:ind w:left="1840" w:hanging="359"/>
        <w:spacing w:after="0"/>
        <w:tabs>
          <w:tab w:leader="none" w:pos="1840" w:val="left"/>
        </w:tabs>
        <w:numPr>
          <w:ilvl w:val="1"/>
          <w:numId w:val="2"/>
        </w:numPr>
        <w:rPr>
          <w:rFonts w:ascii="Arial" w:cs="Arial" w:eastAsia="Arial" w:hAnsi="Arial"/>
          <w:sz w:val="15"/>
          <w:szCs w:val="15"/>
          <w:color w:val="7B7C80"/>
        </w:rPr>
      </w:pPr>
      <w:r>
        <w:rPr>
          <w:rFonts w:ascii="Arial" w:cs="Arial" w:eastAsia="Arial" w:hAnsi="Arial"/>
          <w:sz w:val="15"/>
          <w:szCs w:val="15"/>
          <w:color w:val="7B7C80"/>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-7620</wp:posOffset>
            </wp:positionH>
            <wp:positionV relativeFrom="paragraph">
              <wp:posOffset>169545</wp:posOffset>
            </wp:positionV>
            <wp:extent cx="7272655" cy="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72655" cy="19685"/>
                    </a:xfrm>
                    <a:prstGeom prst="rect">
                      <a:avLst/>
                    </a:prstGeom>
                    <a:noFill/>
                  </pic:spPr>
                </pic:pic>
              </a:graphicData>
            </a:graphic>
          </wp:anchor>
        </w:drawing>
        <w:drawing>
          <wp:anchor simplePos="0" relativeHeight="251657728" behindDoc="1" locked="0" layoutInCell="0" allowOverlap="1">
            <wp:simplePos x="0" y="0"/>
            <wp:positionH relativeFrom="column">
              <wp:posOffset>1173480</wp:posOffset>
            </wp:positionH>
            <wp:positionV relativeFrom="paragraph">
              <wp:posOffset>-2642235</wp:posOffset>
            </wp:positionV>
            <wp:extent cx="5361305" cy="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5361305" cy="6985"/>
                    </a:xfrm>
                    <a:prstGeom prst="rect">
                      <a:avLst/>
                    </a:prstGeom>
                    <a:noFill/>
                  </pic:spPr>
                </pic:pic>
              </a:graphicData>
            </a:graphic>
          </wp:anchor>
        </w:drawing>
        <w:drawing>
          <wp:anchor simplePos="0" relativeHeight="251657728" behindDoc="1" locked="0" layoutInCell="0" allowOverlap="1">
            <wp:simplePos x="0" y="0"/>
            <wp:positionH relativeFrom="column">
              <wp:posOffset>1173480</wp:posOffset>
            </wp:positionH>
            <wp:positionV relativeFrom="paragraph">
              <wp:posOffset>-2416810</wp:posOffset>
            </wp:positionV>
            <wp:extent cx="5361305" cy="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5361305" cy="6985"/>
                    </a:xfrm>
                    <a:prstGeom prst="rect">
                      <a:avLst/>
                    </a:prstGeom>
                    <a:noFill/>
                  </pic:spPr>
                </pic:pic>
              </a:graphicData>
            </a:graphic>
          </wp:anchor>
        </w:drawing>
        <w:drawing>
          <wp:anchor simplePos="0" relativeHeight="251657728" behindDoc="1" locked="0" layoutInCell="0" allowOverlap="1">
            <wp:simplePos x="0" y="0"/>
            <wp:positionH relativeFrom="column">
              <wp:posOffset>1173480</wp:posOffset>
            </wp:positionH>
            <wp:positionV relativeFrom="paragraph">
              <wp:posOffset>-2082165</wp:posOffset>
            </wp:positionV>
            <wp:extent cx="5361305" cy="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361305" cy="6985"/>
                    </a:xfrm>
                    <a:prstGeom prst="rect">
                      <a:avLst/>
                    </a:prstGeom>
                    <a:noFill/>
                  </pic:spPr>
                </pic:pic>
              </a:graphicData>
            </a:graphic>
          </wp:anchor>
        </w:drawing>
        <w:drawing>
          <wp:anchor simplePos="0" relativeHeight="251657728" behindDoc="1" locked="0" layoutInCell="0" allowOverlap="1">
            <wp:simplePos x="0" y="0"/>
            <wp:positionH relativeFrom="column">
              <wp:posOffset>1173480</wp:posOffset>
            </wp:positionH>
            <wp:positionV relativeFrom="paragraph">
              <wp:posOffset>-1856740</wp:posOffset>
            </wp:positionV>
            <wp:extent cx="5361305" cy="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5361305" cy="6985"/>
                    </a:xfrm>
                    <a:prstGeom prst="rect">
                      <a:avLst/>
                    </a:prstGeom>
                    <a:noFill/>
                  </pic:spPr>
                </pic:pic>
              </a:graphicData>
            </a:graphic>
          </wp:anchor>
        </w:drawing>
        <w:drawing>
          <wp:anchor simplePos="0" relativeHeight="251657728" behindDoc="1" locked="0" layoutInCell="0" allowOverlap="1">
            <wp:simplePos x="0" y="0"/>
            <wp:positionH relativeFrom="column">
              <wp:posOffset>1173480</wp:posOffset>
            </wp:positionH>
            <wp:positionV relativeFrom="paragraph">
              <wp:posOffset>-1631315</wp:posOffset>
            </wp:positionV>
            <wp:extent cx="5361305" cy="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5361305" cy="6985"/>
                    </a:xfrm>
                    <a:prstGeom prst="rect">
                      <a:avLst/>
                    </a:prstGeom>
                    <a:noFill/>
                  </pic:spPr>
                </pic:pic>
              </a:graphicData>
            </a:graphic>
          </wp:anchor>
        </w:drawing>
        <w:drawing>
          <wp:anchor simplePos="0" relativeHeight="251657728" behindDoc="1" locked="0" layoutInCell="0" allowOverlap="1">
            <wp:simplePos x="0" y="0"/>
            <wp:positionH relativeFrom="column">
              <wp:posOffset>1173480</wp:posOffset>
            </wp:positionH>
            <wp:positionV relativeFrom="paragraph">
              <wp:posOffset>-568960</wp:posOffset>
            </wp:positionV>
            <wp:extent cx="5361305" cy="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361305" cy="6985"/>
                    </a:xfrm>
                    <a:prstGeom prst="rect">
                      <a:avLst/>
                    </a:prstGeom>
                    <a:noFill/>
                  </pic:spPr>
                </pic:pic>
              </a:graphicData>
            </a:graphic>
          </wp:anchor>
        </w:drawing>
        <w:drawing>
          <wp:anchor simplePos="0" relativeHeight="251657728" behindDoc="1" locked="0" layoutInCell="0" allowOverlap="1">
            <wp:simplePos x="0" y="0"/>
            <wp:positionH relativeFrom="column">
              <wp:posOffset>1173480</wp:posOffset>
            </wp:positionH>
            <wp:positionV relativeFrom="paragraph">
              <wp:posOffset>-343535</wp:posOffset>
            </wp:positionV>
            <wp:extent cx="5361305" cy="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5361305" cy="6985"/>
                    </a:xfrm>
                    <a:prstGeom prst="rect">
                      <a:avLst/>
                    </a:prstGeom>
                    <a:noFill/>
                  </pic:spPr>
                </pic:pic>
              </a:graphicData>
            </a:graphic>
          </wp:anchor>
        </w:drawing>
        <w:drawing>
          <wp:anchor simplePos="0" relativeHeight="251657728" behindDoc="1" locked="0" layoutInCell="0" allowOverlap="1">
            <wp:simplePos x="0" y="0"/>
            <wp:positionH relativeFrom="column">
              <wp:posOffset>1173480</wp:posOffset>
            </wp:positionH>
            <wp:positionV relativeFrom="paragraph">
              <wp:posOffset>-118110</wp:posOffset>
            </wp:positionV>
            <wp:extent cx="5361305" cy="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5361305" cy="6985"/>
                    </a:xfrm>
                    <a:prstGeom prst="rect">
                      <a:avLst/>
                    </a:prstGeom>
                    <a:noFill/>
                  </pic:spPr>
                </pic:pic>
              </a:graphicData>
            </a:graphic>
          </wp:anchor>
        </w:drawing>
        <w:drawing>
          <wp:anchor simplePos="0" relativeHeight="251657728" behindDoc="1" locked="0" layoutInCell="0" allowOverlap="1">
            <wp:simplePos x="0" y="0"/>
            <wp:positionH relativeFrom="column">
              <wp:posOffset>1173480</wp:posOffset>
            </wp:positionH>
            <wp:positionV relativeFrom="paragraph">
              <wp:posOffset>107315</wp:posOffset>
            </wp:positionV>
            <wp:extent cx="5361305" cy="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5361305" cy="6985"/>
                    </a:xfrm>
                    <a:prstGeom prst="rect">
                      <a:avLst/>
                    </a:prstGeom>
                    <a:noFill/>
                  </pic:spPr>
                </pic:pic>
              </a:graphicData>
            </a:graphic>
          </wp:anchor>
        </w:drawing>
      </w:r>
    </w:p>
    <w:p>
      <w:pPr>
        <w:sectPr>
          <w:pgSz w:w="11900" w:h="16838" w:orient="portrait"/>
          <w:cols w:equalWidth="0" w:num="1">
            <w:col w:w="10219"/>
          </w:cols>
          <w:pgMar w:left="240" w:top="602" w:right="1440" w:bottom="1440" w:gutter="0" w:footer="0" w:header="0"/>
          <w:type w:val="continuous"/>
        </w:sectPr>
      </w:pPr>
    </w:p>
    <w:bookmarkStart w:id="1" w:name="page2"/>
    <w:bookmarkEnd w:id="1"/>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1200"/>
        <w:spacing w:after="0"/>
        <w:rPr>
          <w:sz w:val="20"/>
          <w:szCs w:val="20"/>
          <w:color w:val="auto"/>
        </w:rPr>
      </w:pPr>
      <w:r>
        <w:rPr>
          <w:rFonts w:ascii="Arial" w:cs="Arial" w:eastAsia="Arial" w:hAnsi="Arial"/>
          <w:sz w:val="27"/>
          <w:szCs w:val="27"/>
          <w:b w:val="1"/>
          <w:bCs w:val="1"/>
          <w:color w:val="7B7C80"/>
        </w:rPr>
        <w:t>Notice of 2018 Annual Meeting</w:t>
      </w:r>
    </w:p>
    <w:p>
      <w:pPr>
        <w:spacing w:after="0" w:line="44" w:lineRule="exact"/>
        <w:rPr>
          <w:sz w:val="20"/>
          <w:szCs w:val="20"/>
          <w:color w:val="auto"/>
        </w:rPr>
      </w:pPr>
    </w:p>
    <w:p>
      <w:pPr>
        <w:jc w:val="center"/>
        <w:ind w:right="-1200"/>
        <w:spacing w:after="0"/>
        <w:rPr>
          <w:sz w:val="20"/>
          <w:szCs w:val="20"/>
          <w:color w:val="auto"/>
        </w:rPr>
      </w:pPr>
      <w:r>
        <w:rPr>
          <w:rFonts w:ascii="Arial" w:cs="Arial" w:eastAsia="Arial" w:hAnsi="Arial"/>
          <w:sz w:val="27"/>
          <w:szCs w:val="27"/>
          <w:b w:val="1"/>
          <w:bCs w:val="1"/>
          <w:color w:val="7B7C80"/>
        </w:rPr>
        <w:t>of Shareholders and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118110</wp:posOffset>
            </wp:positionV>
            <wp:extent cx="7272655" cy="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0219"/>
          </w:cols>
          <w:pgMar w:left="240" w:top="142" w:right="1440" w:bottom="1440" w:gutter="0" w:footer="0" w:header="0"/>
        </w:sectPr>
      </w:pPr>
    </w:p>
    <w:bookmarkStart w:id="2" w:name="page3"/>
    <w:bookmarkEnd w:id="2"/>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spacing w:after="0"/>
        <w:rPr>
          <w:sz w:val="20"/>
          <w:szCs w:val="20"/>
          <w:color w:val="auto"/>
        </w:rPr>
      </w:pPr>
      <w:r>
        <w:rPr>
          <w:rFonts w:ascii="Arial" w:cs="Arial" w:eastAsia="Arial" w:hAnsi="Arial"/>
          <w:sz w:val="15"/>
          <w:szCs w:val="15"/>
          <w:color w:val="7B7C80"/>
        </w:rPr>
        <w:t>Dear Fellow Shareholders:</w:t>
      </w:r>
    </w:p>
    <w:p>
      <w:pPr>
        <w:spacing w:after="0" w:line="183" w:lineRule="exact"/>
        <w:rPr>
          <w:sz w:val="20"/>
          <w:szCs w:val="20"/>
          <w:color w:val="auto"/>
        </w:rPr>
      </w:pPr>
    </w:p>
    <w:p>
      <w:pPr>
        <w:spacing w:after="0"/>
        <w:rPr>
          <w:sz w:val="20"/>
          <w:szCs w:val="20"/>
          <w:color w:val="auto"/>
        </w:rPr>
      </w:pPr>
      <w:r>
        <w:rPr>
          <w:rFonts w:ascii="Arial" w:cs="Arial" w:eastAsia="Arial" w:hAnsi="Arial"/>
          <w:sz w:val="15"/>
          <w:szCs w:val="15"/>
          <w:color w:val="7B7C80"/>
        </w:rPr>
        <w:t>You are invited to attend the annual meeting of shareholders on Tuesday, May 22, 2018, at 9:00 a.m., Central Daylight Time, at 711 High Street, Des Moines, Iowa.</w:t>
      </w:r>
    </w:p>
    <w:p>
      <w:pPr>
        <w:spacing w:after="0" w:line="183" w:lineRule="exact"/>
        <w:rPr>
          <w:sz w:val="20"/>
          <w:szCs w:val="20"/>
          <w:color w:val="auto"/>
        </w:rPr>
      </w:pPr>
    </w:p>
    <w:p>
      <w:pPr>
        <w:jc w:val="both"/>
        <w:ind w:right="20"/>
        <w:spacing w:after="0" w:line="247" w:lineRule="auto"/>
        <w:rPr>
          <w:sz w:val="20"/>
          <w:szCs w:val="20"/>
          <w:color w:val="auto"/>
        </w:rPr>
      </w:pPr>
      <w:r>
        <w:rPr>
          <w:rFonts w:ascii="Arial" w:cs="Arial" w:eastAsia="Arial" w:hAnsi="Arial"/>
          <w:sz w:val="15"/>
          <w:szCs w:val="15"/>
          <w:color w:val="7B7C80"/>
        </w:rPr>
        <w:t>The notice of annual meeting and proxy statement provide an outline of the business to be conducted at the meeting. We will also report on the progress of the Company and answer shareholder questions.</w:t>
      </w:r>
    </w:p>
    <w:p>
      <w:pPr>
        <w:spacing w:after="0" w:line="172"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We encourage you to read this proxy statement and vote your shares. You do not need to attend the annual meeting to vote. You may complete, date and sign a proxy or voting instruction card and return it in the envelope provided (if these materials were received by mail) or vote by using the telephone or the Internet. Thank you for acting promptly.</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Distribution of annual meeting materials</w:t>
      </w:r>
    </w:p>
    <w:p>
      <w:pPr>
        <w:spacing w:after="0" w:line="201"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As we've done in the past, Principal is taking advantage of the Securities and Exchange Commission's rule that allows companies to provide proxy materials for the annual meeting via the Internet to registered shareholders. For each shareholder selecting to receive these materials electronically in the future, Principal and the Arbor Day Foundation will plant the same number of trees in a U.S. forest. In 2017, 1,208 trees were planted.</w:t>
      </w:r>
    </w:p>
    <w:p>
      <w:pPr>
        <w:spacing w:after="0" w:line="175" w:lineRule="exact"/>
        <w:rPr>
          <w:sz w:val="20"/>
          <w:szCs w:val="20"/>
          <w:color w:val="auto"/>
        </w:rPr>
      </w:pPr>
    </w:p>
    <w:p>
      <w:pPr>
        <w:spacing w:after="0"/>
        <w:rPr>
          <w:sz w:val="20"/>
          <w:szCs w:val="20"/>
          <w:color w:val="auto"/>
        </w:rPr>
      </w:pPr>
      <w:r>
        <w:rPr>
          <w:rFonts w:ascii="Arial" w:cs="Arial" w:eastAsia="Arial" w:hAnsi="Arial"/>
          <w:sz w:val="15"/>
          <w:szCs w:val="15"/>
          <w:color w:val="7B7C80"/>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114300</wp:posOffset>
            </wp:positionV>
            <wp:extent cx="1811655" cy="6184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811655" cy="618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Daniel J. Houston</w:t>
      </w:r>
    </w:p>
    <w:p>
      <w:pPr>
        <w:spacing w:after="0" w:line="17" w:lineRule="exact"/>
        <w:rPr>
          <w:sz w:val="20"/>
          <w:szCs w:val="20"/>
          <w:color w:val="auto"/>
        </w:rPr>
      </w:pPr>
    </w:p>
    <w:p>
      <w:pPr>
        <w:spacing w:after="0"/>
        <w:rPr>
          <w:sz w:val="20"/>
          <w:szCs w:val="20"/>
          <w:color w:val="auto"/>
        </w:rPr>
      </w:pPr>
      <w:r>
        <w:rPr>
          <w:rFonts w:ascii="Arial" w:cs="Arial" w:eastAsia="Arial" w:hAnsi="Arial"/>
          <w:sz w:val="15"/>
          <w:szCs w:val="15"/>
          <w:color w:val="7B7C80"/>
        </w:rPr>
        <w:t>Chairman, President and Chief Executive Officer</w:t>
      </w:r>
    </w:p>
    <w:p>
      <w:pPr>
        <w:spacing w:after="0" w:line="183" w:lineRule="exact"/>
        <w:rPr>
          <w:sz w:val="20"/>
          <w:szCs w:val="20"/>
          <w:color w:val="auto"/>
        </w:rPr>
      </w:pPr>
    </w:p>
    <w:p>
      <w:pPr>
        <w:spacing w:after="0"/>
        <w:rPr>
          <w:sz w:val="20"/>
          <w:szCs w:val="20"/>
          <w:color w:val="auto"/>
        </w:rPr>
      </w:pPr>
      <w:r>
        <w:rPr>
          <w:rFonts w:ascii="Arial" w:cs="Arial" w:eastAsia="Arial" w:hAnsi="Arial"/>
          <w:sz w:val="15"/>
          <w:szCs w:val="15"/>
          <w:color w:val="7B7C80"/>
        </w:rPr>
        <w:t>April 9,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111760</wp:posOffset>
            </wp:positionV>
            <wp:extent cx="7272655" cy="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3" w:name="page4"/>
    <w:bookmarkEnd w:id="3"/>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72"/>
        <w:spacing w:after="0"/>
        <w:rPr>
          <w:sz w:val="20"/>
          <w:szCs w:val="20"/>
          <w:color w:val="auto"/>
        </w:rPr>
      </w:pPr>
      <w:r>
        <w:rPr>
          <w:rFonts w:ascii="Arial" w:cs="Arial" w:eastAsia="Arial" w:hAnsi="Arial"/>
          <w:sz w:val="27"/>
          <w:szCs w:val="27"/>
          <w:b w:val="1"/>
          <w:bCs w:val="1"/>
          <w:color w:val="7B7C80"/>
        </w:rPr>
        <w:t>Notice of Annual Meeting of Shareholders</w:t>
      </w:r>
    </w:p>
    <w:p>
      <w:pPr>
        <w:spacing w:after="0" w:line="208" w:lineRule="exact"/>
        <w:rPr>
          <w:sz w:val="20"/>
          <w:szCs w:val="20"/>
          <w:color w:val="auto"/>
        </w:rPr>
      </w:pPr>
    </w:p>
    <w:p>
      <w:pPr>
        <w:ind w:left="8"/>
        <w:spacing w:after="0"/>
        <w:tabs>
          <w:tab w:leader="none" w:pos="968" w:val="left"/>
        </w:tabs>
        <w:rPr>
          <w:sz w:val="20"/>
          <w:szCs w:val="20"/>
          <w:color w:val="auto"/>
        </w:rPr>
      </w:pPr>
      <w:r>
        <w:rPr>
          <w:rFonts w:ascii="Arial" w:cs="Arial" w:eastAsia="Arial" w:hAnsi="Arial"/>
          <w:sz w:val="15"/>
          <w:szCs w:val="15"/>
          <w:b w:val="1"/>
          <w:bCs w:val="1"/>
          <w:color w:val="009CCC"/>
        </w:rPr>
        <w:t>Meeting</w:t>
      </w:r>
      <w:r>
        <w:rPr>
          <w:sz w:val="20"/>
          <w:szCs w:val="20"/>
          <w:color w:val="auto"/>
        </w:rPr>
        <w:tab/>
      </w:r>
      <w:r>
        <w:rPr>
          <w:rFonts w:ascii="Arial" w:cs="Arial" w:eastAsia="Arial" w:hAnsi="Arial"/>
          <w:sz w:val="15"/>
          <w:szCs w:val="15"/>
          <w:color w:val="7B7C80"/>
        </w:rPr>
        <w:t>Tuesday, May 22, 2018</w:t>
      </w:r>
    </w:p>
    <w:p>
      <w:pPr>
        <w:spacing w:after="0" w:line="1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Date:</w:t>
      </w:r>
    </w:p>
    <w:p>
      <w:pPr>
        <w:ind w:left="8"/>
        <w:spacing w:after="0"/>
        <w:tabs>
          <w:tab w:leader="none" w:pos="968" w:val="left"/>
        </w:tabs>
        <w:rPr>
          <w:sz w:val="20"/>
          <w:szCs w:val="20"/>
          <w:color w:val="auto"/>
        </w:rPr>
      </w:pPr>
      <w:r>
        <w:rPr>
          <w:rFonts w:ascii="Arial" w:cs="Arial" w:eastAsia="Arial" w:hAnsi="Arial"/>
          <w:sz w:val="15"/>
          <w:szCs w:val="15"/>
          <w:b w:val="1"/>
          <w:bCs w:val="1"/>
          <w:color w:val="009CCC"/>
        </w:rPr>
        <w:t>Time:</w:t>
      </w:r>
      <w:r>
        <w:rPr>
          <w:sz w:val="20"/>
          <w:szCs w:val="20"/>
          <w:color w:val="auto"/>
        </w:rPr>
        <w:tab/>
      </w:r>
      <w:r>
        <w:rPr>
          <w:rFonts w:ascii="Arial" w:cs="Arial" w:eastAsia="Arial" w:hAnsi="Arial"/>
          <w:sz w:val="15"/>
          <w:szCs w:val="15"/>
          <w:color w:val="7B7C80"/>
        </w:rPr>
        <w:t>9:00 a.m., Central Daylight Time</w:t>
      </w:r>
    </w:p>
    <w:p>
      <w:pPr>
        <w:ind w:left="8"/>
        <w:spacing w:after="0"/>
        <w:tabs>
          <w:tab w:leader="none" w:pos="968" w:val="left"/>
        </w:tabs>
        <w:rPr>
          <w:sz w:val="20"/>
          <w:szCs w:val="20"/>
          <w:color w:val="auto"/>
        </w:rPr>
      </w:pPr>
      <w:r>
        <w:rPr>
          <w:rFonts w:ascii="Arial" w:cs="Arial" w:eastAsia="Arial" w:hAnsi="Arial"/>
          <w:sz w:val="15"/>
          <w:szCs w:val="15"/>
          <w:b w:val="1"/>
          <w:bCs w:val="1"/>
          <w:color w:val="009CCC"/>
        </w:rPr>
        <w:t>Location:</w:t>
      </w:r>
      <w:r>
        <w:rPr>
          <w:sz w:val="20"/>
          <w:szCs w:val="20"/>
          <w:color w:val="auto"/>
        </w:rPr>
        <w:tab/>
      </w:r>
      <w:r>
        <w:rPr>
          <w:rFonts w:ascii="Arial" w:cs="Arial" w:eastAsia="Arial" w:hAnsi="Arial"/>
          <w:sz w:val="15"/>
          <w:szCs w:val="15"/>
          <w:color w:val="7B7C80"/>
        </w:rPr>
        <w:t>711 High Street, Des Moines, Iowa</w:t>
      </w:r>
    </w:p>
    <w:p>
      <w:pPr>
        <w:ind w:left="988"/>
        <w:spacing w:after="0"/>
        <w:rPr>
          <w:sz w:val="20"/>
          <w:szCs w:val="20"/>
          <w:color w:val="auto"/>
        </w:rPr>
      </w:pPr>
      <w:r>
        <w:rPr>
          <w:rFonts w:ascii="Arial" w:cs="Arial" w:eastAsia="Arial" w:hAnsi="Arial"/>
          <w:sz w:val="15"/>
          <w:szCs w:val="15"/>
          <w:color w:val="7B7C80"/>
        </w:rPr>
        <w:t>50392</w:t>
      </w:r>
    </w:p>
    <w:p>
      <w:pPr>
        <w:spacing w:after="0" w:line="16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Agenda:</w:t>
      </w:r>
    </w:p>
    <w:p>
      <w:pPr>
        <w:spacing w:after="0" w:line="201" w:lineRule="exact"/>
        <w:rPr>
          <w:sz w:val="20"/>
          <w:szCs w:val="20"/>
          <w:color w:val="auto"/>
        </w:rPr>
      </w:pPr>
    </w:p>
    <w:p>
      <w:pPr>
        <w:ind w:left="448" w:hanging="448"/>
        <w:spacing w:after="0"/>
        <w:tabs>
          <w:tab w:leader="none" w:pos="448" w:val="left"/>
        </w:tabs>
        <w:numPr>
          <w:ilvl w:val="0"/>
          <w:numId w:val="3"/>
        </w:numPr>
        <w:rPr>
          <w:rFonts w:ascii="Arial" w:cs="Arial" w:eastAsia="Arial" w:hAnsi="Arial"/>
          <w:sz w:val="15"/>
          <w:szCs w:val="15"/>
          <w:color w:val="7B7C80"/>
        </w:rPr>
      </w:pPr>
      <w:r>
        <w:rPr>
          <w:rFonts w:ascii="Arial" w:cs="Arial" w:eastAsia="Arial" w:hAnsi="Arial"/>
          <w:sz w:val="15"/>
          <w:szCs w:val="15"/>
          <w:color w:val="7B7C80"/>
        </w:rPr>
        <w:t>Elect four Class II Directors;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3"/>
        </w:numPr>
        <w:rPr>
          <w:rFonts w:ascii="Arial" w:cs="Arial" w:eastAsia="Arial" w:hAnsi="Arial"/>
          <w:sz w:val="15"/>
          <w:szCs w:val="15"/>
          <w:color w:val="7B7C80"/>
        </w:rPr>
      </w:pPr>
      <w:r>
        <w:rPr>
          <w:rFonts w:ascii="Arial" w:cs="Arial" w:eastAsia="Arial" w:hAnsi="Arial"/>
          <w:sz w:val="15"/>
          <w:szCs w:val="15"/>
          <w:color w:val="7B7C80"/>
        </w:rPr>
        <w:t>Hold an advisory vote to approve the compensation of our named executive officers;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3"/>
        </w:numPr>
        <w:rPr>
          <w:rFonts w:ascii="Arial" w:cs="Arial" w:eastAsia="Arial" w:hAnsi="Arial"/>
          <w:sz w:val="15"/>
          <w:szCs w:val="15"/>
          <w:color w:val="7B7C80"/>
        </w:rPr>
      </w:pPr>
      <w:r>
        <w:rPr>
          <w:rFonts w:ascii="Arial" w:cs="Arial" w:eastAsia="Arial" w:hAnsi="Arial"/>
          <w:sz w:val="15"/>
          <w:szCs w:val="15"/>
          <w:color w:val="7B7C80"/>
        </w:rPr>
        <w:t>Ratify the appointment of Ernst &amp; Young LLP as the Company's independent auditors for 2018; and</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3"/>
        </w:numPr>
        <w:rPr>
          <w:rFonts w:ascii="Arial" w:cs="Arial" w:eastAsia="Arial" w:hAnsi="Arial"/>
          <w:sz w:val="15"/>
          <w:szCs w:val="15"/>
          <w:color w:val="7B7C80"/>
        </w:rPr>
      </w:pPr>
      <w:r>
        <w:rPr>
          <w:rFonts w:ascii="Arial" w:cs="Arial" w:eastAsia="Arial" w:hAnsi="Arial"/>
          <w:sz w:val="15"/>
          <w:szCs w:val="15"/>
          <w:color w:val="7B7C80"/>
        </w:rPr>
        <w:t>Transact such other business as may properly come before the meeting.</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Company has not received notice of other matters that may be properly presented at the annual meeting.</w:t>
      </w:r>
    </w:p>
    <w:p>
      <w:pPr>
        <w:spacing w:after="0" w:line="183" w:lineRule="exact"/>
        <w:rPr>
          <w:sz w:val="20"/>
          <w:szCs w:val="20"/>
          <w:color w:val="auto"/>
        </w:rPr>
      </w:pPr>
    </w:p>
    <w:p>
      <w:pPr>
        <w:ind w:left="8"/>
        <w:spacing w:after="0" w:line="247" w:lineRule="auto"/>
        <w:rPr>
          <w:sz w:val="20"/>
          <w:szCs w:val="20"/>
          <w:color w:val="auto"/>
        </w:rPr>
      </w:pPr>
      <w:r>
        <w:rPr>
          <w:rFonts w:ascii="Arial" w:cs="Arial" w:eastAsia="Arial" w:hAnsi="Arial"/>
          <w:sz w:val="15"/>
          <w:szCs w:val="15"/>
          <w:color w:val="7B7C80"/>
        </w:rPr>
        <w:t>You can vote if you were a shareholder of record on March 28, 2018. It is important that your shares be represented and voted at the meeting. Whether or not you plan to attend the meeting, please vote:</w:t>
      </w:r>
    </w:p>
    <w:p>
      <w:pPr>
        <w:spacing w:after="0" w:line="159" w:lineRule="exact"/>
        <w:rPr>
          <w:sz w:val="20"/>
          <w:szCs w:val="20"/>
          <w:color w:val="auto"/>
        </w:rPr>
      </w:pPr>
    </w:p>
    <w:p>
      <w:pPr>
        <w:ind w:left="128"/>
        <w:spacing w:after="0"/>
        <w:tabs>
          <w:tab w:leader="none" w:pos="3848" w:val="left"/>
          <w:tab w:leader="none" w:pos="7728" w:val="left"/>
        </w:tabs>
        <w:rPr>
          <w:sz w:val="20"/>
          <w:szCs w:val="20"/>
          <w:color w:val="auto"/>
        </w:rPr>
      </w:pPr>
      <w:r>
        <w:rPr>
          <w:rFonts w:ascii="Arial" w:cs="Arial" w:eastAsia="Arial" w:hAnsi="Arial"/>
          <w:sz w:val="12"/>
          <w:szCs w:val="12"/>
          <w:b w:val="1"/>
          <w:bCs w:val="1"/>
          <w:color w:val="009CCC"/>
        </w:rPr>
        <w:t>Internet</w:t>
      </w:r>
      <w:r>
        <w:rPr>
          <w:sz w:val="20"/>
          <w:szCs w:val="20"/>
          <w:color w:val="auto"/>
        </w:rPr>
        <w:tab/>
      </w:r>
      <w:r>
        <w:rPr>
          <w:rFonts w:ascii="Arial" w:cs="Arial" w:eastAsia="Arial" w:hAnsi="Arial"/>
          <w:sz w:val="12"/>
          <w:szCs w:val="12"/>
          <w:b w:val="1"/>
          <w:bCs w:val="1"/>
          <w:color w:val="009CCC"/>
        </w:rPr>
        <w:t>Telephone</w:t>
      </w:r>
      <w:r>
        <w:rPr>
          <w:sz w:val="20"/>
          <w:szCs w:val="20"/>
          <w:color w:val="auto"/>
        </w:rPr>
        <w:tab/>
      </w:r>
      <w:r>
        <w:rPr>
          <w:rFonts w:ascii="Arial" w:cs="Arial" w:eastAsia="Arial" w:hAnsi="Arial"/>
          <w:sz w:val="12"/>
          <w:szCs w:val="12"/>
          <w:b w:val="1"/>
          <w:bCs w:val="1"/>
          <w:color w:val="009CCC"/>
        </w:rPr>
        <w:t>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109220</wp:posOffset>
            </wp:positionH>
            <wp:positionV relativeFrom="paragraph">
              <wp:posOffset>5715</wp:posOffset>
            </wp:positionV>
            <wp:extent cx="334645" cy="3130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334645" cy="313055"/>
                    </a:xfrm>
                    <a:prstGeom prst="rect">
                      <a:avLst/>
                    </a:prstGeom>
                    <a:noFill/>
                  </pic:spPr>
                </pic:pic>
              </a:graphicData>
            </a:graphic>
          </wp:anchor>
        </w:drawing>
        <w:drawing>
          <wp:anchor simplePos="0" relativeHeight="251657728" behindDoc="1" locked="0" layoutInCell="0" allowOverlap="1">
            <wp:simplePos x="0" y="0"/>
            <wp:positionH relativeFrom="column">
              <wp:posOffset>2458720</wp:posOffset>
            </wp:positionH>
            <wp:positionV relativeFrom="paragraph">
              <wp:posOffset>5715</wp:posOffset>
            </wp:positionV>
            <wp:extent cx="225425" cy="3130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225425" cy="313055"/>
                    </a:xfrm>
                    <a:prstGeom prst="rect">
                      <a:avLst/>
                    </a:prstGeom>
                    <a:noFill/>
                  </pic:spPr>
                </pic:pic>
              </a:graphicData>
            </a:graphic>
          </wp:anchor>
        </w:drawing>
        <w:drawing>
          <wp:anchor simplePos="0" relativeHeight="251657728" behindDoc="1" locked="0" layoutInCell="0" allowOverlap="1">
            <wp:simplePos x="0" y="0"/>
            <wp:positionH relativeFrom="column">
              <wp:posOffset>4917440</wp:posOffset>
            </wp:positionH>
            <wp:positionV relativeFrom="paragraph">
              <wp:posOffset>5715</wp:posOffset>
            </wp:positionV>
            <wp:extent cx="443865" cy="3130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443865" cy="31305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p>
      <w:pPr>
        <w:spacing w:after="0" w:line="200" w:lineRule="exact"/>
        <w:rPr>
          <w:sz w:val="20"/>
          <w:szCs w:val="20"/>
          <w:color w:val="auto"/>
        </w:rPr>
      </w:pPr>
    </w:p>
    <w:p>
      <w:pPr>
        <w:spacing w:after="0" w:line="315" w:lineRule="exact"/>
        <w:rPr>
          <w:sz w:val="20"/>
          <w:szCs w:val="20"/>
          <w:color w:val="auto"/>
        </w:rPr>
      </w:pPr>
    </w:p>
    <w:p>
      <w:pPr>
        <w:ind w:left="8"/>
        <w:spacing w:after="0" w:line="248" w:lineRule="auto"/>
        <w:rPr>
          <w:sz w:val="20"/>
          <w:szCs w:val="20"/>
          <w:color w:val="auto"/>
        </w:rPr>
      </w:pPr>
      <w:r>
        <w:rPr>
          <w:rFonts w:ascii="Arial" w:cs="Arial" w:eastAsia="Arial" w:hAnsi="Arial"/>
          <w:sz w:val="12"/>
          <w:szCs w:val="12"/>
          <w:b w:val="1"/>
          <w:bCs w:val="1"/>
          <w:color w:val="7B7C80"/>
        </w:rPr>
        <w:t xml:space="preserve">Through the Internet: </w:t>
      </w:r>
      <w:r>
        <w:rPr>
          <w:rFonts w:ascii="Arial" w:cs="Arial" w:eastAsia="Arial" w:hAnsi="Arial"/>
          <w:sz w:val="12"/>
          <w:szCs w:val="12"/>
          <w:color w:val="7B7C80"/>
        </w:rPr>
        <w:t>visit the website noted in the notice of</w:t>
      </w:r>
      <w:r>
        <w:rPr>
          <w:rFonts w:ascii="Arial" w:cs="Arial" w:eastAsia="Arial" w:hAnsi="Arial"/>
          <w:sz w:val="12"/>
          <w:szCs w:val="12"/>
          <w:b w:val="1"/>
          <w:bCs w:val="1"/>
          <w:color w:val="7B7C80"/>
        </w:rPr>
        <w:t xml:space="preserve"> </w:t>
      </w:r>
      <w:r>
        <w:rPr>
          <w:rFonts w:ascii="Arial" w:cs="Arial" w:eastAsia="Arial" w:hAnsi="Arial"/>
          <w:sz w:val="12"/>
          <w:szCs w:val="12"/>
          <w:color w:val="7B7C80"/>
        </w:rPr>
        <w:t>Internet availability of proxy materials shareholders received by mail, on the proxy or voting instruction card, or in the instructions in the email message that notified you of the availability of the proxy materials.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5" w:lineRule="exact"/>
        <w:rPr>
          <w:sz w:val="20"/>
          <w:szCs w:val="20"/>
          <w:color w:val="auto"/>
        </w:rPr>
      </w:pPr>
    </w:p>
    <w:p>
      <w:pPr>
        <w:spacing w:after="0" w:line="258" w:lineRule="auto"/>
        <w:rPr>
          <w:sz w:val="20"/>
          <w:szCs w:val="20"/>
          <w:color w:val="auto"/>
        </w:rPr>
      </w:pPr>
      <w:r>
        <w:rPr>
          <w:rFonts w:ascii="Arial" w:cs="Arial" w:eastAsia="Arial" w:hAnsi="Arial"/>
          <w:sz w:val="12"/>
          <w:szCs w:val="12"/>
          <w:b w:val="1"/>
          <w:bCs w:val="1"/>
          <w:color w:val="7B7C80"/>
        </w:rPr>
        <w:t xml:space="preserve">By telephone: </w:t>
      </w:r>
      <w:r>
        <w:rPr>
          <w:rFonts w:ascii="Arial" w:cs="Arial" w:eastAsia="Arial" w:hAnsi="Arial"/>
          <w:sz w:val="12"/>
          <w:szCs w:val="12"/>
          <w:color w:val="7B7C80"/>
        </w:rPr>
        <w:t>call the toll free telephone number shown on the</w:t>
      </w:r>
      <w:r>
        <w:rPr>
          <w:rFonts w:ascii="Arial" w:cs="Arial" w:eastAsia="Arial" w:hAnsi="Arial"/>
          <w:sz w:val="12"/>
          <w:szCs w:val="12"/>
          <w:b w:val="1"/>
          <w:bCs w:val="1"/>
          <w:color w:val="7B7C80"/>
        </w:rPr>
        <w:t xml:space="preserve"> </w:t>
      </w:r>
      <w:r>
        <w:rPr>
          <w:rFonts w:ascii="Arial" w:cs="Arial" w:eastAsia="Arial" w:hAnsi="Arial"/>
          <w:sz w:val="12"/>
          <w:szCs w:val="12"/>
          <w:color w:val="7B7C80"/>
        </w:rPr>
        <w:t>proxy or voting instruction card or the instructions in the email message that notified you of the availability of the proxy materials.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5" w:lineRule="exact"/>
        <w:rPr>
          <w:sz w:val="20"/>
          <w:szCs w:val="20"/>
          <w:color w:val="auto"/>
        </w:rPr>
      </w:pPr>
    </w:p>
    <w:p>
      <w:pPr>
        <w:jc w:val="both"/>
        <w:ind w:right="620"/>
        <w:spacing w:after="0" w:line="278" w:lineRule="auto"/>
        <w:rPr>
          <w:sz w:val="20"/>
          <w:szCs w:val="20"/>
          <w:color w:val="auto"/>
        </w:rPr>
      </w:pPr>
      <w:r>
        <w:rPr>
          <w:rFonts w:ascii="Arial" w:cs="Arial" w:eastAsia="Arial" w:hAnsi="Arial"/>
          <w:sz w:val="12"/>
          <w:szCs w:val="12"/>
          <w:b w:val="1"/>
          <w:bCs w:val="1"/>
          <w:color w:val="7B7C80"/>
        </w:rPr>
        <w:t xml:space="preserve">Complete, sign and promptly return a proxy or voting instruction card </w:t>
      </w:r>
      <w:r>
        <w:rPr>
          <w:rFonts w:ascii="Arial" w:cs="Arial" w:eastAsia="Arial" w:hAnsi="Arial"/>
          <w:sz w:val="12"/>
          <w:szCs w:val="12"/>
          <w:color w:val="7B7C80"/>
        </w:rPr>
        <w:t>in the postage paid envelope provided.</w:t>
      </w:r>
    </w:p>
    <w:p>
      <w:pPr>
        <w:spacing w:after="0" w:line="563" w:lineRule="exact"/>
        <w:rPr>
          <w:sz w:val="20"/>
          <w:szCs w:val="20"/>
          <w:color w:val="auto"/>
        </w:rPr>
      </w:pPr>
    </w:p>
    <w:p>
      <w:pPr>
        <w:sectPr>
          <w:pgSz w:w="11900" w:h="16838" w:orient="portrait"/>
          <w:cols w:equalWidth="0" w:num="3">
            <w:col w:w="3608" w:space="260"/>
            <w:col w:w="3560" w:space="320"/>
            <w:col w:w="3700"/>
          </w:cols>
          <w:pgMar w:left="232" w:top="142" w:right="219" w:bottom="1440" w:gutter="0" w:footer="0" w:header="0"/>
          <w:type w:val="continuous"/>
        </w:sectPr>
      </w:pPr>
    </w:p>
    <w:p>
      <w:pPr>
        <w:jc w:val="both"/>
        <w:ind w:left="8"/>
        <w:spacing w:after="0" w:line="242" w:lineRule="auto"/>
        <w:rPr>
          <w:sz w:val="20"/>
          <w:szCs w:val="20"/>
          <w:color w:val="auto"/>
        </w:rPr>
      </w:pPr>
      <w:r>
        <w:rPr>
          <w:rFonts w:ascii="Arial" w:cs="Arial" w:eastAsia="Arial" w:hAnsi="Arial"/>
          <w:sz w:val="15"/>
          <w:szCs w:val="15"/>
          <w:color w:val="7B7C80"/>
        </w:rPr>
        <w:t>If you attend the meeting, you will need to register and present a valid, government issued photo identification. If your shares are not registered in your name (for example, you hold the shares through an account with your stockbroker), you will need to bring proof of your ownership of those shares to the meeting to register. You should ask the broker, bank or other institution that holds your shares to provide you with either a copy of an account statement or a letter that shows your ownership of Principal Financial Group, Inc. common stock on March 28, 2018. Please bring that documentation to the meeting to register.</w:t>
      </w:r>
    </w:p>
    <w:p>
      <w:pPr>
        <w:spacing w:after="0" w:line="175" w:lineRule="exact"/>
        <w:rPr>
          <w:sz w:val="20"/>
          <w:szCs w:val="20"/>
          <w:color w:val="auto"/>
        </w:rPr>
      </w:pPr>
    </w:p>
    <w:p>
      <w:pPr>
        <w:ind w:left="8"/>
        <w:spacing w:after="0"/>
        <w:rPr>
          <w:sz w:val="20"/>
          <w:szCs w:val="20"/>
          <w:color w:val="auto"/>
        </w:rPr>
      </w:pPr>
      <w:r>
        <w:rPr>
          <w:rFonts w:ascii="Arial" w:cs="Arial" w:eastAsia="Arial" w:hAnsi="Arial"/>
          <w:sz w:val="15"/>
          <w:szCs w:val="15"/>
          <w:color w:val="7B7C80"/>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114300</wp:posOffset>
            </wp:positionV>
            <wp:extent cx="1243965" cy="3784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243965" cy="378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7B7C80"/>
        </w:rPr>
        <w:t>Karen E. Shaff</w:t>
      </w:r>
    </w:p>
    <w:p>
      <w:pPr>
        <w:spacing w:after="0" w:line="17" w:lineRule="exact"/>
        <w:rPr>
          <w:sz w:val="20"/>
          <w:szCs w:val="20"/>
          <w:color w:val="auto"/>
        </w:rPr>
      </w:pPr>
    </w:p>
    <w:p>
      <w:pPr>
        <w:ind w:left="8"/>
        <w:spacing w:after="0"/>
        <w:rPr>
          <w:sz w:val="20"/>
          <w:szCs w:val="20"/>
          <w:color w:val="auto"/>
        </w:rPr>
      </w:pPr>
      <w:r>
        <w:rPr>
          <w:rFonts w:ascii="Arial" w:cs="Arial" w:eastAsia="Arial" w:hAnsi="Arial"/>
          <w:sz w:val="15"/>
          <w:szCs w:val="15"/>
          <w:color w:val="7B7C80"/>
        </w:rPr>
        <w:t>Executive Vice President, General Counsel and Secretary</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7B7C80"/>
        </w:rPr>
        <w:t>April 9,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114300</wp:posOffset>
            </wp:positionV>
            <wp:extent cx="7267575" cy="8439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67575" cy="843915"/>
                    </a:xfrm>
                    <a:prstGeom prst="rect">
                      <a:avLst/>
                    </a:prstGeom>
                    <a:noFill/>
                  </pic:spPr>
                </pic:pic>
              </a:graphicData>
            </a:graphic>
          </wp:anchor>
        </w:drawing>
      </w:r>
    </w:p>
    <w:p>
      <w:pPr>
        <w:spacing w:after="0" w:line="397" w:lineRule="exact"/>
        <w:rPr>
          <w:sz w:val="20"/>
          <w:szCs w:val="20"/>
          <w:color w:val="auto"/>
        </w:rPr>
      </w:pPr>
    </w:p>
    <w:p>
      <w:pPr>
        <w:jc w:val="center"/>
        <w:ind w:right="-7"/>
        <w:spacing w:after="0"/>
        <w:rPr>
          <w:sz w:val="20"/>
          <w:szCs w:val="20"/>
          <w:color w:val="auto"/>
        </w:rPr>
      </w:pPr>
      <w:r>
        <w:rPr>
          <w:rFonts w:ascii="Arial" w:cs="Arial" w:eastAsia="Arial" w:hAnsi="Arial"/>
          <w:sz w:val="15"/>
          <w:szCs w:val="15"/>
          <w:b w:val="1"/>
          <w:bCs w:val="1"/>
          <w:color w:val="7B7C80"/>
        </w:rPr>
        <w:t>IMPORTANT NOTICE REGARDING AVAILABILITY OF PROXY MATERIALS</w:t>
      </w:r>
    </w:p>
    <w:p>
      <w:pPr>
        <w:spacing w:after="0" w:line="17" w:lineRule="exact"/>
        <w:rPr>
          <w:sz w:val="20"/>
          <w:szCs w:val="20"/>
          <w:color w:val="auto"/>
        </w:rPr>
      </w:pPr>
    </w:p>
    <w:p>
      <w:pPr>
        <w:jc w:val="center"/>
        <w:ind w:right="-7"/>
        <w:spacing w:after="0"/>
        <w:rPr>
          <w:sz w:val="20"/>
          <w:szCs w:val="20"/>
          <w:color w:val="auto"/>
        </w:rPr>
      </w:pPr>
      <w:r>
        <w:rPr>
          <w:rFonts w:ascii="Arial" w:cs="Arial" w:eastAsia="Arial" w:hAnsi="Arial"/>
          <w:sz w:val="15"/>
          <w:szCs w:val="15"/>
          <w:b w:val="1"/>
          <w:bCs w:val="1"/>
          <w:color w:val="7B7C80"/>
        </w:rPr>
        <w:t>FOR THE SHAREHOLDER MEETING TO BE HELD ON MAY 22, 2018:</w:t>
      </w:r>
    </w:p>
    <w:p>
      <w:pPr>
        <w:spacing w:after="0" w:line="165" w:lineRule="exact"/>
        <w:rPr>
          <w:sz w:val="20"/>
          <w:szCs w:val="20"/>
          <w:color w:val="auto"/>
        </w:rPr>
      </w:pPr>
    </w:p>
    <w:p>
      <w:pPr>
        <w:jc w:val="center"/>
        <w:ind w:right="-7"/>
        <w:spacing w:after="0"/>
        <w:rPr>
          <w:sz w:val="20"/>
          <w:szCs w:val="20"/>
          <w:color w:val="auto"/>
        </w:rPr>
      </w:pPr>
      <w:r>
        <w:rPr>
          <w:rFonts w:ascii="Arial" w:cs="Arial" w:eastAsia="Arial" w:hAnsi="Arial"/>
          <w:sz w:val="15"/>
          <w:szCs w:val="15"/>
          <w:b w:val="1"/>
          <w:bCs w:val="1"/>
          <w:color w:val="7B7C80"/>
        </w:rPr>
        <w:t>The 2017 Annual Report, 2018 Proxy Statement and other proxy materials are available at</w:t>
      </w:r>
    </w:p>
    <w:p>
      <w:pPr>
        <w:spacing w:after="0" w:line="17" w:lineRule="exact"/>
        <w:rPr>
          <w:sz w:val="20"/>
          <w:szCs w:val="20"/>
          <w:color w:val="auto"/>
        </w:rPr>
      </w:pPr>
    </w:p>
    <w:p>
      <w:pPr>
        <w:jc w:val="center"/>
        <w:ind w:right="-7"/>
        <w:spacing w:after="0"/>
        <w:rPr>
          <w:sz w:val="20"/>
          <w:szCs w:val="20"/>
          <w:color w:val="auto"/>
        </w:rPr>
      </w:pPr>
      <w:r>
        <w:rPr>
          <w:rFonts w:ascii="Arial" w:cs="Arial" w:eastAsia="Arial" w:hAnsi="Arial"/>
          <w:sz w:val="15"/>
          <w:szCs w:val="15"/>
          <w:b w:val="1"/>
          <w:bCs w:val="1"/>
          <w:color w:val="009CCC"/>
        </w:rPr>
        <w:t>www.principal.com.</w:t>
      </w:r>
    </w:p>
    <w:p>
      <w:pPr>
        <w:spacing w:after="0" w:line="389" w:lineRule="exact"/>
        <w:rPr>
          <w:sz w:val="20"/>
          <w:szCs w:val="20"/>
          <w:color w:val="auto"/>
        </w:rPr>
      </w:pPr>
    </w:p>
    <w:p>
      <w:pPr>
        <w:jc w:val="center"/>
        <w:ind w:right="-7"/>
        <w:spacing w:after="0"/>
        <w:rPr>
          <w:sz w:val="20"/>
          <w:szCs w:val="20"/>
          <w:color w:val="auto"/>
        </w:rPr>
      </w:pPr>
      <w:r>
        <w:rPr>
          <w:rFonts w:ascii="Arial" w:cs="Arial" w:eastAsia="Arial" w:hAnsi="Arial"/>
          <w:sz w:val="15"/>
          <w:szCs w:val="15"/>
          <w:color w:val="7B7C80"/>
        </w:rPr>
        <w:t>Your vote is important! Please take a moment to vote by Internet, telephone or proxy or voting instruction card as explained in the How Do I Vote sections of this document.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111760</wp:posOffset>
            </wp:positionV>
            <wp:extent cx="7272655" cy="19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type w:val="continuous"/>
        </w:sectPr>
      </w:pPr>
    </w:p>
    <w:bookmarkStart w:id="4" w:name="page5"/>
    <w:bookmarkEnd w:id="4"/>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tbl>
      <w:tblPr>
        <w:tblLayout w:type="fixed"/>
        <w:tblInd w:w="1360" w:type="dxa"/>
        <w:tblCellMar>
          <w:top w:w="0" w:type="dxa"/>
          <w:left w:w="0" w:type="dxa"/>
          <w:bottom w:w="0" w:type="dxa"/>
          <w:right w:w="0" w:type="dxa"/>
        </w:tblCellMar>
      </w:tblPr>
      <w:tr>
        <w:trPr>
          <w:trHeight w:val="365"/>
        </w:trPr>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140" w:type="dxa"/>
            <w:vAlign w:val="bottom"/>
            <w:gridSpan w:val="10"/>
          </w:tcPr>
          <w:p>
            <w:pPr>
              <w:ind w:left="80"/>
              <w:spacing w:after="0"/>
              <w:rPr>
                <w:sz w:val="20"/>
                <w:szCs w:val="20"/>
                <w:color w:val="auto"/>
              </w:rPr>
            </w:pPr>
            <w:r>
              <w:rPr>
                <w:rFonts w:ascii="Arial" w:cs="Arial" w:eastAsia="Arial" w:hAnsi="Arial"/>
                <w:sz w:val="27"/>
                <w:szCs w:val="27"/>
                <w:b w:val="1"/>
                <w:bCs w:val="1"/>
                <w:color w:val="7B7C80"/>
              </w:rPr>
              <w:t>Table of Contents</w:t>
            </w: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40" w:type="dxa"/>
            <w:vAlign w:val="bottom"/>
            <w:tcBorders>
              <w:bottom w:val="single" w:sz="8" w:color="7B7C80"/>
            </w:tcBorders>
          </w:tcPr>
          <w:p>
            <w:pPr>
              <w:spacing w:after="0"/>
              <w:rPr>
                <w:sz w:val="14"/>
                <w:szCs w:val="14"/>
                <w:color w:val="auto"/>
              </w:rPr>
            </w:pPr>
          </w:p>
        </w:tc>
        <w:tc>
          <w:tcPr>
            <w:tcW w:w="160" w:type="dxa"/>
            <w:vAlign w:val="bottom"/>
            <w:tcBorders>
              <w:bottom w:val="single" w:sz="8" w:color="7B7C80"/>
            </w:tcBorders>
          </w:tcPr>
          <w:p>
            <w:pPr>
              <w:spacing w:after="0"/>
              <w:rPr>
                <w:sz w:val="14"/>
                <w:szCs w:val="14"/>
                <w:color w:val="auto"/>
              </w:rPr>
            </w:pPr>
          </w:p>
        </w:tc>
        <w:tc>
          <w:tcPr>
            <w:tcW w:w="620" w:type="dxa"/>
            <w:vAlign w:val="bottom"/>
            <w:tcBorders>
              <w:bottom w:val="single" w:sz="8" w:color="7B7C80"/>
            </w:tcBorders>
          </w:tcPr>
          <w:p>
            <w:pPr>
              <w:spacing w:after="0"/>
              <w:rPr>
                <w:sz w:val="14"/>
                <w:szCs w:val="14"/>
                <w:color w:val="auto"/>
              </w:rPr>
            </w:pPr>
          </w:p>
        </w:tc>
        <w:tc>
          <w:tcPr>
            <w:tcW w:w="60" w:type="dxa"/>
            <w:vAlign w:val="bottom"/>
            <w:tcBorders>
              <w:bottom w:val="single" w:sz="8" w:color="7B7C80"/>
            </w:tcBorders>
          </w:tcPr>
          <w:p>
            <w:pPr>
              <w:spacing w:after="0"/>
              <w:rPr>
                <w:sz w:val="14"/>
                <w:szCs w:val="14"/>
                <w:color w:val="auto"/>
              </w:rPr>
            </w:pPr>
          </w:p>
        </w:tc>
        <w:tc>
          <w:tcPr>
            <w:tcW w:w="40" w:type="dxa"/>
            <w:vAlign w:val="bottom"/>
            <w:tcBorders>
              <w:bottom w:val="single" w:sz="8" w:color="7B7C80"/>
            </w:tcBorders>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6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4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120" w:type="dxa"/>
            <w:vAlign w:val="bottom"/>
            <w:tcBorders>
              <w:bottom w:val="single" w:sz="8" w:color="7B7C80"/>
            </w:tcBorders>
          </w:tcPr>
          <w:p>
            <w:pPr>
              <w:spacing w:after="0"/>
              <w:rPr>
                <w:sz w:val="14"/>
                <w:szCs w:val="14"/>
                <w:color w:val="auto"/>
              </w:rPr>
            </w:pPr>
          </w:p>
        </w:tc>
        <w:tc>
          <w:tcPr>
            <w:tcW w:w="60" w:type="dxa"/>
            <w:vAlign w:val="bottom"/>
            <w:tcBorders>
              <w:bottom w:val="single" w:sz="8" w:color="7B7C80"/>
            </w:tcBorders>
          </w:tcPr>
          <w:p>
            <w:pPr>
              <w:spacing w:after="0"/>
              <w:rPr>
                <w:sz w:val="14"/>
                <w:szCs w:val="14"/>
                <w:color w:val="auto"/>
              </w:rPr>
            </w:pPr>
          </w:p>
        </w:tc>
        <w:tc>
          <w:tcPr>
            <w:tcW w:w="100" w:type="dxa"/>
            <w:vAlign w:val="bottom"/>
            <w:tcBorders>
              <w:bottom w:val="single" w:sz="8" w:color="7B7C80"/>
            </w:tcBorders>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40" w:type="dxa"/>
            <w:vAlign w:val="bottom"/>
            <w:tcBorders>
              <w:bottom w:val="single" w:sz="8" w:color="7B7C80"/>
            </w:tcBorders>
          </w:tcPr>
          <w:p>
            <w:pPr>
              <w:spacing w:after="0"/>
              <w:rPr>
                <w:sz w:val="14"/>
                <w:szCs w:val="14"/>
                <w:color w:val="auto"/>
              </w:rPr>
            </w:pPr>
          </w:p>
        </w:tc>
        <w:tc>
          <w:tcPr>
            <w:tcW w:w="40" w:type="dxa"/>
            <w:vAlign w:val="bottom"/>
            <w:tcBorders>
              <w:bottom w:val="single" w:sz="8" w:color="7B7C80"/>
            </w:tcBorders>
          </w:tcPr>
          <w:p>
            <w:pPr>
              <w:spacing w:after="0"/>
              <w:rPr>
                <w:sz w:val="14"/>
                <w:szCs w:val="14"/>
                <w:color w:val="auto"/>
              </w:rPr>
            </w:pPr>
          </w:p>
        </w:tc>
        <w:tc>
          <w:tcPr>
            <w:tcW w:w="40" w:type="dxa"/>
            <w:vAlign w:val="bottom"/>
            <w:tcBorders>
              <w:bottom w:val="single" w:sz="8" w:color="7B7C80"/>
            </w:tcBorders>
          </w:tcPr>
          <w:p>
            <w:pPr>
              <w:spacing w:after="0"/>
              <w:rPr>
                <w:sz w:val="14"/>
                <w:szCs w:val="14"/>
                <w:color w:val="auto"/>
              </w:rPr>
            </w:pPr>
          </w:p>
        </w:tc>
        <w:tc>
          <w:tcPr>
            <w:tcW w:w="40" w:type="dxa"/>
            <w:vAlign w:val="bottom"/>
            <w:tcBorders>
              <w:bottom w:val="single" w:sz="8" w:color="7B7C80"/>
            </w:tcBorders>
          </w:tcPr>
          <w:p>
            <w:pPr>
              <w:spacing w:after="0"/>
              <w:rPr>
                <w:sz w:val="14"/>
                <w:szCs w:val="14"/>
                <w:color w:val="auto"/>
              </w:rPr>
            </w:pPr>
          </w:p>
        </w:tc>
        <w:tc>
          <w:tcPr>
            <w:tcW w:w="180" w:type="dxa"/>
            <w:vAlign w:val="bottom"/>
            <w:tcBorders>
              <w:bottom w:val="single" w:sz="8" w:color="7B7C80"/>
            </w:tcBorders>
          </w:tcPr>
          <w:p>
            <w:pPr>
              <w:spacing w:after="0"/>
              <w:rPr>
                <w:sz w:val="14"/>
                <w:szCs w:val="14"/>
                <w:color w:val="auto"/>
              </w:rPr>
            </w:pPr>
          </w:p>
        </w:tc>
        <w:tc>
          <w:tcPr>
            <w:tcW w:w="60" w:type="dxa"/>
            <w:vAlign w:val="bottom"/>
            <w:tcBorders>
              <w:bottom w:val="single" w:sz="8" w:color="7B7C80"/>
            </w:tcBorders>
          </w:tcPr>
          <w:p>
            <w:pPr>
              <w:spacing w:after="0"/>
              <w:rPr>
                <w:sz w:val="14"/>
                <w:szCs w:val="14"/>
                <w:color w:val="auto"/>
              </w:rPr>
            </w:pPr>
          </w:p>
        </w:tc>
        <w:tc>
          <w:tcPr>
            <w:tcW w:w="160" w:type="dxa"/>
            <w:vAlign w:val="bottom"/>
            <w:tcBorders>
              <w:bottom w:val="single" w:sz="8" w:color="7B7C80"/>
            </w:tcBorders>
          </w:tcPr>
          <w:p>
            <w:pPr>
              <w:spacing w:after="0"/>
              <w:rPr>
                <w:sz w:val="14"/>
                <w:szCs w:val="14"/>
                <w:color w:val="auto"/>
              </w:rPr>
            </w:pPr>
          </w:p>
        </w:tc>
        <w:tc>
          <w:tcPr>
            <w:tcW w:w="140" w:type="dxa"/>
            <w:vAlign w:val="bottom"/>
            <w:tcBorders>
              <w:bottom w:val="single" w:sz="8" w:color="7B7C80"/>
            </w:tcBorders>
          </w:tcPr>
          <w:p>
            <w:pPr>
              <w:spacing w:after="0"/>
              <w:rPr>
                <w:sz w:val="14"/>
                <w:szCs w:val="14"/>
                <w:color w:val="auto"/>
              </w:rPr>
            </w:pPr>
          </w:p>
        </w:tc>
        <w:tc>
          <w:tcPr>
            <w:tcW w:w="40" w:type="dxa"/>
            <w:vAlign w:val="bottom"/>
            <w:tcBorders>
              <w:bottom w:val="single" w:sz="8" w:color="7B7C80"/>
            </w:tcBorders>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60" w:type="dxa"/>
            <w:vAlign w:val="bottom"/>
            <w:tcBorders>
              <w:bottom w:val="single" w:sz="8" w:color="7B7C80"/>
            </w:tcBorders>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60" w:type="dxa"/>
            <w:vAlign w:val="bottom"/>
            <w:tcBorders>
              <w:bottom w:val="single" w:sz="8" w:color="7B7C80"/>
            </w:tcBorders>
          </w:tcPr>
          <w:p>
            <w:pPr>
              <w:spacing w:after="0"/>
              <w:rPr>
                <w:sz w:val="14"/>
                <w:szCs w:val="14"/>
                <w:color w:val="auto"/>
              </w:rPr>
            </w:pPr>
          </w:p>
        </w:tc>
        <w:tc>
          <w:tcPr>
            <w:tcW w:w="4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4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6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180" w:type="dxa"/>
            <w:vAlign w:val="bottom"/>
            <w:tcBorders>
              <w:bottom w:val="single" w:sz="8" w:color="7B7C80"/>
            </w:tcBorders>
          </w:tcPr>
          <w:p>
            <w:pPr>
              <w:spacing w:after="0"/>
              <w:rPr>
                <w:sz w:val="14"/>
                <w:szCs w:val="14"/>
                <w:color w:val="auto"/>
              </w:rPr>
            </w:pPr>
          </w:p>
        </w:tc>
        <w:tc>
          <w:tcPr>
            <w:tcW w:w="100" w:type="dxa"/>
            <w:vAlign w:val="bottom"/>
            <w:tcBorders>
              <w:bottom w:val="single" w:sz="8" w:color="7B7C80"/>
            </w:tcBorders>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120" w:type="dxa"/>
            <w:vAlign w:val="bottom"/>
            <w:tcBorders>
              <w:bottom w:val="single" w:sz="8" w:color="7B7C80"/>
            </w:tcBorders>
          </w:tcPr>
          <w:p>
            <w:pPr>
              <w:spacing w:after="0"/>
              <w:rPr>
                <w:sz w:val="14"/>
                <w:szCs w:val="14"/>
                <w:color w:val="auto"/>
              </w:rPr>
            </w:pPr>
          </w:p>
        </w:tc>
        <w:tc>
          <w:tcPr>
            <w:tcW w:w="200" w:type="dxa"/>
            <w:vAlign w:val="bottom"/>
            <w:tcBorders>
              <w:bottom w:val="single" w:sz="8" w:color="7B7C80"/>
            </w:tcBorders>
          </w:tcPr>
          <w:p>
            <w:pPr>
              <w:spacing w:after="0"/>
              <w:rPr>
                <w:sz w:val="14"/>
                <w:szCs w:val="14"/>
                <w:color w:val="auto"/>
              </w:rPr>
            </w:pPr>
          </w:p>
        </w:tc>
        <w:tc>
          <w:tcPr>
            <w:tcW w:w="520" w:type="dxa"/>
            <w:vAlign w:val="bottom"/>
            <w:tcBorders>
              <w:bottom w:val="single" w:sz="8" w:color="7B7C80"/>
            </w:tcBorders>
          </w:tcPr>
          <w:p>
            <w:pPr>
              <w:spacing w:after="0"/>
              <w:rPr>
                <w:sz w:val="14"/>
                <w:szCs w:val="14"/>
                <w:color w:val="auto"/>
              </w:rPr>
            </w:pPr>
          </w:p>
        </w:tc>
        <w:tc>
          <w:tcPr>
            <w:tcW w:w="340" w:type="dxa"/>
            <w:vAlign w:val="bottom"/>
            <w:tcBorders>
              <w:bottom w:val="single" w:sz="8" w:color="7B7C80"/>
            </w:tcBorders>
          </w:tcPr>
          <w:p>
            <w:pPr>
              <w:spacing w:after="0"/>
              <w:rPr>
                <w:sz w:val="14"/>
                <w:szCs w:val="14"/>
                <w:color w:val="auto"/>
              </w:rPr>
            </w:pPr>
          </w:p>
        </w:tc>
        <w:tc>
          <w:tcPr>
            <w:tcW w:w="200" w:type="dxa"/>
            <w:vAlign w:val="bottom"/>
            <w:tcBorders>
              <w:bottom w:val="single" w:sz="8" w:color="7B7C80"/>
            </w:tcBorders>
          </w:tcPr>
          <w:p>
            <w:pPr>
              <w:spacing w:after="0"/>
              <w:rPr>
                <w:sz w:val="14"/>
                <w:szCs w:val="14"/>
                <w:color w:val="auto"/>
              </w:rPr>
            </w:pPr>
          </w:p>
        </w:tc>
        <w:tc>
          <w:tcPr>
            <w:tcW w:w="3200" w:type="dxa"/>
            <w:vAlign w:val="bottom"/>
            <w:tcBorders>
              <w:bottom w:val="single" w:sz="8" w:color="7B7C80"/>
            </w:tcBorders>
          </w:tcPr>
          <w:p>
            <w:pPr>
              <w:spacing w:after="0"/>
              <w:rPr>
                <w:sz w:val="14"/>
                <w:szCs w:val="14"/>
                <w:color w:val="auto"/>
              </w:rPr>
            </w:pPr>
          </w:p>
        </w:tc>
        <w:tc>
          <w:tcPr>
            <w:tcW w:w="200" w:type="dxa"/>
            <w:vAlign w:val="bottom"/>
            <w:tcBorders>
              <w:bottom w:val="single" w:sz="8" w:color="7B7C80"/>
            </w:tcBorders>
          </w:tcPr>
          <w:p>
            <w:pPr>
              <w:spacing w:after="0"/>
              <w:rPr>
                <w:sz w:val="14"/>
                <w:szCs w:val="14"/>
                <w:color w:val="auto"/>
              </w:rPr>
            </w:pPr>
          </w:p>
        </w:tc>
        <w:tc>
          <w:tcPr>
            <w:tcW w:w="200" w:type="dxa"/>
            <w:vAlign w:val="bottom"/>
            <w:tcBorders>
              <w:bottom w:val="single" w:sz="8" w:color="7B7C80"/>
            </w:tcBorders>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2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0"/>
        </w:trPr>
        <w:tc>
          <w:tcPr>
            <w:tcW w:w="8220" w:type="dxa"/>
            <w:vAlign w:val="bottom"/>
            <w:gridSpan w:val="50"/>
          </w:tcPr>
          <w:p>
            <w:pPr>
              <w:spacing w:after="0" w:line="141" w:lineRule="exact"/>
              <w:rPr>
                <w:rFonts w:ascii="Arial" w:cs="Arial" w:eastAsia="Arial" w:hAnsi="Arial"/>
                <w:sz w:val="15"/>
                <w:szCs w:val="15"/>
                <w:b w:val="1"/>
                <w:bCs w:val="1"/>
                <w:color w:val="009CCC"/>
              </w:rPr>
            </w:pPr>
            <w:hyperlink w:anchor="page4">
              <w:r>
                <w:rPr>
                  <w:rFonts w:ascii="Arial" w:cs="Arial" w:eastAsia="Arial" w:hAnsi="Arial"/>
                  <w:sz w:val="15"/>
                  <w:szCs w:val="15"/>
                  <w:b w:val="1"/>
                  <w:bCs w:val="1"/>
                  <w:color w:val="009CCC"/>
                </w:rPr>
                <w:t>Notice of Annual Meeting of Shareholders</w:t>
              </w:r>
            </w:hyperlink>
          </w:p>
        </w:tc>
        <w:tc>
          <w:tcPr>
            <w:tcW w:w="360" w:type="dxa"/>
            <w:vAlign w:val="bottom"/>
            <w:gridSpan w:val="3"/>
          </w:tcPr>
          <w:p>
            <w:pPr>
              <w:jc w:val="right"/>
              <w:spacing w:after="0" w:line="141" w:lineRule="exact"/>
              <w:rPr>
                <w:rFonts w:ascii="Arial" w:cs="Arial" w:eastAsia="Arial" w:hAnsi="Arial"/>
                <w:sz w:val="15"/>
                <w:szCs w:val="15"/>
                <w:b w:val="1"/>
                <w:bCs w:val="1"/>
                <w:color w:val="7B7C80"/>
              </w:rPr>
            </w:pPr>
            <w:hyperlink w:anchor="page4">
              <w:r>
                <w:rPr>
                  <w:rFonts w:ascii="Arial" w:cs="Arial" w:eastAsia="Arial" w:hAnsi="Arial"/>
                  <w:sz w:val="15"/>
                  <w:szCs w:val="15"/>
                  <w:b w:val="1"/>
                  <w:bCs w:val="1"/>
                  <w:color w:val="7B7C80"/>
                </w:rPr>
                <w:t>1</w:t>
              </w:r>
            </w:hyperlink>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1260" w:type="dxa"/>
            <w:vAlign w:val="bottom"/>
            <w:tcBorders>
              <w:top w:val="single" w:sz="8" w:color="009CCC"/>
              <w:bottom w:val="single" w:sz="8" w:color="009CCC"/>
            </w:tcBorders>
            <w:gridSpan w:val="9"/>
          </w:tcPr>
          <w:p>
            <w:pPr>
              <w:spacing w:after="0" w:line="152" w:lineRule="exact"/>
              <w:rPr>
                <w:rFonts w:ascii="Arial" w:cs="Arial" w:eastAsia="Arial" w:hAnsi="Arial"/>
                <w:sz w:val="15"/>
                <w:szCs w:val="15"/>
                <w:b w:val="1"/>
                <w:bCs w:val="1"/>
                <w:color w:val="009CCC"/>
                <w:w w:val="97"/>
              </w:rPr>
            </w:pPr>
            <w:hyperlink w:anchor="page5">
              <w:r>
                <w:rPr>
                  <w:rFonts w:ascii="Arial" w:cs="Arial" w:eastAsia="Arial" w:hAnsi="Arial"/>
                  <w:sz w:val="15"/>
                  <w:szCs w:val="15"/>
                  <w:b w:val="1"/>
                  <w:bCs w:val="1"/>
                  <w:color w:val="009CCC"/>
                  <w:w w:val="97"/>
                </w:rPr>
                <w:t>Table of Contents</w:t>
              </w:r>
            </w:hyperlink>
          </w:p>
        </w:tc>
        <w:tc>
          <w:tcPr>
            <w:tcW w:w="80" w:type="dxa"/>
            <w:vAlign w:val="bottom"/>
            <w:tcBorders>
              <w:top w:val="single" w:sz="8" w:color="009CCC"/>
              <w:bottom w:val="single" w:sz="8" w:color="7B7C80"/>
            </w:tcBorders>
            <w:gridSpan w:val="3"/>
          </w:tcPr>
          <w:p>
            <w:pPr>
              <w:spacing w:after="0"/>
              <w:rPr>
                <w:sz w:val="13"/>
                <w:szCs w:val="13"/>
                <w:color w:val="auto"/>
              </w:rPr>
            </w:pPr>
          </w:p>
        </w:tc>
        <w:tc>
          <w:tcPr>
            <w:tcW w:w="1620" w:type="dxa"/>
            <w:vAlign w:val="bottom"/>
            <w:tcBorders>
              <w:top w:val="single" w:sz="8" w:color="009CCC"/>
            </w:tcBorders>
            <w:gridSpan w:val="24"/>
          </w:tcPr>
          <w:p>
            <w:pPr>
              <w:spacing w:after="0"/>
              <w:rPr>
                <w:sz w:val="13"/>
                <w:szCs w:val="13"/>
                <w:color w:val="auto"/>
              </w:rPr>
            </w:pPr>
          </w:p>
        </w:tc>
        <w:tc>
          <w:tcPr>
            <w:tcW w:w="20" w:type="dxa"/>
            <w:vAlign w:val="bottom"/>
            <w:tcBorders>
              <w:top w:val="single" w:sz="8" w:color="7B7C80"/>
            </w:tcBorders>
          </w:tcPr>
          <w:p>
            <w:pPr>
              <w:spacing w:after="0"/>
              <w:rPr>
                <w:sz w:val="13"/>
                <w:szCs w:val="13"/>
                <w:color w:val="auto"/>
              </w:rPr>
            </w:pPr>
          </w:p>
        </w:tc>
        <w:tc>
          <w:tcPr>
            <w:tcW w:w="60" w:type="dxa"/>
            <w:vAlign w:val="bottom"/>
            <w:tcBorders>
              <w:top w:val="single" w:sz="8" w:color="7B7C80"/>
            </w:tcBorders>
          </w:tcPr>
          <w:p>
            <w:pPr>
              <w:spacing w:after="0"/>
              <w:rPr>
                <w:sz w:val="13"/>
                <w:szCs w:val="13"/>
                <w:color w:val="auto"/>
              </w:rPr>
            </w:pPr>
          </w:p>
        </w:tc>
        <w:tc>
          <w:tcPr>
            <w:tcW w:w="20" w:type="dxa"/>
            <w:vAlign w:val="bottom"/>
            <w:tcBorders>
              <w:top w:val="single" w:sz="8" w:color="7B7C80"/>
            </w:tcBorders>
          </w:tcPr>
          <w:p>
            <w:pPr>
              <w:spacing w:after="0"/>
              <w:rPr>
                <w:sz w:val="13"/>
                <w:szCs w:val="13"/>
                <w:color w:val="auto"/>
              </w:rPr>
            </w:pPr>
          </w:p>
        </w:tc>
        <w:tc>
          <w:tcPr>
            <w:tcW w:w="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32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Borders>
              <w:top w:val="single" w:sz="8" w:color="7B7C80"/>
              <w:bottom w:val="single" w:sz="8" w:color="7B7C80"/>
            </w:tcBorders>
          </w:tcPr>
          <w:p>
            <w:pPr>
              <w:jc w:val="right"/>
              <w:spacing w:after="0" w:line="152" w:lineRule="exact"/>
              <w:rPr>
                <w:rFonts w:ascii="Arial" w:cs="Arial" w:eastAsia="Arial" w:hAnsi="Arial"/>
                <w:sz w:val="15"/>
                <w:szCs w:val="15"/>
                <w:b w:val="1"/>
                <w:bCs w:val="1"/>
                <w:color w:val="7B7C80"/>
                <w:w w:val="71"/>
              </w:rPr>
            </w:pPr>
            <w:hyperlink w:anchor="page5">
              <w:r>
                <w:rPr>
                  <w:rFonts w:ascii="Arial" w:cs="Arial" w:eastAsia="Arial" w:hAnsi="Arial"/>
                  <w:sz w:val="15"/>
                  <w:szCs w:val="15"/>
                  <w:b w:val="1"/>
                  <w:bCs w:val="1"/>
                  <w:color w:val="7B7C80"/>
                  <w:w w:val="71"/>
                </w:rPr>
                <w:t>2</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8220" w:type="dxa"/>
            <w:vAlign w:val="bottom"/>
            <w:gridSpan w:val="50"/>
          </w:tcPr>
          <w:p>
            <w:pPr>
              <w:spacing w:after="0" w:line="152" w:lineRule="exact"/>
              <w:rPr>
                <w:rFonts w:ascii="Arial" w:cs="Arial" w:eastAsia="Arial" w:hAnsi="Arial"/>
                <w:sz w:val="15"/>
                <w:szCs w:val="15"/>
                <w:b w:val="1"/>
                <w:bCs w:val="1"/>
                <w:color w:val="009CCC"/>
              </w:rPr>
            </w:pPr>
            <w:hyperlink w:anchor="page7">
              <w:r>
                <w:rPr>
                  <w:rFonts w:ascii="Arial" w:cs="Arial" w:eastAsia="Arial" w:hAnsi="Arial"/>
                  <w:sz w:val="15"/>
                  <w:szCs w:val="15"/>
                  <w:b w:val="1"/>
                  <w:bCs w:val="1"/>
                  <w:color w:val="009CCC"/>
                </w:rPr>
                <w:t>Director Qualifications, Director Tenure, Process for Identifying and Evaluating Director Candidates and Diversity</w:t>
              </w:r>
            </w:hyperlink>
          </w:p>
        </w:tc>
        <w:tc>
          <w:tcPr>
            <w:tcW w:w="380" w:type="dxa"/>
            <w:vAlign w:val="bottom"/>
            <w:gridSpan w:val="4"/>
            <w:vMerge w:val="restart"/>
          </w:tcPr>
          <w:p>
            <w:pPr>
              <w:jc w:val="right"/>
              <w:ind w:right="20"/>
              <w:spacing w:after="0"/>
              <w:rPr>
                <w:rFonts w:ascii="Arial" w:cs="Arial" w:eastAsia="Arial" w:hAnsi="Arial"/>
                <w:sz w:val="15"/>
                <w:szCs w:val="15"/>
                <w:b w:val="1"/>
                <w:bCs w:val="1"/>
                <w:color w:val="7B7C80"/>
              </w:rPr>
            </w:pPr>
            <w:hyperlink w:anchor="page7">
              <w:r>
                <w:rPr>
                  <w:rFonts w:ascii="Arial" w:cs="Arial" w:eastAsia="Arial" w:hAnsi="Arial"/>
                  <w:sz w:val="15"/>
                  <w:szCs w:val="15"/>
                  <w:b w:val="1"/>
                  <w:bCs w:val="1"/>
                  <w:color w:val="7B7C80"/>
                </w:rPr>
                <w:t>4</w:t>
              </w:r>
            </w:hyperlink>
          </w:p>
        </w:tc>
        <w:tc>
          <w:tcPr>
            <w:tcW w:w="0" w:type="dxa"/>
            <w:vAlign w:val="bottom"/>
          </w:tcPr>
          <w:p>
            <w:pPr>
              <w:spacing w:after="0"/>
              <w:rPr>
                <w:sz w:val="1"/>
                <w:szCs w:val="1"/>
                <w:color w:val="auto"/>
              </w:rPr>
            </w:pPr>
          </w:p>
        </w:tc>
      </w:tr>
      <w:tr>
        <w:trPr>
          <w:trHeight w:val="152"/>
        </w:trPr>
        <w:tc>
          <w:tcPr>
            <w:tcW w:w="140" w:type="dxa"/>
            <w:vAlign w:val="bottom"/>
            <w:tcBorders>
              <w:top w:val="single" w:sz="8" w:color="009CCC"/>
            </w:tcBorders>
          </w:tcPr>
          <w:p>
            <w:pPr>
              <w:spacing w:after="0"/>
              <w:rPr>
                <w:sz w:val="13"/>
                <w:szCs w:val="13"/>
                <w:color w:val="auto"/>
              </w:rPr>
            </w:pPr>
          </w:p>
        </w:tc>
        <w:tc>
          <w:tcPr>
            <w:tcW w:w="7880" w:type="dxa"/>
            <w:vAlign w:val="bottom"/>
            <w:tcBorders>
              <w:top w:val="single" w:sz="8" w:color="009CCC"/>
            </w:tcBorders>
            <w:gridSpan w:val="48"/>
          </w:tcPr>
          <w:p>
            <w:pPr>
              <w:spacing w:after="0" w:line="152" w:lineRule="exact"/>
              <w:rPr>
                <w:rFonts w:ascii="Arial" w:cs="Arial" w:eastAsia="Arial" w:hAnsi="Arial"/>
                <w:sz w:val="15"/>
                <w:szCs w:val="15"/>
                <w:b w:val="1"/>
                <w:bCs w:val="1"/>
                <w:color w:val="009CCC"/>
              </w:rPr>
            </w:pPr>
            <w:hyperlink w:anchor="page7">
              <w:r>
                <w:rPr>
                  <w:rFonts w:ascii="Arial" w:cs="Arial" w:eastAsia="Arial" w:hAnsi="Arial"/>
                  <w:sz w:val="15"/>
                  <w:szCs w:val="15"/>
                  <w:b w:val="1"/>
                  <w:bCs w:val="1"/>
                  <w:color w:val="009CCC"/>
                </w:rPr>
                <w:t>of the Board</w:t>
              </w:r>
            </w:hyperlink>
          </w:p>
        </w:tc>
        <w:tc>
          <w:tcPr>
            <w:tcW w:w="200" w:type="dxa"/>
            <w:vAlign w:val="bottom"/>
          </w:tcPr>
          <w:p>
            <w:pPr>
              <w:spacing w:after="0"/>
              <w:rPr>
                <w:sz w:val="13"/>
                <w:szCs w:val="13"/>
                <w:color w:val="auto"/>
              </w:rPr>
            </w:pPr>
          </w:p>
        </w:tc>
        <w:tc>
          <w:tcPr>
            <w:tcW w:w="380" w:type="dxa"/>
            <w:vAlign w:val="bottom"/>
            <w:gridSpan w:val="4"/>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140" w:type="dxa"/>
            <w:vAlign w:val="bottom"/>
            <w:tcBorders>
              <w:bottom w:val="single" w:sz="8" w:color="7B7C80"/>
            </w:tcBorders>
          </w:tcPr>
          <w:p>
            <w:pPr>
              <w:spacing w:after="0" w:line="20" w:lineRule="exact"/>
              <w:rPr>
                <w:sz w:val="1"/>
                <w:szCs w:val="1"/>
                <w:color w:val="auto"/>
              </w:rPr>
            </w:pPr>
          </w:p>
        </w:tc>
        <w:tc>
          <w:tcPr>
            <w:tcW w:w="160" w:type="dxa"/>
            <w:vAlign w:val="bottom"/>
            <w:tcBorders>
              <w:top w:val="single" w:sz="8" w:color="009CCC"/>
              <w:bottom w:val="single" w:sz="8" w:color="7B7C80"/>
            </w:tcBorders>
          </w:tcPr>
          <w:p>
            <w:pPr>
              <w:spacing w:after="0" w:line="20" w:lineRule="exact"/>
              <w:rPr>
                <w:sz w:val="1"/>
                <w:szCs w:val="1"/>
                <w:color w:val="auto"/>
              </w:rPr>
            </w:pPr>
          </w:p>
        </w:tc>
        <w:tc>
          <w:tcPr>
            <w:tcW w:w="620" w:type="dxa"/>
            <w:vAlign w:val="bottom"/>
            <w:tcBorders>
              <w:top w:val="single" w:sz="8" w:color="009CCC"/>
              <w:bottom w:val="single" w:sz="8" w:color="7B7C80"/>
            </w:tcBorders>
          </w:tcPr>
          <w:p>
            <w:pPr>
              <w:spacing w:after="0" w:line="20" w:lineRule="exact"/>
              <w:rPr>
                <w:sz w:val="1"/>
                <w:szCs w:val="1"/>
                <w:color w:val="auto"/>
              </w:rPr>
            </w:pPr>
          </w:p>
        </w:tc>
        <w:tc>
          <w:tcPr>
            <w:tcW w:w="60" w:type="dxa"/>
            <w:vAlign w:val="bottom"/>
            <w:tcBorders>
              <w:top w:val="single" w:sz="8" w:color="009CCC"/>
              <w:bottom w:val="single" w:sz="8" w:color="7B7C80"/>
            </w:tcBorders>
          </w:tcPr>
          <w:p>
            <w:pPr>
              <w:spacing w:after="0" w:line="20" w:lineRule="exact"/>
              <w:rPr>
                <w:sz w:val="1"/>
                <w:szCs w:val="1"/>
                <w:color w:val="auto"/>
              </w:rPr>
            </w:pPr>
          </w:p>
        </w:tc>
        <w:tc>
          <w:tcPr>
            <w:tcW w:w="40" w:type="dxa"/>
            <w:vAlign w:val="bottom"/>
            <w:tcBorders>
              <w:top w:val="single" w:sz="8" w:color="009CCC"/>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12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10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18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160" w:type="dxa"/>
            <w:vAlign w:val="bottom"/>
            <w:tcBorders>
              <w:bottom w:val="single" w:sz="8" w:color="7B7C80"/>
            </w:tcBorders>
          </w:tcPr>
          <w:p>
            <w:pPr>
              <w:spacing w:after="0" w:line="20" w:lineRule="exact"/>
              <w:rPr>
                <w:sz w:val="1"/>
                <w:szCs w:val="1"/>
                <w:color w:val="auto"/>
              </w:rPr>
            </w:pPr>
          </w:p>
        </w:tc>
        <w:tc>
          <w:tcPr>
            <w:tcW w:w="14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180" w:type="dxa"/>
            <w:vAlign w:val="bottom"/>
            <w:tcBorders>
              <w:bottom w:val="single" w:sz="8" w:color="7B7C80"/>
            </w:tcBorders>
          </w:tcPr>
          <w:p>
            <w:pPr>
              <w:spacing w:after="0" w:line="20" w:lineRule="exact"/>
              <w:rPr>
                <w:sz w:val="1"/>
                <w:szCs w:val="1"/>
                <w:color w:val="auto"/>
              </w:rPr>
            </w:pPr>
          </w:p>
        </w:tc>
        <w:tc>
          <w:tcPr>
            <w:tcW w:w="10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12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520" w:type="dxa"/>
            <w:vAlign w:val="bottom"/>
            <w:tcBorders>
              <w:bottom w:val="single" w:sz="8" w:color="7B7C80"/>
            </w:tcBorders>
          </w:tcPr>
          <w:p>
            <w:pPr>
              <w:spacing w:after="0" w:line="20" w:lineRule="exact"/>
              <w:rPr>
                <w:sz w:val="1"/>
                <w:szCs w:val="1"/>
                <w:color w:val="auto"/>
              </w:rPr>
            </w:pPr>
          </w:p>
        </w:tc>
        <w:tc>
          <w:tcPr>
            <w:tcW w:w="34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320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3"/>
        </w:trPr>
        <w:tc>
          <w:tcPr>
            <w:tcW w:w="8220" w:type="dxa"/>
            <w:vAlign w:val="bottom"/>
            <w:gridSpan w:val="50"/>
          </w:tcPr>
          <w:p>
            <w:pPr>
              <w:spacing w:after="0" w:line="123" w:lineRule="exact"/>
              <w:rPr>
                <w:rFonts w:ascii="Arial" w:cs="Arial" w:eastAsia="Arial" w:hAnsi="Arial"/>
                <w:sz w:val="14"/>
                <w:szCs w:val="14"/>
                <w:b w:val="1"/>
                <w:bCs w:val="1"/>
                <w:color w:val="009CCC"/>
              </w:rPr>
            </w:pPr>
            <w:hyperlink w:anchor="page10">
              <w:r>
                <w:rPr>
                  <w:rFonts w:ascii="Arial" w:cs="Arial" w:eastAsia="Arial" w:hAnsi="Arial"/>
                  <w:sz w:val="14"/>
                  <w:szCs w:val="14"/>
                  <w:b w:val="1"/>
                  <w:bCs w:val="1"/>
                  <w:color w:val="009CCC"/>
                </w:rPr>
                <w:t>Proposal One</w:t>
              </w:r>
              <w:r>
                <w:rPr>
                  <w:rFonts w:ascii="Arial" w:cs="Arial" w:eastAsia="Arial" w:hAnsi="Arial"/>
                  <w:sz w:val="14"/>
                  <w:szCs w:val="14"/>
                  <w:b w:val="1"/>
                  <w:bCs w:val="1"/>
                  <w:color w:val="7B7C80"/>
                </w:rPr>
                <w:t>—Election of Directors</w:t>
              </w:r>
            </w:hyperlink>
          </w:p>
        </w:tc>
        <w:tc>
          <w:tcPr>
            <w:tcW w:w="380" w:type="dxa"/>
            <w:vAlign w:val="bottom"/>
            <w:gridSpan w:val="4"/>
          </w:tcPr>
          <w:p>
            <w:pPr>
              <w:jc w:val="right"/>
              <w:ind w:right="20"/>
              <w:spacing w:after="0" w:line="123" w:lineRule="exact"/>
              <w:rPr>
                <w:rFonts w:ascii="Arial" w:cs="Arial" w:eastAsia="Arial" w:hAnsi="Arial"/>
                <w:sz w:val="14"/>
                <w:szCs w:val="14"/>
                <w:b w:val="1"/>
                <w:bCs w:val="1"/>
                <w:color w:val="7B7C80"/>
              </w:rPr>
            </w:pPr>
            <w:hyperlink w:anchor="page10">
              <w:r>
                <w:rPr>
                  <w:rFonts w:ascii="Arial" w:cs="Arial" w:eastAsia="Arial" w:hAnsi="Arial"/>
                  <w:sz w:val="14"/>
                  <w:szCs w:val="14"/>
                  <w:b w:val="1"/>
                  <w:bCs w:val="1"/>
                  <w:color w:val="7B7C80"/>
                </w:rPr>
                <w:t>7</w:t>
              </w:r>
            </w:hyperlink>
          </w:p>
        </w:tc>
        <w:tc>
          <w:tcPr>
            <w:tcW w:w="0" w:type="dxa"/>
            <w:vAlign w:val="bottom"/>
          </w:tcPr>
          <w:p>
            <w:pPr>
              <w:spacing w:after="0"/>
              <w:rPr>
                <w:sz w:val="1"/>
                <w:szCs w:val="1"/>
                <w:color w:val="auto"/>
              </w:rPr>
            </w:pPr>
          </w:p>
        </w:tc>
      </w:tr>
      <w:tr>
        <w:trPr>
          <w:trHeight w:val="20"/>
        </w:trPr>
        <w:tc>
          <w:tcPr>
            <w:tcW w:w="140" w:type="dxa"/>
            <w:vAlign w:val="bottom"/>
            <w:tcBorders>
              <w:top w:val="single" w:sz="8" w:color="009CCC"/>
              <w:bottom w:val="single" w:sz="8" w:color="7B7C80"/>
            </w:tcBorders>
          </w:tcPr>
          <w:p>
            <w:pPr>
              <w:spacing w:after="0" w:line="20" w:lineRule="exact"/>
              <w:rPr>
                <w:sz w:val="1"/>
                <w:szCs w:val="1"/>
                <w:color w:val="auto"/>
              </w:rPr>
            </w:pPr>
          </w:p>
        </w:tc>
        <w:tc>
          <w:tcPr>
            <w:tcW w:w="160" w:type="dxa"/>
            <w:vAlign w:val="bottom"/>
            <w:tcBorders>
              <w:top w:val="single" w:sz="8" w:color="009CCC"/>
              <w:bottom w:val="single" w:sz="8" w:color="7B7C80"/>
            </w:tcBorders>
          </w:tcPr>
          <w:p>
            <w:pPr>
              <w:spacing w:after="0" w:line="20" w:lineRule="exact"/>
              <w:rPr>
                <w:sz w:val="1"/>
                <w:szCs w:val="1"/>
                <w:color w:val="auto"/>
              </w:rPr>
            </w:pPr>
          </w:p>
        </w:tc>
        <w:tc>
          <w:tcPr>
            <w:tcW w:w="620" w:type="dxa"/>
            <w:vAlign w:val="bottom"/>
            <w:tcBorders>
              <w:top w:val="single" w:sz="8" w:color="009CCC"/>
              <w:bottom w:val="single" w:sz="8" w:color="7B7C80"/>
            </w:tcBorders>
          </w:tcPr>
          <w:p>
            <w:pPr>
              <w:spacing w:after="0" w:line="20" w:lineRule="exact"/>
              <w:rPr>
                <w:sz w:val="1"/>
                <w:szCs w:val="1"/>
                <w:color w:val="auto"/>
              </w:rPr>
            </w:pPr>
          </w:p>
        </w:tc>
        <w:tc>
          <w:tcPr>
            <w:tcW w:w="60" w:type="dxa"/>
            <w:vAlign w:val="bottom"/>
            <w:tcBorders>
              <w:top w:val="single" w:sz="8" w:color="009CCC"/>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12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18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160" w:type="dxa"/>
            <w:vAlign w:val="bottom"/>
            <w:tcBorders>
              <w:top w:val="single" w:sz="8" w:color="7B7C80"/>
              <w:bottom w:val="single" w:sz="8" w:color="7B7C80"/>
            </w:tcBorders>
          </w:tcPr>
          <w:p>
            <w:pPr>
              <w:spacing w:after="0" w:line="20" w:lineRule="exact"/>
              <w:rPr>
                <w:sz w:val="1"/>
                <w:szCs w:val="1"/>
                <w:color w:val="auto"/>
              </w:rPr>
            </w:pPr>
          </w:p>
        </w:tc>
        <w:tc>
          <w:tcPr>
            <w:tcW w:w="14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180" w:type="dxa"/>
            <w:vAlign w:val="bottom"/>
            <w:tcBorders>
              <w:bottom w:val="single" w:sz="8" w:color="7B7C80"/>
            </w:tcBorders>
          </w:tcPr>
          <w:p>
            <w:pPr>
              <w:spacing w:after="0" w:line="20" w:lineRule="exact"/>
              <w:rPr>
                <w:sz w:val="1"/>
                <w:szCs w:val="1"/>
                <w:color w:val="auto"/>
              </w:rPr>
            </w:pPr>
          </w:p>
        </w:tc>
        <w:tc>
          <w:tcPr>
            <w:tcW w:w="10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12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520" w:type="dxa"/>
            <w:vAlign w:val="bottom"/>
            <w:tcBorders>
              <w:bottom w:val="single" w:sz="8" w:color="7B7C80"/>
            </w:tcBorders>
          </w:tcPr>
          <w:p>
            <w:pPr>
              <w:spacing w:after="0" w:line="20" w:lineRule="exact"/>
              <w:rPr>
                <w:sz w:val="1"/>
                <w:szCs w:val="1"/>
                <w:color w:val="auto"/>
              </w:rPr>
            </w:pPr>
          </w:p>
        </w:tc>
        <w:tc>
          <w:tcPr>
            <w:tcW w:w="34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320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3"/>
        </w:trPr>
        <w:tc>
          <w:tcPr>
            <w:tcW w:w="8220" w:type="dxa"/>
            <w:vAlign w:val="bottom"/>
            <w:gridSpan w:val="50"/>
          </w:tcPr>
          <w:p>
            <w:pPr>
              <w:spacing w:after="0" w:line="123" w:lineRule="exact"/>
              <w:rPr>
                <w:rFonts w:ascii="Arial" w:cs="Arial" w:eastAsia="Arial" w:hAnsi="Arial"/>
                <w:sz w:val="14"/>
                <w:szCs w:val="14"/>
                <w:b w:val="1"/>
                <w:bCs w:val="1"/>
                <w:color w:val="009CCC"/>
              </w:rPr>
            </w:pPr>
            <w:hyperlink w:anchor="page16">
              <w:r>
                <w:rPr>
                  <w:rFonts w:ascii="Arial" w:cs="Arial" w:eastAsia="Arial" w:hAnsi="Arial"/>
                  <w:sz w:val="14"/>
                  <w:szCs w:val="14"/>
                  <w:b w:val="1"/>
                  <w:bCs w:val="1"/>
                  <w:color w:val="009CCC"/>
                </w:rPr>
                <w:t>Corporate Governance</w:t>
              </w:r>
            </w:hyperlink>
          </w:p>
        </w:tc>
        <w:tc>
          <w:tcPr>
            <w:tcW w:w="360" w:type="dxa"/>
            <w:vAlign w:val="bottom"/>
            <w:gridSpan w:val="3"/>
          </w:tcPr>
          <w:p>
            <w:pPr>
              <w:jc w:val="right"/>
              <w:spacing w:after="0" w:line="123" w:lineRule="exact"/>
              <w:rPr>
                <w:rFonts w:ascii="Arial" w:cs="Arial" w:eastAsia="Arial" w:hAnsi="Arial"/>
                <w:sz w:val="14"/>
                <w:szCs w:val="14"/>
                <w:b w:val="1"/>
                <w:bCs w:val="1"/>
                <w:color w:val="7B7C80"/>
              </w:rPr>
            </w:pPr>
            <w:hyperlink w:anchor="page16">
              <w:r>
                <w:rPr>
                  <w:rFonts w:ascii="Arial" w:cs="Arial" w:eastAsia="Arial" w:hAnsi="Arial"/>
                  <w:sz w:val="14"/>
                  <w:szCs w:val="14"/>
                  <w:b w:val="1"/>
                  <w:bCs w:val="1"/>
                  <w:color w:val="7B7C80"/>
                </w:rPr>
                <w:t>13</w:t>
              </w:r>
            </w:hyperlink>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140" w:type="dxa"/>
            <w:vAlign w:val="bottom"/>
            <w:shd w:val="clear" w:color="auto" w:fill="009CCC"/>
          </w:tcPr>
          <w:p>
            <w:pPr>
              <w:spacing w:after="0" w:line="20" w:lineRule="exact"/>
              <w:rPr>
                <w:sz w:val="1"/>
                <w:szCs w:val="1"/>
                <w:color w:val="auto"/>
              </w:rPr>
            </w:pPr>
          </w:p>
        </w:tc>
        <w:tc>
          <w:tcPr>
            <w:tcW w:w="160" w:type="dxa"/>
            <w:vAlign w:val="bottom"/>
            <w:shd w:val="clear" w:color="auto" w:fill="009CCC"/>
          </w:tcPr>
          <w:p>
            <w:pPr>
              <w:spacing w:after="0" w:line="20" w:lineRule="exact"/>
              <w:rPr>
                <w:sz w:val="1"/>
                <w:szCs w:val="1"/>
                <w:color w:val="auto"/>
              </w:rPr>
            </w:pPr>
          </w:p>
        </w:tc>
        <w:tc>
          <w:tcPr>
            <w:tcW w:w="620" w:type="dxa"/>
            <w:vAlign w:val="bottom"/>
            <w:shd w:val="clear" w:color="auto" w:fill="009CCC"/>
          </w:tcPr>
          <w:p>
            <w:pPr>
              <w:spacing w:after="0" w:line="20" w:lineRule="exact"/>
              <w:rPr>
                <w:sz w:val="1"/>
                <w:szCs w:val="1"/>
                <w:color w:val="auto"/>
              </w:rPr>
            </w:pPr>
          </w:p>
        </w:tc>
        <w:tc>
          <w:tcPr>
            <w:tcW w:w="180" w:type="dxa"/>
            <w:vAlign w:val="bottom"/>
            <w:gridSpan w:val="3"/>
            <w:shd w:val="clear" w:color="auto" w:fill="009CCC"/>
          </w:tcPr>
          <w:p>
            <w:pPr>
              <w:spacing w:after="0" w:line="20" w:lineRule="exact"/>
              <w:rPr>
                <w:sz w:val="1"/>
                <w:szCs w:val="1"/>
                <w:color w:val="auto"/>
              </w:rPr>
            </w:pPr>
          </w:p>
        </w:tc>
        <w:tc>
          <w:tcPr>
            <w:tcW w:w="80" w:type="dxa"/>
            <w:vAlign w:val="bottom"/>
            <w:shd w:val="clear" w:color="auto" w:fill="009CCC"/>
          </w:tcPr>
          <w:p>
            <w:pPr>
              <w:spacing w:after="0" w:line="20" w:lineRule="exact"/>
              <w:rPr>
                <w:sz w:val="1"/>
                <w:szCs w:val="1"/>
                <w:color w:val="auto"/>
              </w:rPr>
            </w:pPr>
          </w:p>
        </w:tc>
        <w:tc>
          <w:tcPr>
            <w:tcW w:w="20" w:type="dxa"/>
            <w:vAlign w:val="bottom"/>
            <w:shd w:val="clear" w:color="auto" w:fill="009CCC"/>
          </w:tcPr>
          <w:p>
            <w:pPr>
              <w:spacing w:after="0" w:line="20" w:lineRule="exact"/>
              <w:rPr>
                <w:sz w:val="1"/>
                <w:szCs w:val="1"/>
                <w:color w:val="auto"/>
              </w:rPr>
            </w:pPr>
          </w:p>
        </w:tc>
        <w:tc>
          <w:tcPr>
            <w:tcW w:w="80" w:type="dxa"/>
            <w:vAlign w:val="bottom"/>
            <w:gridSpan w:val="2"/>
            <w:shd w:val="clear" w:color="auto" w:fill="009CCC"/>
          </w:tcPr>
          <w:p>
            <w:pPr>
              <w:spacing w:after="0" w:line="20" w:lineRule="exact"/>
              <w:rPr>
                <w:sz w:val="1"/>
                <w:szCs w:val="1"/>
                <w:color w:val="auto"/>
              </w:rPr>
            </w:pPr>
          </w:p>
        </w:tc>
        <w:tc>
          <w:tcPr>
            <w:tcW w:w="40" w:type="dxa"/>
            <w:vAlign w:val="bottom"/>
            <w:shd w:val="clear" w:color="auto" w:fill="009CCC"/>
          </w:tcPr>
          <w:p>
            <w:pPr>
              <w:spacing w:after="0" w:line="20" w:lineRule="exact"/>
              <w:rPr>
                <w:sz w:val="1"/>
                <w:szCs w:val="1"/>
                <w:color w:val="auto"/>
              </w:rPr>
            </w:pPr>
          </w:p>
        </w:tc>
        <w:tc>
          <w:tcPr>
            <w:tcW w:w="140" w:type="dxa"/>
            <w:vAlign w:val="bottom"/>
            <w:gridSpan w:val="2"/>
            <w:shd w:val="clear" w:color="auto" w:fill="009CCC"/>
          </w:tcPr>
          <w:p>
            <w:pPr>
              <w:spacing w:after="0" w:line="20" w:lineRule="exact"/>
              <w:rPr>
                <w:sz w:val="1"/>
                <w:szCs w:val="1"/>
                <w:color w:val="auto"/>
              </w:rPr>
            </w:pPr>
          </w:p>
        </w:tc>
        <w:tc>
          <w:tcPr>
            <w:tcW w:w="60" w:type="dxa"/>
            <w:vAlign w:val="bottom"/>
            <w:shd w:val="clear" w:color="auto" w:fill="009CCC"/>
          </w:tcPr>
          <w:p>
            <w:pPr>
              <w:spacing w:after="0" w:line="20" w:lineRule="exact"/>
              <w:rPr>
                <w:sz w:val="1"/>
                <w:szCs w:val="1"/>
                <w:color w:val="auto"/>
              </w:rPr>
            </w:pPr>
          </w:p>
        </w:tc>
        <w:tc>
          <w:tcPr>
            <w:tcW w:w="100" w:type="dxa"/>
            <w:vAlign w:val="bottom"/>
            <w:tcBorders>
              <w:right w:val="single" w:sz="8" w:color="009CCC"/>
            </w:tcBorders>
            <w:shd w:val="clear" w:color="auto" w:fill="009CCC"/>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gridSpan w:val="2"/>
            <w:shd w:val="clear" w:color="auto" w:fill="7B7C8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5"/>
        </w:trPr>
        <w:tc>
          <w:tcPr>
            <w:tcW w:w="140" w:type="dxa"/>
            <w:vAlign w:val="bottom"/>
          </w:tcPr>
          <w:p>
            <w:pPr>
              <w:spacing w:after="0"/>
              <w:rPr>
                <w:sz w:val="24"/>
                <w:szCs w:val="24"/>
                <w:color w:val="auto"/>
              </w:rPr>
            </w:pPr>
          </w:p>
        </w:tc>
        <w:tc>
          <w:tcPr>
            <w:tcW w:w="1900" w:type="dxa"/>
            <w:vAlign w:val="bottom"/>
            <w:tcBorders>
              <w:bottom w:val="single" w:sz="8" w:color="7B7C80"/>
            </w:tcBorders>
            <w:gridSpan w:val="20"/>
          </w:tcPr>
          <w:p>
            <w:pPr>
              <w:spacing w:after="0"/>
              <w:rPr>
                <w:rFonts w:ascii="Arial" w:cs="Arial" w:eastAsia="Arial" w:hAnsi="Arial"/>
                <w:sz w:val="15"/>
                <w:szCs w:val="15"/>
                <w:color w:val="7B7C80"/>
              </w:rPr>
            </w:pPr>
            <w:hyperlink w:anchor="page16">
              <w:r>
                <w:rPr>
                  <w:rFonts w:ascii="Arial" w:cs="Arial" w:eastAsia="Arial" w:hAnsi="Arial"/>
                  <w:sz w:val="15"/>
                  <w:szCs w:val="15"/>
                  <w:color w:val="7B7C80"/>
                </w:rPr>
                <w:t>Board Leadership Structure</w:t>
              </w:r>
            </w:hyperlink>
          </w:p>
        </w:tc>
        <w:tc>
          <w:tcPr>
            <w:tcW w:w="6180" w:type="dxa"/>
            <w:vAlign w:val="bottom"/>
            <w:gridSpan w:val="29"/>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Borders>
              <w:bottom w:val="single" w:sz="8" w:color="7B7C80"/>
            </w:tcBorders>
            <w:gridSpan w:val="2"/>
          </w:tcPr>
          <w:p>
            <w:pPr>
              <w:jc w:val="right"/>
              <w:spacing w:after="0"/>
              <w:rPr>
                <w:rFonts w:ascii="Arial" w:cs="Arial" w:eastAsia="Arial" w:hAnsi="Arial"/>
                <w:sz w:val="15"/>
                <w:szCs w:val="15"/>
                <w:b w:val="1"/>
                <w:bCs w:val="1"/>
                <w:color w:val="7B7C80"/>
                <w:w w:val="83"/>
              </w:rPr>
            </w:pPr>
            <w:hyperlink w:anchor="page16">
              <w:r>
                <w:rPr>
                  <w:rFonts w:ascii="Arial" w:cs="Arial" w:eastAsia="Arial" w:hAnsi="Arial"/>
                  <w:sz w:val="15"/>
                  <w:szCs w:val="15"/>
                  <w:b w:val="1"/>
                  <w:bCs w:val="1"/>
                  <w:color w:val="7B7C80"/>
                  <w:w w:val="83"/>
                </w:rPr>
                <w:t>13</w:t>
              </w:r>
            </w:hyperlink>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3220" w:type="dxa"/>
            <w:vAlign w:val="bottom"/>
            <w:tcBorders>
              <w:bottom w:val="single" w:sz="8" w:color="7B7C80"/>
            </w:tcBorders>
            <w:gridSpan w:val="41"/>
          </w:tcPr>
          <w:p>
            <w:pPr>
              <w:spacing w:after="0" w:line="152" w:lineRule="exact"/>
              <w:rPr>
                <w:rFonts w:ascii="Arial" w:cs="Arial" w:eastAsia="Arial" w:hAnsi="Arial"/>
                <w:sz w:val="15"/>
                <w:szCs w:val="15"/>
                <w:color w:val="7B7C80"/>
              </w:rPr>
            </w:pPr>
            <w:hyperlink w:anchor="page17">
              <w:r>
                <w:rPr>
                  <w:rFonts w:ascii="Arial" w:cs="Arial" w:eastAsia="Arial" w:hAnsi="Arial"/>
                  <w:sz w:val="15"/>
                  <w:szCs w:val="15"/>
                  <w:color w:val="7B7C80"/>
                </w:rPr>
                <w:t>Role of the Board of Directors in Risk Oversight</w:t>
              </w:r>
            </w:hyperlink>
          </w:p>
        </w:tc>
        <w:tc>
          <w:tcPr>
            <w:tcW w:w="4860" w:type="dxa"/>
            <w:vAlign w:val="bottom"/>
            <w:gridSpan w:val="8"/>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17">
              <w:r>
                <w:rPr>
                  <w:rFonts w:ascii="Arial" w:cs="Arial" w:eastAsia="Arial" w:hAnsi="Arial"/>
                  <w:sz w:val="15"/>
                  <w:szCs w:val="15"/>
                  <w:b w:val="1"/>
                  <w:bCs w:val="1"/>
                  <w:color w:val="7B7C80"/>
                  <w:w w:val="83"/>
                </w:rPr>
                <w:t>14</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3120" w:type="dxa"/>
            <w:vAlign w:val="bottom"/>
            <w:tcBorders>
              <w:bottom w:val="single" w:sz="8" w:color="7B7C80"/>
            </w:tcBorders>
            <w:gridSpan w:val="40"/>
          </w:tcPr>
          <w:p>
            <w:pPr>
              <w:spacing w:after="0" w:line="152" w:lineRule="exact"/>
              <w:rPr>
                <w:rFonts w:ascii="Arial" w:cs="Arial" w:eastAsia="Arial" w:hAnsi="Arial"/>
                <w:sz w:val="15"/>
                <w:szCs w:val="15"/>
                <w:color w:val="7B7C80"/>
              </w:rPr>
            </w:pPr>
            <w:hyperlink w:anchor="page17">
              <w:r>
                <w:rPr>
                  <w:rFonts w:ascii="Arial" w:cs="Arial" w:eastAsia="Arial" w:hAnsi="Arial"/>
                  <w:sz w:val="15"/>
                  <w:szCs w:val="15"/>
                  <w:color w:val="7B7C80"/>
                </w:rPr>
                <w:t>Succession Planning and Talent Development</w:t>
              </w:r>
            </w:hyperlink>
          </w:p>
        </w:tc>
        <w:tc>
          <w:tcPr>
            <w:tcW w:w="4960" w:type="dxa"/>
            <w:vAlign w:val="bottom"/>
            <w:gridSpan w:val="9"/>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17">
              <w:r>
                <w:rPr>
                  <w:rFonts w:ascii="Arial" w:cs="Arial" w:eastAsia="Arial" w:hAnsi="Arial"/>
                  <w:sz w:val="15"/>
                  <w:szCs w:val="15"/>
                  <w:b w:val="1"/>
                  <w:bCs w:val="1"/>
                  <w:color w:val="7B7C80"/>
                  <w:w w:val="83"/>
                </w:rPr>
                <w:t>14</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060" w:type="dxa"/>
            <w:vAlign w:val="bottom"/>
            <w:tcBorders>
              <w:bottom w:val="single" w:sz="8" w:color="7B7C80"/>
            </w:tcBorders>
            <w:gridSpan w:val="7"/>
          </w:tcPr>
          <w:p>
            <w:pPr>
              <w:spacing w:after="0" w:line="152" w:lineRule="exact"/>
              <w:rPr>
                <w:rFonts w:ascii="Arial" w:cs="Arial" w:eastAsia="Arial" w:hAnsi="Arial"/>
                <w:sz w:val="15"/>
                <w:szCs w:val="15"/>
                <w:color w:val="7B7C80"/>
              </w:rPr>
            </w:pPr>
            <w:hyperlink w:anchor="page18">
              <w:r>
                <w:rPr>
                  <w:rFonts w:ascii="Arial" w:cs="Arial" w:eastAsia="Arial" w:hAnsi="Arial"/>
                  <w:sz w:val="15"/>
                  <w:szCs w:val="15"/>
                  <w:color w:val="7B7C80"/>
                </w:rPr>
                <w:t>Majority Voting</w:t>
              </w:r>
            </w:hyperlink>
          </w:p>
        </w:tc>
        <w:tc>
          <w:tcPr>
            <w:tcW w:w="7020" w:type="dxa"/>
            <w:vAlign w:val="bottom"/>
            <w:gridSpan w:val="42"/>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18">
              <w:r>
                <w:rPr>
                  <w:rFonts w:ascii="Arial" w:cs="Arial" w:eastAsia="Arial" w:hAnsi="Arial"/>
                  <w:sz w:val="15"/>
                  <w:szCs w:val="15"/>
                  <w:b w:val="1"/>
                  <w:bCs w:val="1"/>
                  <w:color w:val="7B7C80"/>
                  <w:w w:val="83"/>
                </w:rPr>
                <w:t>15</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0" w:type="dxa"/>
            <w:vAlign w:val="bottom"/>
            <w:tcBorders>
              <w:bottom w:val="single" w:sz="8" w:color="7B7C80"/>
            </w:tcBorders>
            <w:gridSpan w:val="16"/>
          </w:tcPr>
          <w:p>
            <w:pPr>
              <w:spacing w:after="0" w:line="152" w:lineRule="exact"/>
              <w:rPr>
                <w:rFonts w:ascii="Arial" w:cs="Arial" w:eastAsia="Arial" w:hAnsi="Arial"/>
                <w:sz w:val="15"/>
                <w:szCs w:val="15"/>
                <w:color w:val="7B7C80"/>
              </w:rPr>
            </w:pPr>
            <w:hyperlink w:anchor="page18">
              <w:r>
                <w:rPr>
                  <w:rFonts w:ascii="Arial" w:cs="Arial" w:eastAsia="Arial" w:hAnsi="Arial"/>
                  <w:sz w:val="15"/>
                  <w:szCs w:val="15"/>
                  <w:color w:val="7B7C80"/>
                </w:rPr>
                <w:t>Director Independence</w:t>
              </w:r>
            </w:hyperlink>
          </w:p>
        </w:tc>
        <w:tc>
          <w:tcPr>
            <w:tcW w:w="6480" w:type="dxa"/>
            <w:vAlign w:val="bottom"/>
            <w:gridSpan w:val="33"/>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18">
              <w:r>
                <w:rPr>
                  <w:rFonts w:ascii="Arial" w:cs="Arial" w:eastAsia="Arial" w:hAnsi="Arial"/>
                  <w:sz w:val="15"/>
                  <w:szCs w:val="15"/>
                  <w:b w:val="1"/>
                  <w:bCs w:val="1"/>
                  <w:color w:val="7B7C80"/>
                  <w:w w:val="83"/>
                </w:rPr>
                <w:t>15</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3620" w:type="dxa"/>
            <w:vAlign w:val="bottom"/>
            <w:tcBorders>
              <w:bottom w:val="single" w:sz="8" w:color="7B7C80"/>
            </w:tcBorders>
            <w:gridSpan w:val="44"/>
          </w:tcPr>
          <w:p>
            <w:pPr>
              <w:spacing w:after="0" w:line="152" w:lineRule="exact"/>
              <w:rPr>
                <w:rFonts w:ascii="Arial" w:cs="Arial" w:eastAsia="Arial" w:hAnsi="Arial"/>
                <w:sz w:val="15"/>
                <w:szCs w:val="15"/>
                <w:color w:val="7B7C80"/>
              </w:rPr>
            </w:pPr>
            <w:hyperlink w:anchor="page18">
              <w:r>
                <w:rPr>
                  <w:rFonts w:ascii="Arial" w:cs="Arial" w:eastAsia="Arial" w:hAnsi="Arial"/>
                  <w:sz w:val="15"/>
                  <w:szCs w:val="15"/>
                  <w:color w:val="7B7C80"/>
                </w:rPr>
                <w:t>Certain Relationships and Related Party Transactions</w:t>
              </w:r>
            </w:hyperlink>
          </w:p>
        </w:tc>
        <w:tc>
          <w:tcPr>
            <w:tcW w:w="4460" w:type="dxa"/>
            <w:vAlign w:val="bottom"/>
            <w:gridSpan w:val="5"/>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18">
              <w:r>
                <w:rPr>
                  <w:rFonts w:ascii="Arial" w:cs="Arial" w:eastAsia="Arial" w:hAnsi="Arial"/>
                  <w:sz w:val="15"/>
                  <w:szCs w:val="15"/>
                  <w:b w:val="1"/>
                  <w:bCs w:val="1"/>
                  <w:color w:val="7B7C80"/>
                  <w:w w:val="83"/>
                </w:rPr>
                <w:t>15</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140" w:type="dxa"/>
            <w:vAlign w:val="bottom"/>
            <w:tcBorders>
              <w:bottom w:val="single" w:sz="8" w:color="7B7C80"/>
            </w:tcBorders>
            <w:gridSpan w:val="9"/>
          </w:tcPr>
          <w:p>
            <w:pPr>
              <w:spacing w:after="0" w:line="152" w:lineRule="exact"/>
              <w:rPr>
                <w:rFonts w:ascii="Arial" w:cs="Arial" w:eastAsia="Arial" w:hAnsi="Arial"/>
                <w:sz w:val="15"/>
                <w:szCs w:val="15"/>
                <w:color w:val="7B7C80"/>
              </w:rPr>
            </w:pPr>
            <w:hyperlink w:anchor="page19">
              <w:r>
                <w:rPr>
                  <w:rFonts w:ascii="Arial" w:cs="Arial" w:eastAsia="Arial" w:hAnsi="Arial"/>
                  <w:sz w:val="15"/>
                  <w:szCs w:val="15"/>
                  <w:color w:val="7B7C80"/>
                </w:rPr>
                <w:t>Board Meetings</w:t>
              </w:r>
            </w:hyperlink>
          </w:p>
        </w:tc>
        <w:tc>
          <w:tcPr>
            <w:tcW w:w="6940" w:type="dxa"/>
            <w:vAlign w:val="bottom"/>
            <w:gridSpan w:val="40"/>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19">
              <w:r>
                <w:rPr>
                  <w:rFonts w:ascii="Arial" w:cs="Arial" w:eastAsia="Arial" w:hAnsi="Arial"/>
                  <w:sz w:val="15"/>
                  <w:szCs w:val="15"/>
                  <w:b w:val="1"/>
                  <w:bCs w:val="1"/>
                  <w:color w:val="7B7C80"/>
                  <w:w w:val="83"/>
                </w:rPr>
                <w:t>16</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2380" w:type="dxa"/>
            <w:vAlign w:val="bottom"/>
            <w:tcBorders>
              <w:bottom w:val="single" w:sz="8" w:color="7B7C80"/>
            </w:tcBorders>
            <w:gridSpan w:val="25"/>
          </w:tcPr>
          <w:p>
            <w:pPr>
              <w:spacing w:after="0" w:line="152" w:lineRule="exact"/>
              <w:rPr>
                <w:rFonts w:ascii="Arial" w:cs="Arial" w:eastAsia="Arial" w:hAnsi="Arial"/>
                <w:sz w:val="15"/>
                <w:szCs w:val="15"/>
                <w:color w:val="7B7C80"/>
              </w:rPr>
            </w:pPr>
            <w:hyperlink w:anchor="page19">
              <w:r>
                <w:rPr>
                  <w:rFonts w:ascii="Arial" w:cs="Arial" w:eastAsia="Arial" w:hAnsi="Arial"/>
                  <w:sz w:val="15"/>
                  <w:szCs w:val="15"/>
                  <w:color w:val="7B7C80"/>
                </w:rPr>
                <w:t>Global Corporate Code of Conduct</w:t>
              </w:r>
            </w:hyperlink>
          </w:p>
        </w:tc>
        <w:tc>
          <w:tcPr>
            <w:tcW w:w="5700" w:type="dxa"/>
            <w:vAlign w:val="bottom"/>
            <w:gridSpan w:val="24"/>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19">
              <w:r>
                <w:rPr>
                  <w:rFonts w:ascii="Arial" w:cs="Arial" w:eastAsia="Arial" w:hAnsi="Arial"/>
                  <w:sz w:val="15"/>
                  <w:szCs w:val="15"/>
                  <w:b w:val="1"/>
                  <w:bCs w:val="1"/>
                  <w:color w:val="7B7C80"/>
                  <w:w w:val="83"/>
                </w:rPr>
                <w:t>16</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320" w:type="dxa"/>
            <w:vAlign w:val="bottom"/>
            <w:tcBorders>
              <w:bottom w:val="single" w:sz="8" w:color="7B7C80"/>
            </w:tcBorders>
            <w:gridSpan w:val="12"/>
          </w:tcPr>
          <w:p>
            <w:pPr>
              <w:spacing w:after="0" w:line="152" w:lineRule="exact"/>
              <w:rPr>
                <w:rFonts w:ascii="Arial" w:cs="Arial" w:eastAsia="Arial" w:hAnsi="Arial"/>
                <w:sz w:val="15"/>
                <w:szCs w:val="15"/>
                <w:color w:val="7B7C80"/>
              </w:rPr>
            </w:pPr>
            <w:hyperlink w:anchor="page19">
              <w:r>
                <w:rPr>
                  <w:rFonts w:ascii="Arial" w:cs="Arial" w:eastAsia="Arial" w:hAnsi="Arial"/>
                  <w:sz w:val="15"/>
                  <w:szCs w:val="15"/>
                  <w:color w:val="7B7C80"/>
                </w:rPr>
                <w:t>Board Committees</w:t>
              </w:r>
            </w:hyperlink>
          </w:p>
        </w:tc>
        <w:tc>
          <w:tcPr>
            <w:tcW w:w="6760" w:type="dxa"/>
            <w:vAlign w:val="bottom"/>
            <w:gridSpan w:val="37"/>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19">
              <w:r>
                <w:rPr>
                  <w:rFonts w:ascii="Arial" w:cs="Arial" w:eastAsia="Arial" w:hAnsi="Arial"/>
                  <w:sz w:val="15"/>
                  <w:szCs w:val="15"/>
                  <w:b w:val="1"/>
                  <w:bCs w:val="1"/>
                  <w:color w:val="7B7C80"/>
                  <w:w w:val="83"/>
                </w:rPr>
                <w:t>16</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8080" w:type="dxa"/>
            <w:vAlign w:val="bottom"/>
            <w:gridSpan w:val="49"/>
          </w:tcPr>
          <w:p>
            <w:pPr>
              <w:spacing w:after="0" w:line="152" w:lineRule="exact"/>
              <w:rPr>
                <w:rFonts w:ascii="Arial" w:cs="Arial" w:eastAsia="Arial" w:hAnsi="Arial"/>
                <w:sz w:val="15"/>
                <w:szCs w:val="15"/>
                <w:color w:val="7B7C80"/>
              </w:rPr>
            </w:pPr>
            <w:hyperlink w:anchor="page21">
              <w:r>
                <w:rPr>
                  <w:rFonts w:ascii="Arial" w:cs="Arial" w:eastAsia="Arial" w:hAnsi="Arial"/>
                  <w:sz w:val="15"/>
                  <w:szCs w:val="15"/>
                  <w:color w:val="7B7C80"/>
                </w:rPr>
                <w:t>Sustainability</w:t>
              </w:r>
            </w:hyperlink>
          </w:p>
        </w:tc>
        <w:tc>
          <w:tcPr>
            <w:tcW w:w="200" w:type="dxa"/>
            <w:vAlign w:val="bottom"/>
          </w:tcPr>
          <w:p>
            <w:pPr>
              <w:spacing w:after="0"/>
              <w:rPr>
                <w:sz w:val="13"/>
                <w:szCs w:val="13"/>
                <w:color w:val="auto"/>
              </w:rPr>
            </w:pPr>
          </w:p>
        </w:tc>
        <w:tc>
          <w:tcPr>
            <w:tcW w:w="160" w:type="dxa"/>
            <w:vAlign w:val="bottom"/>
            <w:gridSpan w:val="2"/>
          </w:tcPr>
          <w:p>
            <w:pPr>
              <w:jc w:val="right"/>
              <w:spacing w:after="0" w:line="152" w:lineRule="exact"/>
              <w:rPr>
                <w:rFonts w:ascii="Arial" w:cs="Arial" w:eastAsia="Arial" w:hAnsi="Arial"/>
                <w:sz w:val="15"/>
                <w:szCs w:val="15"/>
                <w:b w:val="1"/>
                <w:bCs w:val="1"/>
                <w:color w:val="7B7C80"/>
                <w:w w:val="83"/>
              </w:rPr>
            </w:pPr>
            <w:hyperlink w:anchor="page21">
              <w:r>
                <w:rPr>
                  <w:rFonts w:ascii="Arial" w:cs="Arial" w:eastAsia="Arial" w:hAnsi="Arial"/>
                  <w:sz w:val="15"/>
                  <w:szCs w:val="15"/>
                  <w:b w:val="1"/>
                  <w:bCs w:val="1"/>
                  <w:color w:val="7B7C80"/>
                  <w:w w:val="83"/>
                </w:rPr>
                <w:t>18</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140" w:type="dxa"/>
            <w:vAlign w:val="bottom"/>
            <w:tcBorders>
              <w:bottom w:val="single" w:sz="8" w:color="7B7C80"/>
            </w:tcBorders>
          </w:tcPr>
          <w:p>
            <w:pPr>
              <w:spacing w:after="0" w:line="20" w:lineRule="exact"/>
              <w:rPr>
                <w:sz w:val="1"/>
                <w:szCs w:val="1"/>
                <w:color w:val="auto"/>
              </w:rPr>
            </w:pPr>
          </w:p>
        </w:tc>
        <w:tc>
          <w:tcPr>
            <w:tcW w:w="160" w:type="dxa"/>
            <w:vAlign w:val="bottom"/>
            <w:tcBorders>
              <w:top w:val="single" w:sz="8" w:color="7B7C80"/>
              <w:bottom w:val="single" w:sz="8" w:color="7B7C80"/>
            </w:tcBorders>
          </w:tcPr>
          <w:p>
            <w:pPr>
              <w:spacing w:after="0" w:line="20" w:lineRule="exact"/>
              <w:rPr>
                <w:sz w:val="1"/>
                <w:szCs w:val="1"/>
                <w:color w:val="auto"/>
              </w:rPr>
            </w:pPr>
          </w:p>
        </w:tc>
        <w:tc>
          <w:tcPr>
            <w:tcW w:w="62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12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10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18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160" w:type="dxa"/>
            <w:vAlign w:val="bottom"/>
            <w:tcBorders>
              <w:bottom w:val="single" w:sz="8" w:color="7B7C80"/>
            </w:tcBorders>
          </w:tcPr>
          <w:p>
            <w:pPr>
              <w:spacing w:after="0" w:line="20" w:lineRule="exact"/>
              <w:rPr>
                <w:sz w:val="1"/>
                <w:szCs w:val="1"/>
                <w:color w:val="auto"/>
              </w:rPr>
            </w:pPr>
          </w:p>
        </w:tc>
        <w:tc>
          <w:tcPr>
            <w:tcW w:w="14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180" w:type="dxa"/>
            <w:vAlign w:val="bottom"/>
            <w:tcBorders>
              <w:bottom w:val="single" w:sz="8" w:color="7B7C80"/>
            </w:tcBorders>
          </w:tcPr>
          <w:p>
            <w:pPr>
              <w:spacing w:after="0" w:line="20" w:lineRule="exact"/>
              <w:rPr>
                <w:sz w:val="1"/>
                <w:szCs w:val="1"/>
                <w:color w:val="auto"/>
              </w:rPr>
            </w:pPr>
          </w:p>
        </w:tc>
        <w:tc>
          <w:tcPr>
            <w:tcW w:w="10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12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520" w:type="dxa"/>
            <w:vAlign w:val="bottom"/>
            <w:tcBorders>
              <w:bottom w:val="single" w:sz="8" w:color="7B7C80"/>
            </w:tcBorders>
          </w:tcPr>
          <w:p>
            <w:pPr>
              <w:spacing w:after="0" w:line="20" w:lineRule="exact"/>
              <w:rPr>
                <w:sz w:val="1"/>
                <w:szCs w:val="1"/>
                <w:color w:val="auto"/>
              </w:rPr>
            </w:pPr>
          </w:p>
        </w:tc>
        <w:tc>
          <w:tcPr>
            <w:tcW w:w="34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320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3"/>
        </w:trPr>
        <w:tc>
          <w:tcPr>
            <w:tcW w:w="1740" w:type="dxa"/>
            <w:vAlign w:val="bottom"/>
            <w:tcBorders>
              <w:bottom w:val="single" w:sz="8" w:color="009CCC"/>
            </w:tcBorders>
            <w:gridSpan w:val="17"/>
          </w:tcPr>
          <w:p>
            <w:pPr>
              <w:spacing w:after="0" w:line="123" w:lineRule="exact"/>
              <w:rPr>
                <w:rFonts w:ascii="Arial" w:cs="Arial" w:eastAsia="Arial" w:hAnsi="Arial"/>
                <w:sz w:val="14"/>
                <w:szCs w:val="14"/>
                <w:b w:val="1"/>
                <w:bCs w:val="1"/>
                <w:color w:val="009CCC"/>
              </w:rPr>
            </w:pPr>
            <w:hyperlink w:anchor="page23">
              <w:r>
                <w:rPr>
                  <w:rFonts w:ascii="Arial" w:cs="Arial" w:eastAsia="Arial" w:hAnsi="Arial"/>
                  <w:sz w:val="14"/>
                  <w:szCs w:val="14"/>
                  <w:b w:val="1"/>
                  <w:bCs w:val="1"/>
                  <w:color w:val="009CCC"/>
                </w:rPr>
                <w:t>Directors Compensation</w:t>
              </w:r>
            </w:hyperlink>
          </w:p>
        </w:tc>
        <w:tc>
          <w:tcPr>
            <w:tcW w:w="80" w:type="dxa"/>
            <w:vAlign w:val="bottom"/>
            <w:tcBorders>
              <w:bottom w:val="single" w:sz="8" w:color="7B7C80"/>
            </w:tcBorders>
            <w:gridSpan w:val="2"/>
          </w:tcPr>
          <w:p>
            <w:pPr>
              <w:spacing w:after="0"/>
              <w:rPr>
                <w:sz w:val="10"/>
                <w:szCs w:val="10"/>
                <w:color w:val="auto"/>
              </w:rPr>
            </w:pPr>
          </w:p>
        </w:tc>
        <w:tc>
          <w:tcPr>
            <w:tcW w:w="6400" w:type="dxa"/>
            <w:vAlign w:val="bottom"/>
            <w:gridSpan w:val="31"/>
          </w:tcPr>
          <w:p>
            <w:pPr>
              <w:spacing w:after="0"/>
              <w:rPr>
                <w:sz w:val="10"/>
                <w:szCs w:val="10"/>
                <w:color w:val="auto"/>
              </w:rPr>
            </w:pPr>
          </w:p>
        </w:tc>
        <w:tc>
          <w:tcPr>
            <w:tcW w:w="200" w:type="dxa"/>
            <w:vAlign w:val="bottom"/>
          </w:tcPr>
          <w:p>
            <w:pPr>
              <w:spacing w:after="0"/>
              <w:rPr>
                <w:sz w:val="10"/>
                <w:szCs w:val="10"/>
                <w:color w:val="auto"/>
              </w:rPr>
            </w:pPr>
          </w:p>
        </w:tc>
        <w:tc>
          <w:tcPr>
            <w:tcW w:w="160" w:type="dxa"/>
            <w:vAlign w:val="bottom"/>
            <w:tcBorders>
              <w:bottom w:val="single" w:sz="8" w:color="7B7C80"/>
            </w:tcBorders>
            <w:gridSpan w:val="2"/>
          </w:tcPr>
          <w:p>
            <w:pPr>
              <w:jc w:val="right"/>
              <w:spacing w:after="0" w:line="123" w:lineRule="exact"/>
              <w:rPr>
                <w:rFonts w:ascii="Arial" w:cs="Arial" w:eastAsia="Arial" w:hAnsi="Arial"/>
                <w:sz w:val="14"/>
                <w:szCs w:val="14"/>
                <w:b w:val="1"/>
                <w:bCs w:val="1"/>
                <w:color w:val="7B7C80"/>
                <w:w w:val="89"/>
              </w:rPr>
            </w:pPr>
            <w:hyperlink w:anchor="page23">
              <w:r>
                <w:rPr>
                  <w:rFonts w:ascii="Arial" w:cs="Arial" w:eastAsia="Arial" w:hAnsi="Arial"/>
                  <w:sz w:val="14"/>
                  <w:szCs w:val="14"/>
                  <w:b w:val="1"/>
                  <w:bCs w:val="1"/>
                  <w:color w:val="7B7C80"/>
                  <w:w w:val="89"/>
                </w:rPr>
                <w:t>20</w:t>
              </w:r>
            </w:hyperlink>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35"/>
        </w:trPr>
        <w:tc>
          <w:tcPr>
            <w:tcW w:w="140" w:type="dxa"/>
            <w:vAlign w:val="bottom"/>
          </w:tcPr>
          <w:p>
            <w:pPr>
              <w:spacing w:after="0"/>
              <w:rPr>
                <w:sz w:val="24"/>
                <w:szCs w:val="24"/>
                <w:color w:val="auto"/>
              </w:rPr>
            </w:pPr>
          </w:p>
        </w:tc>
        <w:tc>
          <w:tcPr>
            <w:tcW w:w="2300" w:type="dxa"/>
            <w:vAlign w:val="bottom"/>
            <w:tcBorders>
              <w:bottom w:val="single" w:sz="8" w:color="7B7C80"/>
            </w:tcBorders>
            <w:gridSpan w:val="24"/>
          </w:tcPr>
          <w:p>
            <w:pPr>
              <w:spacing w:after="0"/>
              <w:rPr>
                <w:rFonts w:ascii="Arial" w:cs="Arial" w:eastAsia="Arial" w:hAnsi="Arial"/>
                <w:sz w:val="15"/>
                <w:szCs w:val="15"/>
                <w:color w:val="7B7C80"/>
              </w:rPr>
            </w:pPr>
            <w:hyperlink w:anchor="page24">
              <w:r>
                <w:rPr>
                  <w:rFonts w:ascii="Arial" w:cs="Arial" w:eastAsia="Arial" w:hAnsi="Arial"/>
                  <w:sz w:val="15"/>
                  <w:szCs w:val="15"/>
                  <w:color w:val="7B7C80"/>
                </w:rPr>
                <w:t>Fees Earned by Directors in 2017</w:t>
              </w:r>
            </w:hyperlink>
          </w:p>
        </w:tc>
        <w:tc>
          <w:tcPr>
            <w:tcW w:w="5780" w:type="dxa"/>
            <w:vAlign w:val="bottom"/>
            <w:gridSpan w:val="25"/>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Borders>
              <w:bottom w:val="single" w:sz="8" w:color="7B7C80"/>
            </w:tcBorders>
            <w:gridSpan w:val="2"/>
          </w:tcPr>
          <w:p>
            <w:pPr>
              <w:jc w:val="right"/>
              <w:spacing w:after="0"/>
              <w:rPr>
                <w:rFonts w:ascii="Arial" w:cs="Arial" w:eastAsia="Arial" w:hAnsi="Arial"/>
                <w:sz w:val="15"/>
                <w:szCs w:val="15"/>
                <w:b w:val="1"/>
                <w:bCs w:val="1"/>
                <w:color w:val="7B7C80"/>
                <w:w w:val="83"/>
              </w:rPr>
            </w:pPr>
            <w:hyperlink w:anchor="page24">
              <w:r>
                <w:rPr>
                  <w:rFonts w:ascii="Arial" w:cs="Arial" w:eastAsia="Arial" w:hAnsi="Arial"/>
                  <w:sz w:val="15"/>
                  <w:szCs w:val="15"/>
                  <w:b w:val="1"/>
                  <w:bCs w:val="1"/>
                  <w:color w:val="7B7C80"/>
                  <w:w w:val="83"/>
                </w:rPr>
                <w:t>21</w:t>
              </w:r>
            </w:hyperlink>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2640" w:type="dxa"/>
            <w:vAlign w:val="bottom"/>
            <w:tcBorders>
              <w:bottom w:val="single" w:sz="8" w:color="7B7C80"/>
            </w:tcBorders>
            <w:gridSpan w:val="30"/>
          </w:tcPr>
          <w:p>
            <w:pPr>
              <w:spacing w:after="0" w:line="152" w:lineRule="exact"/>
              <w:rPr>
                <w:rFonts w:ascii="Arial" w:cs="Arial" w:eastAsia="Arial" w:hAnsi="Arial"/>
                <w:sz w:val="15"/>
                <w:szCs w:val="15"/>
                <w:color w:val="7B7C80"/>
              </w:rPr>
            </w:pPr>
            <w:hyperlink w:anchor="page24">
              <w:r>
                <w:rPr>
                  <w:rFonts w:ascii="Arial" w:cs="Arial" w:eastAsia="Arial" w:hAnsi="Arial"/>
                  <w:sz w:val="15"/>
                  <w:szCs w:val="15"/>
                  <w:color w:val="7B7C80"/>
                </w:rPr>
                <w:t>Directors Deferred Compensation Plan</w:t>
              </w:r>
            </w:hyperlink>
          </w:p>
        </w:tc>
        <w:tc>
          <w:tcPr>
            <w:tcW w:w="5440" w:type="dxa"/>
            <w:vAlign w:val="bottom"/>
            <w:gridSpan w:val="19"/>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24">
              <w:r>
                <w:rPr>
                  <w:rFonts w:ascii="Arial" w:cs="Arial" w:eastAsia="Arial" w:hAnsi="Arial"/>
                  <w:sz w:val="15"/>
                  <w:szCs w:val="15"/>
                  <w:b w:val="1"/>
                  <w:bCs w:val="1"/>
                  <w:color w:val="7B7C80"/>
                  <w:w w:val="83"/>
                </w:rPr>
                <w:t>21</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960" w:type="dxa"/>
            <w:vAlign w:val="bottom"/>
            <w:tcBorders>
              <w:bottom w:val="single" w:sz="8" w:color="7B7C80"/>
            </w:tcBorders>
            <w:gridSpan w:val="21"/>
          </w:tcPr>
          <w:p>
            <w:pPr>
              <w:spacing w:after="0" w:line="152" w:lineRule="exact"/>
              <w:rPr>
                <w:rFonts w:ascii="Arial" w:cs="Arial" w:eastAsia="Arial" w:hAnsi="Arial"/>
                <w:sz w:val="15"/>
                <w:szCs w:val="15"/>
                <w:color w:val="7B7C80"/>
              </w:rPr>
            </w:pPr>
            <w:hyperlink w:anchor="page24">
              <w:r>
                <w:rPr>
                  <w:rFonts w:ascii="Arial" w:cs="Arial" w:eastAsia="Arial" w:hAnsi="Arial"/>
                  <w:sz w:val="15"/>
                  <w:szCs w:val="15"/>
                  <w:color w:val="7B7C80"/>
                </w:rPr>
                <w:t>Restricted Stock Unit Grants</w:t>
              </w:r>
            </w:hyperlink>
          </w:p>
        </w:tc>
        <w:tc>
          <w:tcPr>
            <w:tcW w:w="6120" w:type="dxa"/>
            <w:vAlign w:val="bottom"/>
            <w:gridSpan w:val="28"/>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24">
              <w:r>
                <w:rPr>
                  <w:rFonts w:ascii="Arial" w:cs="Arial" w:eastAsia="Arial" w:hAnsi="Arial"/>
                  <w:sz w:val="15"/>
                  <w:szCs w:val="15"/>
                  <w:b w:val="1"/>
                  <w:bCs w:val="1"/>
                  <w:color w:val="7B7C80"/>
                  <w:w w:val="83"/>
                </w:rPr>
                <w:t>21</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480" w:type="dxa"/>
            <w:vAlign w:val="bottom"/>
            <w:tcBorders>
              <w:bottom w:val="single" w:sz="8" w:color="7B7C80"/>
            </w:tcBorders>
            <w:gridSpan w:val="14"/>
          </w:tcPr>
          <w:p>
            <w:pPr>
              <w:spacing w:after="0" w:line="152" w:lineRule="exact"/>
              <w:rPr>
                <w:rFonts w:ascii="Arial" w:cs="Arial" w:eastAsia="Arial" w:hAnsi="Arial"/>
                <w:sz w:val="15"/>
                <w:szCs w:val="15"/>
                <w:color w:val="7B7C80"/>
              </w:rPr>
            </w:pPr>
            <w:hyperlink w:anchor="page25">
              <w:r>
                <w:rPr>
                  <w:rFonts w:ascii="Arial" w:cs="Arial" w:eastAsia="Arial" w:hAnsi="Arial"/>
                  <w:sz w:val="15"/>
                  <w:szCs w:val="15"/>
                  <w:color w:val="7B7C80"/>
                </w:rPr>
                <w:t>Other Compensation</w:t>
              </w:r>
            </w:hyperlink>
          </w:p>
        </w:tc>
        <w:tc>
          <w:tcPr>
            <w:tcW w:w="6600" w:type="dxa"/>
            <w:vAlign w:val="bottom"/>
            <w:gridSpan w:val="35"/>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25">
              <w:r>
                <w:rPr>
                  <w:rFonts w:ascii="Arial" w:cs="Arial" w:eastAsia="Arial" w:hAnsi="Arial"/>
                  <w:sz w:val="15"/>
                  <w:szCs w:val="15"/>
                  <w:b w:val="1"/>
                  <w:bCs w:val="1"/>
                  <w:color w:val="7B7C80"/>
                  <w:w w:val="83"/>
                </w:rPr>
                <w:t>22</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2620" w:type="dxa"/>
            <w:vAlign w:val="bottom"/>
            <w:tcBorders>
              <w:bottom w:val="single" w:sz="8" w:color="7B7C80"/>
            </w:tcBorders>
            <w:gridSpan w:val="29"/>
          </w:tcPr>
          <w:p>
            <w:pPr>
              <w:spacing w:after="0" w:line="152" w:lineRule="exact"/>
              <w:rPr>
                <w:rFonts w:ascii="Arial" w:cs="Arial" w:eastAsia="Arial" w:hAnsi="Arial"/>
                <w:sz w:val="15"/>
                <w:szCs w:val="15"/>
                <w:color w:val="7B7C80"/>
              </w:rPr>
            </w:pPr>
            <w:hyperlink w:anchor="page25">
              <w:r>
                <w:rPr>
                  <w:rFonts w:ascii="Arial" w:cs="Arial" w:eastAsia="Arial" w:hAnsi="Arial"/>
                  <w:sz w:val="15"/>
                  <w:szCs w:val="15"/>
                  <w:color w:val="7B7C80"/>
                </w:rPr>
                <w:t>Directors' Stock Ownership Guidelines</w:t>
              </w:r>
            </w:hyperlink>
          </w:p>
        </w:tc>
        <w:tc>
          <w:tcPr>
            <w:tcW w:w="5460" w:type="dxa"/>
            <w:vAlign w:val="bottom"/>
            <w:gridSpan w:val="20"/>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25">
              <w:r>
                <w:rPr>
                  <w:rFonts w:ascii="Arial" w:cs="Arial" w:eastAsia="Arial" w:hAnsi="Arial"/>
                  <w:sz w:val="15"/>
                  <w:szCs w:val="15"/>
                  <w:b w:val="1"/>
                  <w:bCs w:val="1"/>
                  <w:color w:val="7B7C80"/>
                  <w:w w:val="83"/>
                </w:rPr>
                <w:t>22</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8080" w:type="dxa"/>
            <w:vAlign w:val="bottom"/>
            <w:gridSpan w:val="49"/>
          </w:tcPr>
          <w:p>
            <w:pPr>
              <w:spacing w:after="0" w:line="152" w:lineRule="exact"/>
              <w:rPr>
                <w:rFonts w:ascii="Arial" w:cs="Arial" w:eastAsia="Arial" w:hAnsi="Arial"/>
                <w:sz w:val="15"/>
                <w:szCs w:val="15"/>
                <w:color w:val="7B7C80"/>
              </w:rPr>
            </w:pPr>
            <w:hyperlink w:anchor="page25">
              <w:r>
                <w:rPr>
                  <w:rFonts w:ascii="Arial" w:cs="Arial" w:eastAsia="Arial" w:hAnsi="Arial"/>
                  <w:sz w:val="15"/>
                  <w:szCs w:val="15"/>
                  <w:color w:val="7B7C80"/>
                </w:rPr>
                <w:t>Audit Committee Report</w:t>
              </w:r>
            </w:hyperlink>
          </w:p>
        </w:tc>
        <w:tc>
          <w:tcPr>
            <w:tcW w:w="200" w:type="dxa"/>
            <w:vAlign w:val="bottom"/>
          </w:tcPr>
          <w:p>
            <w:pPr>
              <w:spacing w:after="0"/>
              <w:rPr>
                <w:sz w:val="13"/>
                <w:szCs w:val="13"/>
                <w:color w:val="auto"/>
              </w:rPr>
            </w:pPr>
          </w:p>
        </w:tc>
        <w:tc>
          <w:tcPr>
            <w:tcW w:w="160" w:type="dxa"/>
            <w:vAlign w:val="bottom"/>
            <w:gridSpan w:val="2"/>
          </w:tcPr>
          <w:p>
            <w:pPr>
              <w:jc w:val="right"/>
              <w:spacing w:after="0" w:line="152" w:lineRule="exact"/>
              <w:rPr>
                <w:rFonts w:ascii="Arial" w:cs="Arial" w:eastAsia="Arial" w:hAnsi="Arial"/>
                <w:sz w:val="15"/>
                <w:szCs w:val="15"/>
                <w:b w:val="1"/>
                <w:bCs w:val="1"/>
                <w:color w:val="7B7C80"/>
                <w:w w:val="83"/>
              </w:rPr>
            </w:pPr>
            <w:hyperlink w:anchor="page25">
              <w:r>
                <w:rPr>
                  <w:rFonts w:ascii="Arial" w:cs="Arial" w:eastAsia="Arial" w:hAnsi="Arial"/>
                  <w:sz w:val="15"/>
                  <w:szCs w:val="15"/>
                  <w:b w:val="1"/>
                  <w:bCs w:val="1"/>
                  <w:color w:val="7B7C80"/>
                  <w:w w:val="83"/>
                </w:rPr>
                <w:t>22</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140" w:type="dxa"/>
            <w:vAlign w:val="bottom"/>
            <w:tcBorders>
              <w:bottom w:val="single" w:sz="8" w:color="7B7C80"/>
            </w:tcBorders>
          </w:tcPr>
          <w:p>
            <w:pPr>
              <w:spacing w:after="0" w:line="20" w:lineRule="exact"/>
              <w:rPr>
                <w:sz w:val="1"/>
                <w:szCs w:val="1"/>
                <w:color w:val="auto"/>
              </w:rPr>
            </w:pPr>
          </w:p>
        </w:tc>
        <w:tc>
          <w:tcPr>
            <w:tcW w:w="160" w:type="dxa"/>
            <w:vAlign w:val="bottom"/>
            <w:tcBorders>
              <w:top w:val="single" w:sz="8" w:color="7B7C80"/>
              <w:bottom w:val="single" w:sz="8" w:color="7B7C80"/>
            </w:tcBorders>
          </w:tcPr>
          <w:p>
            <w:pPr>
              <w:spacing w:after="0" w:line="20" w:lineRule="exact"/>
              <w:rPr>
                <w:sz w:val="1"/>
                <w:szCs w:val="1"/>
                <w:color w:val="auto"/>
              </w:rPr>
            </w:pPr>
          </w:p>
        </w:tc>
        <w:tc>
          <w:tcPr>
            <w:tcW w:w="62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12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18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160" w:type="dxa"/>
            <w:vAlign w:val="bottom"/>
            <w:tcBorders>
              <w:bottom w:val="single" w:sz="8" w:color="7B7C80"/>
            </w:tcBorders>
          </w:tcPr>
          <w:p>
            <w:pPr>
              <w:spacing w:after="0" w:line="20" w:lineRule="exact"/>
              <w:rPr>
                <w:sz w:val="1"/>
                <w:szCs w:val="1"/>
                <w:color w:val="auto"/>
              </w:rPr>
            </w:pPr>
          </w:p>
        </w:tc>
        <w:tc>
          <w:tcPr>
            <w:tcW w:w="14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4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180" w:type="dxa"/>
            <w:vAlign w:val="bottom"/>
            <w:tcBorders>
              <w:bottom w:val="single" w:sz="8" w:color="7B7C80"/>
            </w:tcBorders>
          </w:tcPr>
          <w:p>
            <w:pPr>
              <w:spacing w:after="0" w:line="20" w:lineRule="exact"/>
              <w:rPr>
                <w:sz w:val="1"/>
                <w:szCs w:val="1"/>
                <w:color w:val="auto"/>
              </w:rPr>
            </w:pPr>
          </w:p>
        </w:tc>
        <w:tc>
          <w:tcPr>
            <w:tcW w:w="10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12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520" w:type="dxa"/>
            <w:vAlign w:val="bottom"/>
            <w:tcBorders>
              <w:bottom w:val="single" w:sz="8" w:color="7B7C80"/>
            </w:tcBorders>
          </w:tcPr>
          <w:p>
            <w:pPr>
              <w:spacing w:after="0" w:line="20" w:lineRule="exact"/>
              <w:rPr>
                <w:sz w:val="1"/>
                <w:szCs w:val="1"/>
                <w:color w:val="auto"/>
              </w:rPr>
            </w:pPr>
          </w:p>
        </w:tc>
        <w:tc>
          <w:tcPr>
            <w:tcW w:w="34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320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200" w:type="dxa"/>
            <w:vAlign w:val="bottom"/>
            <w:tcBorders>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3"/>
        </w:trPr>
        <w:tc>
          <w:tcPr>
            <w:tcW w:w="8220" w:type="dxa"/>
            <w:vAlign w:val="bottom"/>
            <w:gridSpan w:val="50"/>
          </w:tcPr>
          <w:p>
            <w:pPr>
              <w:spacing w:after="0" w:line="123" w:lineRule="exact"/>
              <w:rPr>
                <w:rFonts w:ascii="Arial" w:cs="Arial" w:eastAsia="Arial" w:hAnsi="Arial"/>
                <w:sz w:val="14"/>
                <w:szCs w:val="14"/>
                <w:b w:val="1"/>
                <w:bCs w:val="1"/>
                <w:color w:val="009CCC"/>
              </w:rPr>
            </w:pPr>
            <w:hyperlink w:anchor="page27">
              <w:r>
                <w:rPr>
                  <w:rFonts w:ascii="Arial" w:cs="Arial" w:eastAsia="Arial" w:hAnsi="Arial"/>
                  <w:sz w:val="14"/>
                  <w:szCs w:val="14"/>
                  <w:b w:val="1"/>
                  <w:bCs w:val="1"/>
                  <w:color w:val="009CCC"/>
                </w:rPr>
                <w:t>Executive Compensation</w:t>
              </w:r>
            </w:hyperlink>
          </w:p>
        </w:tc>
        <w:tc>
          <w:tcPr>
            <w:tcW w:w="360" w:type="dxa"/>
            <w:vAlign w:val="bottom"/>
            <w:gridSpan w:val="3"/>
          </w:tcPr>
          <w:p>
            <w:pPr>
              <w:jc w:val="right"/>
              <w:spacing w:after="0" w:line="123" w:lineRule="exact"/>
              <w:rPr>
                <w:rFonts w:ascii="Arial" w:cs="Arial" w:eastAsia="Arial" w:hAnsi="Arial"/>
                <w:sz w:val="14"/>
                <w:szCs w:val="14"/>
                <w:b w:val="1"/>
                <w:bCs w:val="1"/>
                <w:color w:val="7B7C80"/>
              </w:rPr>
            </w:pPr>
            <w:hyperlink w:anchor="page27">
              <w:r>
                <w:rPr>
                  <w:rFonts w:ascii="Arial" w:cs="Arial" w:eastAsia="Arial" w:hAnsi="Arial"/>
                  <w:sz w:val="14"/>
                  <w:szCs w:val="14"/>
                  <w:b w:val="1"/>
                  <w:bCs w:val="1"/>
                  <w:color w:val="7B7C80"/>
                </w:rPr>
                <w:t>24</w:t>
              </w:r>
            </w:hyperlink>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140" w:type="dxa"/>
            <w:vAlign w:val="bottom"/>
            <w:shd w:val="clear" w:color="auto" w:fill="009CCC"/>
          </w:tcPr>
          <w:p>
            <w:pPr>
              <w:spacing w:after="0" w:line="20" w:lineRule="exact"/>
              <w:rPr>
                <w:sz w:val="1"/>
                <w:szCs w:val="1"/>
                <w:color w:val="auto"/>
              </w:rPr>
            </w:pPr>
          </w:p>
        </w:tc>
        <w:tc>
          <w:tcPr>
            <w:tcW w:w="160" w:type="dxa"/>
            <w:vAlign w:val="bottom"/>
            <w:shd w:val="clear" w:color="auto" w:fill="009CCC"/>
          </w:tcPr>
          <w:p>
            <w:pPr>
              <w:spacing w:after="0" w:line="20" w:lineRule="exact"/>
              <w:rPr>
                <w:sz w:val="1"/>
                <w:szCs w:val="1"/>
                <w:color w:val="auto"/>
              </w:rPr>
            </w:pPr>
          </w:p>
        </w:tc>
        <w:tc>
          <w:tcPr>
            <w:tcW w:w="620" w:type="dxa"/>
            <w:vAlign w:val="bottom"/>
            <w:shd w:val="clear" w:color="auto" w:fill="009CCC"/>
          </w:tcPr>
          <w:p>
            <w:pPr>
              <w:spacing w:after="0" w:line="20" w:lineRule="exact"/>
              <w:rPr>
                <w:sz w:val="1"/>
                <w:szCs w:val="1"/>
                <w:color w:val="auto"/>
              </w:rPr>
            </w:pPr>
          </w:p>
        </w:tc>
        <w:tc>
          <w:tcPr>
            <w:tcW w:w="260" w:type="dxa"/>
            <w:vAlign w:val="bottom"/>
            <w:gridSpan w:val="4"/>
            <w:shd w:val="clear" w:color="auto" w:fill="009CCC"/>
          </w:tcPr>
          <w:p>
            <w:pPr>
              <w:spacing w:after="0" w:line="20" w:lineRule="exact"/>
              <w:rPr>
                <w:sz w:val="1"/>
                <w:szCs w:val="1"/>
                <w:color w:val="auto"/>
              </w:rPr>
            </w:pPr>
          </w:p>
        </w:tc>
        <w:tc>
          <w:tcPr>
            <w:tcW w:w="140" w:type="dxa"/>
            <w:vAlign w:val="bottom"/>
            <w:gridSpan w:val="4"/>
            <w:shd w:val="clear" w:color="auto" w:fill="009CCC"/>
          </w:tcPr>
          <w:p>
            <w:pPr>
              <w:spacing w:after="0" w:line="20" w:lineRule="exact"/>
              <w:rPr>
                <w:sz w:val="1"/>
                <w:szCs w:val="1"/>
                <w:color w:val="auto"/>
              </w:rPr>
            </w:pPr>
          </w:p>
        </w:tc>
        <w:tc>
          <w:tcPr>
            <w:tcW w:w="200" w:type="dxa"/>
            <w:vAlign w:val="bottom"/>
            <w:gridSpan w:val="3"/>
            <w:shd w:val="clear" w:color="auto" w:fill="009CCC"/>
          </w:tcPr>
          <w:p>
            <w:pPr>
              <w:spacing w:after="0" w:line="20" w:lineRule="exact"/>
              <w:rPr>
                <w:sz w:val="1"/>
                <w:szCs w:val="1"/>
                <w:color w:val="auto"/>
              </w:rPr>
            </w:pPr>
          </w:p>
        </w:tc>
        <w:tc>
          <w:tcPr>
            <w:tcW w:w="260" w:type="dxa"/>
            <w:vAlign w:val="bottom"/>
            <w:tcBorders>
              <w:right w:val="single" w:sz="8" w:color="7B7C80"/>
            </w:tcBorders>
            <w:gridSpan w:val="4"/>
            <w:shd w:val="clear" w:color="auto" w:fill="009CCC"/>
          </w:tcPr>
          <w:p>
            <w:pPr>
              <w:spacing w:after="0" w:line="20" w:lineRule="exact"/>
              <w:rPr>
                <w:sz w:val="1"/>
                <w:szCs w:val="1"/>
                <w:color w:val="auto"/>
              </w:rPr>
            </w:pPr>
          </w:p>
        </w:tc>
        <w:tc>
          <w:tcPr>
            <w:tcW w:w="80" w:type="dxa"/>
            <w:vAlign w:val="bottom"/>
            <w:gridSpan w:val="2"/>
            <w:shd w:val="clear" w:color="auto" w:fill="7B7C80"/>
          </w:tcPr>
          <w:p>
            <w:pPr>
              <w:spacing w:after="0" w:line="20" w:lineRule="exact"/>
              <w:rPr>
                <w:sz w:val="1"/>
                <w:szCs w:val="1"/>
                <w:color w:val="auto"/>
              </w:rPr>
            </w:pPr>
          </w:p>
        </w:tc>
        <w:tc>
          <w:tcPr>
            <w:tcW w:w="400" w:type="dxa"/>
            <w:vAlign w:val="bottom"/>
            <w:gridSpan w:val="3"/>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gridSpan w:val="3"/>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10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360" w:type="dxa"/>
            <w:vAlign w:val="bottom"/>
            <w:gridSpan w:val="3"/>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gridSpan w:val="2"/>
            <w:shd w:val="clear" w:color="auto" w:fill="7B7C8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5"/>
        </w:trPr>
        <w:tc>
          <w:tcPr>
            <w:tcW w:w="140" w:type="dxa"/>
            <w:vAlign w:val="bottom"/>
          </w:tcPr>
          <w:p>
            <w:pPr>
              <w:spacing w:after="0"/>
              <w:rPr>
                <w:sz w:val="24"/>
                <w:szCs w:val="24"/>
                <w:color w:val="auto"/>
              </w:rPr>
            </w:pPr>
          </w:p>
        </w:tc>
        <w:tc>
          <w:tcPr>
            <w:tcW w:w="2680" w:type="dxa"/>
            <w:vAlign w:val="bottom"/>
            <w:tcBorders>
              <w:bottom w:val="single" w:sz="8" w:color="7B7C80"/>
            </w:tcBorders>
            <w:gridSpan w:val="31"/>
          </w:tcPr>
          <w:p>
            <w:pPr>
              <w:spacing w:after="0"/>
              <w:rPr>
                <w:rFonts w:ascii="Arial" w:cs="Arial" w:eastAsia="Arial" w:hAnsi="Arial"/>
                <w:sz w:val="15"/>
                <w:szCs w:val="15"/>
                <w:color w:val="7B7C80"/>
              </w:rPr>
            </w:pPr>
            <w:hyperlink w:anchor="page27">
              <w:r>
                <w:rPr>
                  <w:rFonts w:ascii="Arial" w:cs="Arial" w:eastAsia="Arial" w:hAnsi="Arial"/>
                  <w:sz w:val="15"/>
                  <w:szCs w:val="15"/>
                  <w:color w:val="7B7C80"/>
                </w:rPr>
                <w:t>Compensation Discussion and Analysis</w:t>
              </w:r>
            </w:hyperlink>
          </w:p>
        </w:tc>
        <w:tc>
          <w:tcPr>
            <w:tcW w:w="5400" w:type="dxa"/>
            <w:vAlign w:val="bottom"/>
            <w:gridSpan w:val="18"/>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Borders>
              <w:bottom w:val="single" w:sz="8" w:color="7B7C80"/>
            </w:tcBorders>
            <w:gridSpan w:val="2"/>
          </w:tcPr>
          <w:p>
            <w:pPr>
              <w:jc w:val="right"/>
              <w:spacing w:after="0"/>
              <w:rPr>
                <w:rFonts w:ascii="Arial" w:cs="Arial" w:eastAsia="Arial" w:hAnsi="Arial"/>
                <w:sz w:val="15"/>
                <w:szCs w:val="15"/>
                <w:b w:val="1"/>
                <w:bCs w:val="1"/>
                <w:color w:val="7B7C80"/>
                <w:w w:val="83"/>
              </w:rPr>
            </w:pPr>
            <w:hyperlink w:anchor="page27">
              <w:r>
                <w:rPr>
                  <w:rFonts w:ascii="Arial" w:cs="Arial" w:eastAsia="Arial" w:hAnsi="Arial"/>
                  <w:sz w:val="15"/>
                  <w:szCs w:val="15"/>
                  <w:b w:val="1"/>
                  <w:bCs w:val="1"/>
                  <w:color w:val="7B7C80"/>
                  <w:w w:val="83"/>
                </w:rPr>
                <w:t>24</w:t>
              </w:r>
            </w:hyperlink>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680" w:type="dxa"/>
            <w:vAlign w:val="bottom"/>
            <w:tcBorders>
              <w:bottom w:val="single" w:sz="8" w:color="7B7C80"/>
            </w:tcBorders>
            <w:gridSpan w:val="35"/>
          </w:tcPr>
          <w:p>
            <w:pPr>
              <w:spacing w:after="0" w:line="152" w:lineRule="exact"/>
              <w:rPr>
                <w:rFonts w:ascii="Arial" w:cs="Arial" w:eastAsia="Arial" w:hAnsi="Arial"/>
                <w:sz w:val="15"/>
                <w:szCs w:val="15"/>
                <w:color w:val="7B7C80"/>
              </w:rPr>
            </w:pPr>
            <w:hyperlink w:anchor="page28">
              <w:r>
                <w:rPr>
                  <w:rFonts w:ascii="Arial" w:cs="Arial" w:eastAsia="Arial" w:hAnsi="Arial"/>
                  <w:sz w:val="15"/>
                  <w:szCs w:val="15"/>
                  <w:color w:val="7B7C80"/>
                </w:rPr>
                <w:t>2017 Company Performance Highlights</w:t>
              </w:r>
            </w:hyperlink>
          </w:p>
        </w:tc>
        <w:tc>
          <w:tcPr>
            <w:tcW w:w="5240" w:type="dxa"/>
            <w:vAlign w:val="bottom"/>
            <w:gridSpan w:val="13"/>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28">
              <w:r>
                <w:rPr>
                  <w:rFonts w:ascii="Arial" w:cs="Arial" w:eastAsia="Arial" w:hAnsi="Arial"/>
                  <w:sz w:val="15"/>
                  <w:szCs w:val="15"/>
                  <w:b w:val="1"/>
                  <w:bCs w:val="1"/>
                  <w:color w:val="7B7C80"/>
                  <w:w w:val="83"/>
                </w:rPr>
                <w:t>25</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100" w:type="dxa"/>
            <w:vAlign w:val="bottom"/>
            <w:tcBorders>
              <w:bottom w:val="single" w:sz="8" w:color="7B7C80"/>
            </w:tcBorders>
            <w:gridSpan w:val="22"/>
          </w:tcPr>
          <w:p>
            <w:pPr>
              <w:spacing w:after="0" w:line="152" w:lineRule="exact"/>
              <w:rPr>
                <w:rFonts w:ascii="Arial" w:cs="Arial" w:eastAsia="Arial" w:hAnsi="Arial"/>
                <w:sz w:val="15"/>
                <w:szCs w:val="15"/>
                <w:color w:val="7B7C80"/>
              </w:rPr>
            </w:pPr>
            <w:hyperlink w:anchor="page28">
              <w:r>
                <w:rPr>
                  <w:rFonts w:ascii="Arial" w:cs="Arial" w:eastAsia="Arial" w:hAnsi="Arial"/>
                  <w:sz w:val="15"/>
                  <w:szCs w:val="15"/>
                  <w:color w:val="7B7C80"/>
                </w:rPr>
                <w:t>2017 Compensation Highlights</w:t>
              </w:r>
            </w:hyperlink>
          </w:p>
        </w:tc>
        <w:tc>
          <w:tcPr>
            <w:tcW w:w="5820" w:type="dxa"/>
            <w:vAlign w:val="bottom"/>
            <w:gridSpan w:val="26"/>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28">
              <w:r>
                <w:rPr>
                  <w:rFonts w:ascii="Arial" w:cs="Arial" w:eastAsia="Arial" w:hAnsi="Arial"/>
                  <w:sz w:val="15"/>
                  <w:szCs w:val="15"/>
                  <w:b w:val="1"/>
                  <w:bCs w:val="1"/>
                  <w:color w:val="7B7C80"/>
                  <w:w w:val="83"/>
                </w:rPr>
                <w:t>25</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260" w:type="dxa"/>
            <w:vAlign w:val="bottom"/>
            <w:tcBorders>
              <w:bottom w:val="single" w:sz="8" w:color="7B7C80"/>
            </w:tcBorders>
            <w:gridSpan w:val="42"/>
          </w:tcPr>
          <w:p>
            <w:pPr>
              <w:spacing w:after="0" w:line="152" w:lineRule="exact"/>
              <w:rPr>
                <w:rFonts w:ascii="Arial" w:cs="Arial" w:eastAsia="Arial" w:hAnsi="Arial"/>
                <w:sz w:val="15"/>
                <w:szCs w:val="15"/>
                <w:color w:val="7B7C80"/>
              </w:rPr>
            </w:pPr>
            <w:hyperlink w:anchor="page29">
              <w:r>
                <w:rPr>
                  <w:rFonts w:ascii="Arial" w:cs="Arial" w:eastAsia="Arial" w:hAnsi="Arial"/>
                  <w:sz w:val="15"/>
                  <w:szCs w:val="15"/>
                  <w:color w:val="7B7C80"/>
                </w:rPr>
                <w:t>Compensation Program Philosophy and Policies</w:t>
              </w:r>
            </w:hyperlink>
          </w:p>
        </w:tc>
        <w:tc>
          <w:tcPr>
            <w:tcW w:w="4660" w:type="dxa"/>
            <w:vAlign w:val="bottom"/>
            <w:gridSpan w:val="6"/>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29">
              <w:r>
                <w:rPr>
                  <w:rFonts w:ascii="Arial" w:cs="Arial" w:eastAsia="Arial" w:hAnsi="Arial"/>
                  <w:sz w:val="15"/>
                  <w:szCs w:val="15"/>
                  <w:b w:val="1"/>
                  <w:bCs w:val="1"/>
                  <w:color w:val="7B7C80"/>
                  <w:w w:val="83"/>
                </w:rPr>
                <w:t>26</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540" w:type="dxa"/>
            <w:vAlign w:val="bottom"/>
            <w:tcBorders>
              <w:bottom w:val="single" w:sz="8" w:color="7B7C80"/>
            </w:tcBorders>
            <w:gridSpan w:val="31"/>
          </w:tcPr>
          <w:p>
            <w:pPr>
              <w:spacing w:after="0" w:line="152" w:lineRule="exact"/>
              <w:rPr>
                <w:rFonts w:ascii="Arial" w:cs="Arial" w:eastAsia="Arial" w:hAnsi="Arial"/>
                <w:sz w:val="15"/>
                <w:szCs w:val="15"/>
                <w:color w:val="7B7C80"/>
              </w:rPr>
            </w:pPr>
            <w:hyperlink w:anchor="page31">
              <w:r>
                <w:rPr>
                  <w:rFonts w:ascii="Arial" w:cs="Arial" w:eastAsia="Arial" w:hAnsi="Arial"/>
                  <w:sz w:val="15"/>
                  <w:szCs w:val="15"/>
                  <w:color w:val="7B7C80"/>
                </w:rPr>
                <w:t>Summary of Compensation Elements</w:t>
              </w:r>
            </w:hyperlink>
          </w:p>
        </w:tc>
        <w:tc>
          <w:tcPr>
            <w:tcW w:w="5380" w:type="dxa"/>
            <w:vAlign w:val="bottom"/>
            <w:gridSpan w:val="17"/>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31">
              <w:r>
                <w:rPr>
                  <w:rFonts w:ascii="Arial" w:cs="Arial" w:eastAsia="Arial" w:hAnsi="Arial"/>
                  <w:sz w:val="15"/>
                  <w:szCs w:val="15"/>
                  <w:b w:val="1"/>
                  <w:bCs w:val="1"/>
                  <w:color w:val="7B7C80"/>
                  <w:w w:val="83"/>
                </w:rPr>
                <w:t>28</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740" w:type="dxa"/>
            <w:vAlign w:val="bottom"/>
            <w:tcBorders>
              <w:bottom w:val="single" w:sz="8" w:color="7B7C80"/>
            </w:tcBorders>
            <w:gridSpan w:val="36"/>
          </w:tcPr>
          <w:p>
            <w:pPr>
              <w:spacing w:after="0" w:line="152" w:lineRule="exact"/>
              <w:rPr>
                <w:rFonts w:ascii="Arial" w:cs="Arial" w:eastAsia="Arial" w:hAnsi="Arial"/>
                <w:sz w:val="15"/>
                <w:szCs w:val="15"/>
                <w:color w:val="7B7C80"/>
              </w:rPr>
            </w:pPr>
            <w:hyperlink w:anchor="page32">
              <w:r>
                <w:rPr>
                  <w:rFonts w:ascii="Arial" w:cs="Arial" w:eastAsia="Arial" w:hAnsi="Arial"/>
                  <w:sz w:val="15"/>
                  <w:szCs w:val="15"/>
                  <w:color w:val="7B7C80"/>
                </w:rPr>
                <w:t>How We Make Compensation Decisions</w:t>
              </w:r>
            </w:hyperlink>
          </w:p>
        </w:tc>
        <w:tc>
          <w:tcPr>
            <w:tcW w:w="5180" w:type="dxa"/>
            <w:vAlign w:val="bottom"/>
            <w:gridSpan w:val="12"/>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32">
              <w:r>
                <w:rPr>
                  <w:rFonts w:ascii="Arial" w:cs="Arial" w:eastAsia="Arial" w:hAnsi="Arial"/>
                  <w:sz w:val="15"/>
                  <w:szCs w:val="15"/>
                  <w:b w:val="1"/>
                  <w:bCs w:val="1"/>
                  <w:color w:val="7B7C80"/>
                  <w:w w:val="83"/>
                </w:rPr>
                <w:t>29</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780" w:type="dxa"/>
            <w:vAlign w:val="bottom"/>
            <w:tcBorders>
              <w:bottom w:val="single" w:sz="8" w:color="7B7C80"/>
            </w:tcBorders>
            <w:gridSpan w:val="38"/>
          </w:tcPr>
          <w:p>
            <w:pPr>
              <w:spacing w:after="0" w:line="152" w:lineRule="exact"/>
              <w:rPr>
                <w:rFonts w:ascii="Arial" w:cs="Arial" w:eastAsia="Arial" w:hAnsi="Arial"/>
                <w:sz w:val="15"/>
                <w:szCs w:val="15"/>
                <w:color w:val="7B7C80"/>
              </w:rPr>
            </w:pPr>
            <w:hyperlink w:anchor="page34">
              <w:r>
                <w:rPr>
                  <w:rFonts w:ascii="Arial" w:cs="Arial" w:eastAsia="Arial" w:hAnsi="Arial"/>
                  <w:sz w:val="15"/>
                  <w:szCs w:val="15"/>
                  <w:color w:val="7B7C80"/>
                </w:rPr>
                <w:t>2017 Executive Compensation Decisions</w:t>
              </w:r>
            </w:hyperlink>
          </w:p>
        </w:tc>
        <w:tc>
          <w:tcPr>
            <w:tcW w:w="5140" w:type="dxa"/>
            <w:vAlign w:val="bottom"/>
            <w:gridSpan w:val="10"/>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34">
              <w:r>
                <w:rPr>
                  <w:rFonts w:ascii="Arial" w:cs="Arial" w:eastAsia="Arial" w:hAnsi="Arial"/>
                  <w:sz w:val="15"/>
                  <w:szCs w:val="15"/>
                  <w:b w:val="1"/>
                  <w:bCs w:val="1"/>
                  <w:color w:val="7B7C80"/>
                  <w:w w:val="83"/>
                </w:rPr>
                <w:t>31</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880" w:type="dxa"/>
            <w:vAlign w:val="bottom"/>
            <w:tcBorders>
              <w:bottom w:val="single" w:sz="8" w:color="7B7C80"/>
            </w:tcBorders>
            <w:gridSpan w:val="5"/>
          </w:tcPr>
          <w:p>
            <w:pPr>
              <w:spacing w:after="0" w:line="152" w:lineRule="exact"/>
              <w:rPr>
                <w:rFonts w:ascii="Arial" w:cs="Arial" w:eastAsia="Arial" w:hAnsi="Arial"/>
                <w:sz w:val="15"/>
                <w:szCs w:val="15"/>
                <w:color w:val="7B7C80"/>
              </w:rPr>
            </w:pPr>
            <w:hyperlink w:anchor="page35">
              <w:r>
                <w:rPr>
                  <w:rFonts w:ascii="Arial" w:cs="Arial" w:eastAsia="Arial" w:hAnsi="Arial"/>
                  <w:sz w:val="15"/>
                  <w:szCs w:val="15"/>
                  <w:color w:val="7B7C80"/>
                </w:rPr>
                <w:t>Base Salary</w:t>
              </w:r>
            </w:hyperlink>
          </w:p>
        </w:tc>
        <w:tc>
          <w:tcPr>
            <w:tcW w:w="7040" w:type="dxa"/>
            <w:vAlign w:val="bottom"/>
            <w:gridSpan w:val="43"/>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35">
              <w:r>
                <w:rPr>
                  <w:rFonts w:ascii="Arial" w:cs="Arial" w:eastAsia="Arial" w:hAnsi="Arial"/>
                  <w:sz w:val="15"/>
                  <w:szCs w:val="15"/>
                  <w:b w:val="1"/>
                  <w:bCs w:val="1"/>
                  <w:color w:val="7B7C80"/>
                  <w:w w:val="83"/>
                </w:rPr>
                <w:t>32</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480" w:type="dxa"/>
            <w:vAlign w:val="bottom"/>
            <w:tcBorders>
              <w:bottom w:val="single" w:sz="8" w:color="7B7C80"/>
            </w:tcBorders>
            <w:gridSpan w:val="16"/>
          </w:tcPr>
          <w:p>
            <w:pPr>
              <w:spacing w:after="0" w:line="152" w:lineRule="exact"/>
              <w:rPr>
                <w:rFonts w:ascii="Arial" w:cs="Arial" w:eastAsia="Arial" w:hAnsi="Arial"/>
                <w:sz w:val="15"/>
                <w:szCs w:val="15"/>
                <w:color w:val="7B7C80"/>
              </w:rPr>
            </w:pPr>
            <w:hyperlink w:anchor="page35">
              <w:r>
                <w:rPr>
                  <w:rFonts w:ascii="Arial" w:cs="Arial" w:eastAsia="Arial" w:hAnsi="Arial"/>
                  <w:sz w:val="15"/>
                  <w:szCs w:val="15"/>
                  <w:color w:val="7B7C80"/>
                </w:rPr>
                <w:t>Annual Incentive Pay</w:t>
              </w:r>
            </w:hyperlink>
          </w:p>
        </w:tc>
        <w:tc>
          <w:tcPr>
            <w:tcW w:w="6440" w:type="dxa"/>
            <w:vAlign w:val="bottom"/>
            <w:gridSpan w:val="32"/>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35">
              <w:r>
                <w:rPr>
                  <w:rFonts w:ascii="Arial" w:cs="Arial" w:eastAsia="Arial" w:hAnsi="Arial"/>
                  <w:sz w:val="15"/>
                  <w:szCs w:val="15"/>
                  <w:b w:val="1"/>
                  <w:bCs w:val="1"/>
                  <w:color w:val="7B7C80"/>
                  <w:w w:val="83"/>
                </w:rPr>
                <w:t>32</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420" w:type="dxa"/>
            <w:vAlign w:val="bottom"/>
            <w:tcBorders>
              <w:bottom w:val="single" w:sz="8" w:color="7B7C80"/>
            </w:tcBorders>
            <w:gridSpan w:val="27"/>
          </w:tcPr>
          <w:p>
            <w:pPr>
              <w:spacing w:after="0" w:line="152" w:lineRule="exact"/>
              <w:rPr>
                <w:rFonts w:ascii="Arial" w:cs="Arial" w:eastAsia="Arial" w:hAnsi="Arial"/>
                <w:sz w:val="15"/>
                <w:szCs w:val="15"/>
                <w:color w:val="7B7C80"/>
              </w:rPr>
            </w:pPr>
            <w:hyperlink w:anchor="page39">
              <w:r>
                <w:rPr>
                  <w:rFonts w:ascii="Arial" w:cs="Arial" w:eastAsia="Arial" w:hAnsi="Arial"/>
                  <w:sz w:val="15"/>
                  <w:szCs w:val="15"/>
                  <w:color w:val="7B7C80"/>
                </w:rPr>
                <w:t>Long Term Incentive Compensation</w:t>
              </w:r>
            </w:hyperlink>
          </w:p>
        </w:tc>
        <w:tc>
          <w:tcPr>
            <w:tcW w:w="5500" w:type="dxa"/>
            <w:vAlign w:val="bottom"/>
            <w:gridSpan w:val="21"/>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39">
              <w:r>
                <w:rPr>
                  <w:rFonts w:ascii="Arial" w:cs="Arial" w:eastAsia="Arial" w:hAnsi="Arial"/>
                  <w:sz w:val="15"/>
                  <w:szCs w:val="15"/>
                  <w:b w:val="1"/>
                  <w:bCs w:val="1"/>
                  <w:color w:val="7B7C80"/>
                  <w:w w:val="83"/>
                </w:rPr>
                <w:t>36</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980" w:type="dxa"/>
            <w:vAlign w:val="bottom"/>
            <w:tcBorders>
              <w:bottom w:val="single" w:sz="8" w:color="7B7C80"/>
            </w:tcBorders>
            <w:gridSpan w:val="44"/>
          </w:tcPr>
          <w:p>
            <w:pPr>
              <w:spacing w:after="0" w:line="152" w:lineRule="exact"/>
              <w:rPr>
                <w:rFonts w:ascii="Arial" w:cs="Arial" w:eastAsia="Arial" w:hAnsi="Arial"/>
                <w:sz w:val="15"/>
                <w:szCs w:val="15"/>
                <w:color w:val="7B7C80"/>
              </w:rPr>
            </w:pPr>
            <w:hyperlink w:anchor="page40">
              <w:r>
                <w:rPr>
                  <w:rFonts w:ascii="Arial" w:cs="Arial" w:eastAsia="Arial" w:hAnsi="Arial"/>
                  <w:sz w:val="15"/>
                  <w:szCs w:val="15"/>
                  <w:color w:val="7B7C80"/>
                </w:rPr>
                <w:t>Timing of Stock Option Awards and Other Equity Incentives</w:t>
              </w:r>
            </w:hyperlink>
          </w:p>
        </w:tc>
        <w:tc>
          <w:tcPr>
            <w:tcW w:w="3940" w:type="dxa"/>
            <w:vAlign w:val="bottom"/>
            <w:gridSpan w:val="4"/>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0">
              <w:r>
                <w:rPr>
                  <w:rFonts w:ascii="Arial" w:cs="Arial" w:eastAsia="Arial" w:hAnsi="Arial"/>
                  <w:sz w:val="15"/>
                  <w:szCs w:val="15"/>
                  <w:b w:val="1"/>
                  <w:bCs w:val="1"/>
                  <w:color w:val="7B7C80"/>
                  <w:w w:val="83"/>
                </w:rPr>
                <w:t>37</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Borders>
              <w:bottom w:val="single" w:sz="8" w:color="7B7C80"/>
            </w:tcBorders>
          </w:tcPr>
          <w:p>
            <w:pPr>
              <w:spacing w:after="0" w:line="152" w:lineRule="exact"/>
              <w:rPr>
                <w:rFonts w:ascii="Arial" w:cs="Arial" w:eastAsia="Arial" w:hAnsi="Arial"/>
                <w:sz w:val="15"/>
                <w:szCs w:val="15"/>
                <w:color w:val="7B7C80"/>
              </w:rPr>
            </w:pPr>
            <w:hyperlink w:anchor="page41">
              <w:r>
                <w:rPr>
                  <w:rFonts w:ascii="Arial" w:cs="Arial" w:eastAsia="Arial" w:hAnsi="Arial"/>
                  <w:sz w:val="15"/>
                  <w:szCs w:val="15"/>
                  <w:color w:val="7B7C80"/>
                </w:rPr>
                <w:t>Benefits</w:t>
              </w:r>
            </w:hyperlink>
          </w:p>
        </w:tc>
        <w:tc>
          <w:tcPr>
            <w:tcW w:w="7300" w:type="dxa"/>
            <w:vAlign w:val="bottom"/>
            <w:gridSpan w:val="47"/>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1">
              <w:r>
                <w:rPr>
                  <w:rFonts w:ascii="Arial" w:cs="Arial" w:eastAsia="Arial" w:hAnsi="Arial"/>
                  <w:sz w:val="15"/>
                  <w:szCs w:val="15"/>
                  <w:b w:val="1"/>
                  <w:bCs w:val="1"/>
                  <w:color w:val="7B7C80"/>
                  <w:w w:val="83"/>
                </w:rPr>
                <w:t>38</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640" w:type="dxa"/>
            <w:vAlign w:val="bottom"/>
            <w:tcBorders>
              <w:bottom w:val="single" w:sz="8" w:color="7B7C80"/>
            </w:tcBorders>
            <w:gridSpan w:val="33"/>
          </w:tcPr>
          <w:p>
            <w:pPr>
              <w:spacing w:after="0" w:line="152" w:lineRule="exact"/>
              <w:rPr>
                <w:rFonts w:ascii="Arial" w:cs="Arial" w:eastAsia="Arial" w:hAnsi="Arial"/>
                <w:sz w:val="15"/>
                <w:szCs w:val="15"/>
                <w:color w:val="7B7C80"/>
              </w:rPr>
            </w:pPr>
            <w:hyperlink w:anchor="page41">
              <w:r>
                <w:rPr>
                  <w:rFonts w:ascii="Arial" w:cs="Arial" w:eastAsia="Arial" w:hAnsi="Arial"/>
                  <w:sz w:val="15"/>
                  <w:szCs w:val="15"/>
                  <w:color w:val="7B7C80"/>
                </w:rPr>
                <w:t>Change of Control and Separation Pay</w:t>
              </w:r>
            </w:hyperlink>
          </w:p>
        </w:tc>
        <w:tc>
          <w:tcPr>
            <w:tcW w:w="5280" w:type="dxa"/>
            <w:vAlign w:val="bottom"/>
            <w:gridSpan w:val="15"/>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1">
              <w:r>
                <w:rPr>
                  <w:rFonts w:ascii="Arial" w:cs="Arial" w:eastAsia="Arial" w:hAnsi="Arial"/>
                  <w:sz w:val="15"/>
                  <w:szCs w:val="15"/>
                  <w:b w:val="1"/>
                  <w:bCs w:val="1"/>
                  <w:color w:val="7B7C80"/>
                  <w:w w:val="83"/>
                </w:rPr>
                <w:t>38</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960" w:type="dxa"/>
            <w:vAlign w:val="bottom"/>
            <w:tcBorders>
              <w:bottom w:val="single" w:sz="8" w:color="7B7C80"/>
            </w:tcBorders>
            <w:gridSpan w:val="21"/>
          </w:tcPr>
          <w:p>
            <w:pPr>
              <w:spacing w:after="0" w:line="152" w:lineRule="exact"/>
              <w:rPr>
                <w:rFonts w:ascii="Arial" w:cs="Arial" w:eastAsia="Arial" w:hAnsi="Arial"/>
                <w:sz w:val="15"/>
                <w:szCs w:val="15"/>
                <w:color w:val="7B7C80"/>
              </w:rPr>
            </w:pPr>
            <w:hyperlink w:anchor="page42">
              <w:r>
                <w:rPr>
                  <w:rFonts w:ascii="Arial" w:cs="Arial" w:eastAsia="Arial" w:hAnsi="Arial"/>
                  <w:sz w:val="15"/>
                  <w:szCs w:val="15"/>
                  <w:color w:val="7B7C80"/>
                </w:rPr>
                <w:t>Stock Ownership Guidelines</w:t>
              </w:r>
            </w:hyperlink>
          </w:p>
        </w:tc>
        <w:tc>
          <w:tcPr>
            <w:tcW w:w="5960" w:type="dxa"/>
            <w:vAlign w:val="bottom"/>
            <w:gridSpan w:val="27"/>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2">
              <w:r>
                <w:rPr>
                  <w:rFonts w:ascii="Arial" w:cs="Arial" w:eastAsia="Arial" w:hAnsi="Arial"/>
                  <w:sz w:val="15"/>
                  <w:szCs w:val="15"/>
                  <w:b w:val="1"/>
                  <w:bCs w:val="1"/>
                  <w:color w:val="7B7C80"/>
                  <w:w w:val="83"/>
                </w:rPr>
                <w:t>39</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220" w:type="dxa"/>
            <w:vAlign w:val="bottom"/>
            <w:tcBorders>
              <w:bottom w:val="single" w:sz="8" w:color="7B7C80"/>
            </w:tcBorders>
            <w:gridSpan w:val="12"/>
          </w:tcPr>
          <w:p>
            <w:pPr>
              <w:spacing w:after="0" w:line="152" w:lineRule="exact"/>
              <w:rPr>
                <w:rFonts w:ascii="Arial" w:cs="Arial" w:eastAsia="Arial" w:hAnsi="Arial"/>
                <w:sz w:val="15"/>
                <w:szCs w:val="15"/>
                <w:color w:val="7B7C80"/>
              </w:rPr>
            </w:pPr>
            <w:hyperlink w:anchor="page42">
              <w:r>
                <w:rPr>
                  <w:rFonts w:ascii="Arial" w:cs="Arial" w:eastAsia="Arial" w:hAnsi="Arial"/>
                  <w:sz w:val="15"/>
                  <w:szCs w:val="15"/>
                  <w:color w:val="7B7C80"/>
                </w:rPr>
                <w:t>Claw Back Policy</w:t>
              </w:r>
            </w:hyperlink>
          </w:p>
        </w:tc>
        <w:tc>
          <w:tcPr>
            <w:tcW w:w="6700" w:type="dxa"/>
            <w:vAlign w:val="bottom"/>
            <w:gridSpan w:val="36"/>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2">
              <w:r>
                <w:rPr>
                  <w:rFonts w:ascii="Arial" w:cs="Arial" w:eastAsia="Arial" w:hAnsi="Arial"/>
                  <w:sz w:val="15"/>
                  <w:szCs w:val="15"/>
                  <w:b w:val="1"/>
                  <w:bCs w:val="1"/>
                  <w:color w:val="7B7C80"/>
                  <w:w w:val="83"/>
                </w:rPr>
                <w:t>39</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020" w:type="dxa"/>
            <w:vAlign w:val="bottom"/>
            <w:tcBorders>
              <w:bottom w:val="single" w:sz="8" w:color="7B7C80"/>
            </w:tcBorders>
            <w:gridSpan w:val="9"/>
          </w:tcPr>
          <w:p>
            <w:pPr>
              <w:spacing w:after="0" w:line="152" w:lineRule="exact"/>
              <w:rPr>
                <w:rFonts w:ascii="Arial" w:cs="Arial" w:eastAsia="Arial" w:hAnsi="Arial"/>
                <w:sz w:val="15"/>
                <w:szCs w:val="15"/>
                <w:color w:val="7B7C80"/>
              </w:rPr>
            </w:pPr>
            <w:hyperlink w:anchor="page42">
              <w:r>
                <w:rPr>
                  <w:rFonts w:ascii="Arial" w:cs="Arial" w:eastAsia="Arial" w:hAnsi="Arial"/>
                  <w:sz w:val="15"/>
                  <w:szCs w:val="15"/>
                  <w:color w:val="7B7C80"/>
                </w:rPr>
                <w:t>Trading Policy</w:t>
              </w:r>
            </w:hyperlink>
          </w:p>
        </w:tc>
        <w:tc>
          <w:tcPr>
            <w:tcW w:w="6900" w:type="dxa"/>
            <w:vAlign w:val="bottom"/>
            <w:gridSpan w:val="39"/>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2">
              <w:r>
                <w:rPr>
                  <w:rFonts w:ascii="Arial" w:cs="Arial" w:eastAsia="Arial" w:hAnsi="Arial"/>
                  <w:sz w:val="15"/>
                  <w:szCs w:val="15"/>
                  <w:b w:val="1"/>
                  <w:bCs w:val="1"/>
                  <w:color w:val="7B7C80"/>
                  <w:w w:val="83"/>
                </w:rPr>
                <w:t>39</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480" w:type="dxa"/>
            <w:vAlign w:val="bottom"/>
            <w:tcBorders>
              <w:bottom w:val="single" w:sz="8" w:color="7B7C80"/>
            </w:tcBorders>
            <w:gridSpan w:val="16"/>
          </w:tcPr>
          <w:p>
            <w:pPr>
              <w:spacing w:after="0" w:line="152" w:lineRule="exact"/>
              <w:rPr>
                <w:rFonts w:ascii="Arial" w:cs="Arial" w:eastAsia="Arial" w:hAnsi="Arial"/>
                <w:sz w:val="15"/>
                <w:szCs w:val="15"/>
                <w:color w:val="7B7C80"/>
              </w:rPr>
            </w:pPr>
            <w:hyperlink w:anchor="page43">
              <w:r>
                <w:rPr>
                  <w:rFonts w:ascii="Arial" w:cs="Arial" w:eastAsia="Arial" w:hAnsi="Arial"/>
                  <w:sz w:val="15"/>
                  <w:szCs w:val="15"/>
                  <w:color w:val="7B7C80"/>
                </w:rPr>
                <w:t>Succession Planning</w:t>
              </w:r>
            </w:hyperlink>
          </w:p>
        </w:tc>
        <w:tc>
          <w:tcPr>
            <w:tcW w:w="6440" w:type="dxa"/>
            <w:vAlign w:val="bottom"/>
            <w:gridSpan w:val="32"/>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3">
              <w:r>
                <w:rPr>
                  <w:rFonts w:ascii="Arial" w:cs="Arial" w:eastAsia="Arial" w:hAnsi="Arial"/>
                  <w:sz w:val="15"/>
                  <w:szCs w:val="15"/>
                  <w:b w:val="1"/>
                  <w:bCs w:val="1"/>
                  <w:color w:val="7B7C80"/>
                  <w:w w:val="83"/>
                </w:rPr>
                <w:t>40</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560" w:type="dxa"/>
            <w:vAlign w:val="bottom"/>
            <w:tcBorders>
              <w:bottom w:val="single" w:sz="8" w:color="7B7C80"/>
            </w:tcBorders>
            <w:gridSpan w:val="32"/>
          </w:tcPr>
          <w:p>
            <w:pPr>
              <w:spacing w:after="0" w:line="152" w:lineRule="exact"/>
              <w:rPr>
                <w:rFonts w:ascii="Arial" w:cs="Arial" w:eastAsia="Arial" w:hAnsi="Arial"/>
                <w:sz w:val="15"/>
                <w:szCs w:val="15"/>
                <w:color w:val="7B7C80"/>
              </w:rPr>
            </w:pPr>
            <w:hyperlink w:anchor="page43">
              <w:r>
                <w:rPr>
                  <w:rFonts w:ascii="Arial" w:cs="Arial" w:eastAsia="Arial" w:hAnsi="Arial"/>
                  <w:sz w:val="15"/>
                  <w:szCs w:val="15"/>
                  <w:color w:val="7B7C80"/>
                </w:rPr>
                <w:t>Human Resources Committee Report</w:t>
              </w:r>
            </w:hyperlink>
          </w:p>
        </w:tc>
        <w:tc>
          <w:tcPr>
            <w:tcW w:w="5360" w:type="dxa"/>
            <w:vAlign w:val="bottom"/>
            <w:gridSpan w:val="16"/>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3">
              <w:r>
                <w:rPr>
                  <w:rFonts w:ascii="Arial" w:cs="Arial" w:eastAsia="Arial" w:hAnsi="Arial"/>
                  <w:sz w:val="15"/>
                  <w:szCs w:val="15"/>
                  <w:b w:val="1"/>
                  <w:bCs w:val="1"/>
                  <w:color w:val="7B7C80"/>
                  <w:w w:val="83"/>
                </w:rPr>
                <w:t>40</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140" w:type="dxa"/>
            <w:vAlign w:val="bottom"/>
            <w:tcBorders>
              <w:bottom w:val="single" w:sz="8" w:color="7B7C80"/>
            </w:tcBorders>
            <w:gridSpan w:val="41"/>
          </w:tcPr>
          <w:p>
            <w:pPr>
              <w:spacing w:after="0" w:line="152" w:lineRule="exact"/>
              <w:rPr>
                <w:rFonts w:ascii="Arial" w:cs="Arial" w:eastAsia="Arial" w:hAnsi="Arial"/>
                <w:sz w:val="15"/>
                <w:szCs w:val="15"/>
                <w:color w:val="7B7C80"/>
              </w:rPr>
            </w:pPr>
            <w:hyperlink w:anchor="page43">
              <w:r>
                <w:rPr>
                  <w:rFonts w:ascii="Arial" w:cs="Arial" w:eastAsia="Arial" w:hAnsi="Arial"/>
                  <w:sz w:val="15"/>
                  <w:szCs w:val="15"/>
                  <w:color w:val="7B7C80"/>
                </w:rPr>
                <w:t>Risk Assessment of Employee Incentive Plans</w:t>
              </w:r>
            </w:hyperlink>
          </w:p>
        </w:tc>
        <w:tc>
          <w:tcPr>
            <w:tcW w:w="4780" w:type="dxa"/>
            <w:vAlign w:val="bottom"/>
            <w:gridSpan w:val="7"/>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3">
              <w:r>
                <w:rPr>
                  <w:rFonts w:ascii="Arial" w:cs="Arial" w:eastAsia="Arial" w:hAnsi="Arial"/>
                  <w:sz w:val="15"/>
                  <w:szCs w:val="15"/>
                  <w:b w:val="1"/>
                  <w:bCs w:val="1"/>
                  <w:color w:val="7B7C80"/>
                  <w:w w:val="83"/>
                </w:rPr>
                <w:t>40</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2120" w:type="dxa"/>
            <w:vAlign w:val="bottom"/>
            <w:tcBorders>
              <w:bottom w:val="single" w:sz="8" w:color="7B7C80"/>
            </w:tcBorders>
            <w:gridSpan w:val="22"/>
          </w:tcPr>
          <w:p>
            <w:pPr>
              <w:spacing w:after="0" w:line="152" w:lineRule="exact"/>
              <w:rPr>
                <w:rFonts w:ascii="Arial" w:cs="Arial" w:eastAsia="Arial" w:hAnsi="Arial"/>
                <w:sz w:val="15"/>
                <w:szCs w:val="15"/>
                <w:color w:val="7B7C80"/>
              </w:rPr>
            </w:pPr>
            <w:hyperlink w:anchor="page44">
              <w:r>
                <w:rPr>
                  <w:rFonts w:ascii="Arial" w:cs="Arial" w:eastAsia="Arial" w:hAnsi="Arial"/>
                  <w:sz w:val="15"/>
                  <w:szCs w:val="15"/>
                  <w:color w:val="7B7C80"/>
                </w:rPr>
                <w:t>Summary Compensation Table</w:t>
              </w:r>
            </w:hyperlink>
          </w:p>
        </w:tc>
        <w:tc>
          <w:tcPr>
            <w:tcW w:w="5960" w:type="dxa"/>
            <w:vAlign w:val="bottom"/>
            <w:gridSpan w:val="27"/>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4">
              <w:r>
                <w:rPr>
                  <w:rFonts w:ascii="Arial" w:cs="Arial" w:eastAsia="Arial" w:hAnsi="Arial"/>
                  <w:sz w:val="15"/>
                  <w:szCs w:val="15"/>
                  <w:b w:val="1"/>
                  <w:bCs w:val="1"/>
                  <w:color w:val="7B7C80"/>
                  <w:w w:val="83"/>
                </w:rPr>
                <w:t>41</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4680" w:type="dxa"/>
            <w:vAlign w:val="bottom"/>
            <w:tcBorders>
              <w:bottom w:val="single" w:sz="8" w:color="7B7C80"/>
            </w:tcBorders>
            <w:gridSpan w:val="47"/>
          </w:tcPr>
          <w:p>
            <w:pPr>
              <w:spacing w:after="0" w:line="152" w:lineRule="exact"/>
              <w:rPr>
                <w:rFonts w:ascii="Arial" w:cs="Arial" w:eastAsia="Arial" w:hAnsi="Arial"/>
                <w:sz w:val="15"/>
                <w:szCs w:val="15"/>
                <w:color w:val="7B7C80"/>
              </w:rPr>
            </w:pPr>
            <w:hyperlink w:anchor="page46">
              <w:r>
                <w:rPr>
                  <w:rFonts w:ascii="Arial" w:cs="Arial" w:eastAsia="Arial" w:hAnsi="Arial"/>
                  <w:sz w:val="15"/>
                  <w:szCs w:val="15"/>
                  <w:color w:val="7B7C80"/>
                </w:rPr>
                <w:t>Grants of Plan Based Awards for Fiscal Year End December 31, 2017</w:t>
              </w:r>
            </w:hyperlink>
          </w:p>
        </w:tc>
        <w:tc>
          <w:tcPr>
            <w:tcW w:w="3400" w:type="dxa"/>
            <w:vAlign w:val="bottom"/>
            <w:gridSpan w:val="2"/>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6">
              <w:r>
                <w:rPr>
                  <w:rFonts w:ascii="Arial" w:cs="Arial" w:eastAsia="Arial" w:hAnsi="Arial"/>
                  <w:sz w:val="15"/>
                  <w:szCs w:val="15"/>
                  <w:b w:val="1"/>
                  <w:bCs w:val="1"/>
                  <w:color w:val="7B7C80"/>
                  <w:w w:val="83"/>
                </w:rPr>
                <w:t>43</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4480" w:type="dxa"/>
            <w:vAlign w:val="bottom"/>
            <w:tcBorders>
              <w:bottom w:val="single" w:sz="8" w:color="7B7C80"/>
            </w:tcBorders>
            <w:gridSpan w:val="46"/>
          </w:tcPr>
          <w:p>
            <w:pPr>
              <w:spacing w:after="0" w:line="152" w:lineRule="exact"/>
              <w:rPr>
                <w:rFonts w:ascii="Arial" w:cs="Arial" w:eastAsia="Arial" w:hAnsi="Arial"/>
                <w:sz w:val="15"/>
                <w:szCs w:val="15"/>
                <w:color w:val="7B7C80"/>
              </w:rPr>
            </w:pPr>
            <w:hyperlink w:anchor="page47">
              <w:r>
                <w:rPr>
                  <w:rFonts w:ascii="Arial" w:cs="Arial" w:eastAsia="Arial" w:hAnsi="Arial"/>
                  <w:sz w:val="15"/>
                  <w:szCs w:val="15"/>
                  <w:color w:val="7B7C80"/>
                </w:rPr>
                <w:t>Outstanding Equity Awards at Fiscal Year End December 31, 2017</w:t>
              </w:r>
            </w:hyperlink>
          </w:p>
        </w:tc>
        <w:tc>
          <w:tcPr>
            <w:tcW w:w="3600" w:type="dxa"/>
            <w:vAlign w:val="bottom"/>
            <w:gridSpan w:val="3"/>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7">
              <w:r>
                <w:rPr>
                  <w:rFonts w:ascii="Arial" w:cs="Arial" w:eastAsia="Arial" w:hAnsi="Arial"/>
                  <w:sz w:val="15"/>
                  <w:szCs w:val="15"/>
                  <w:b w:val="1"/>
                  <w:bCs w:val="1"/>
                  <w:color w:val="7B7C80"/>
                  <w:w w:val="83"/>
                </w:rPr>
                <w:t>44</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40" w:type="dxa"/>
            <w:vAlign w:val="bottom"/>
          </w:tcPr>
          <w:p>
            <w:pPr>
              <w:spacing w:after="0"/>
              <w:rPr>
                <w:sz w:val="13"/>
                <w:szCs w:val="13"/>
                <w:color w:val="auto"/>
              </w:rPr>
            </w:pPr>
          </w:p>
        </w:tc>
        <w:tc>
          <w:tcPr>
            <w:tcW w:w="2440" w:type="dxa"/>
            <w:vAlign w:val="bottom"/>
            <w:tcBorders>
              <w:bottom w:val="single" w:sz="8" w:color="7B7C80"/>
            </w:tcBorders>
            <w:gridSpan w:val="26"/>
          </w:tcPr>
          <w:p>
            <w:pPr>
              <w:spacing w:after="0" w:line="152" w:lineRule="exact"/>
              <w:rPr>
                <w:rFonts w:ascii="Arial" w:cs="Arial" w:eastAsia="Arial" w:hAnsi="Arial"/>
                <w:sz w:val="15"/>
                <w:szCs w:val="15"/>
                <w:color w:val="7B7C80"/>
              </w:rPr>
            </w:pPr>
            <w:hyperlink w:anchor="page48">
              <w:r>
                <w:rPr>
                  <w:rFonts w:ascii="Arial" w:cs="Arial" w:eastAsia="Arial" w:hAnsi="Arial"/>
                  <w:sz w:val="15"/>
                  <w:szCs w:val="15"/>
                  <w:color w:val="7B7C80"/>
                </w:rPr>
                <w:t>Option Exercises and Stock Vesting</w:t>
              </w:r>
            </w:hyperlink>
          </w:p>
        </w:tc>
        <w:tc>
          <w:tcPr>
            <w:tcW w:w="5640" w:type="dxa"/>
            <w:vAlign w:val="bottom"/>
            <w:gridSpan w:val="23"/>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Borders>
              <w:bottom w:val="single" w:sz="8" w:color="7B7C80"/>
            </w:tcBorders>
            <w:gridSpan w:val="2"/>
          </w:tcPr>
          <w:p>
            <w:pPr>
              <w:jc w:val="right"/>
              <w:spacing w:after="0" w:line="152" w:lineRule="exact"/>
              <w:rPr>
                <w:rFonts w:ascii="Arial" w:cs="Arial" w:eastAsia="Arial" w:hAnsi="Arial"/>
                <w:sz w:val="15"/>
                <w:szCs w:val="15"/>
                <w:b w:val="1"/>
                <w:bCs w:val="1"/>
                <w:color w:val="7B7C80"/>
                <w:w w:val="83"/>
              </w:rPr>
            </w:pPr>
            <w:hyperlink w:anchor="page48">
              <w:r>
                <w:rPr>
                  <w:rFonts w:ascii="Arial" w:cs="Arial" w:eastAsia="Arial" w:hAnsi="Arial"/>
                  <w:sz w:val="15"/>
                  <w:szCs w:val="15"/>
                  <w:b w:val="1"/>
                  <w:bCs w:val="1"/>
                  <w:color w:val="7B7C80"/>
                  <w:w w:val="83"/>
                </w:rPr>
                <w:t>45</w:t>
              </w:r>
            </w:hyperlink>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3188335</wp:posOffset>
            </wp:positionH>
            <wp:positionV relativeFrom="paragraph">
              <wp:posOffset>123825</wp:posOffset>
            </wp:positionV>
            <wp:extent cx="960120" cy="2838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315" w:lineRule="exact"/>
        <w:rPr>
          <w:sz w:val="20"/>
          <w:szCs w:val="20"/>
          <w:color w:val="auto"/>
        </w:rPr>
      </w:pPr>
    </w:p>
    <w:p>
      <w:pPr>
        <w:spacing w:after="0"/>
        <w:tabs>
          <w:tab w:leader="none" w:pos="380" w:val="left"/>
        </w:tabs>
        <w:rPr>
          <w:sz w:val="20"/>
          <w:szCs w:val="20"/>
          <w:color w:val="auto"/>
        </w:rPr>
      </w:pPr>
      <w:r>
        <w:rPr>
          <w:rFonts w:ascii="Arial" w:cs="Arial" w:eastAsia="Arial" w:hAnsi="Arial"/>
          <w:sz w:val="15"/>
          <w:szCs w:val="15"/>
          <w:color w:val="009CCC"/>
        </w:rPr>
        <w:t>2</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0219"/>
          </w:cols>
          <w:pgMar w:left="240" w:top="142" w:right="1440" w:bottom="1440" w:gutter="0" w:footer="0" w:header="0"/>
        </w:sectPr>
      </w:pPr>
    </w:p>
    <w:bookmarkStart w:id="5" w:name="page6"/>
    <w:bookmarkEnd w:id="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56" w:lineRule="exact"/>
        <w:rPr>
          <w:sz w:val="20"/>
          <w:szCs w:val="20"/>
          <w:color w:val="auto"/>
        </w:rPr>
      </w:pPr>
    </w:p>
    <w:tbl>
      <w:tblPr>
        <w:tblLayout w:type="fixed"/>
        <w:tblInd w:w="0" w:type="dxa"/>
        <w:tblCellMar>
          <w:top w:w="0" w:type="dxa"/>
          <w:left w:w="0" w:type="dxa"/>
          <w:bottom w:w="0" w:type="dxa"/>
          <w:right w:w="0" w:type="dxa"/>
        </w:tblCellMar>
      </w:tblPr>
      <w:tr>
        <w:trPr>
          <w:trHeight w:val="172"/>
        </w:trPr>
        <w:tc>
          <w:tcPr>
            <w:tcW w:w="13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00" w:type="dxa"/>
            <w:vAlign w:val="bottom"/>
            <w:tcBorders>
              <w:bottom w:val="single" w:sz="8" w:color="7B7C80"/>
            </w:tcBorders>
            <w:gridSpan w:val="7"/>
          </w:tcPr>
          <w:p>
            <w:pPr>
              <w:spacing w:after="0"/>
              <w:rPr>
                <w:rFonts w:ascii="Arial" w:cs="Arial" w:eastAsia="Arial" w:hAnsi="Arial"/>
                <w:sz w:val="15"/>
                <w:szCs w:val="15"/>
                <w:color w:val="7B7C80"/>
              </w:rPr>
            </w:pPr>
            <w:hyperlink w:anchor="page48">
              <w:r>
                <w:rPr>
                  <w:rFonts w:ascii="Arial" w:cs="Arial" w:eastAsia="Arial" w:hAnsi="Arial"/>
                  <w:sz w:val="15"/>
                  <w:szCs w:val="15"/>
                  <w:color w:val="7B7C80"/>
                </w:rPr>
                <w:t>CEO Pay Ratio</w:t>
              </w:r>
            </w:hyperlink>
          </w:p>
        </w:tc>
        <w:tc>
          <w:tcPr>
            <w:tcW w:w="5380" w:type="dxa"/>
            <w:vAlign w:val="bottom"/>
            <w:gridSpan w:val="16"/>
          </w:tcPr>
          <w:p>
            <w:pPr>
              <w:spacing w:after="0"/>
              <w:rPr>
                <w:sz w:val="14"/>
                <w:szCs w:val="14"/>
                <w:color w:val="auto"/>
              </w:rPr>
            </w:pPr>
          </w:p>
        </w:tc>
        <w:tc>
          <w:tcPr>
            <w:tcW w:w="1800" w:type="dxa"/>
            <w:vAlign w:val="bottom"/>
            <w:gridSpan w:val="2"/>
          </w:tcPr>
          <w:p>
            <w:pPr>
              <w:spacing w:after="0"/>
              <w:rPr>
                <w:sz w:val="14"/>
                <w:szCs w:val="14"/>
                <w:color w:val="auto"/>
              </w:rPr>
            </w:pPr>
          </w:p>
        </w:tc>
        <w:tc>
          <w:tcPr>
            <w:tcW w:w="160" w:type="dxa"/>
            <w:vAlign w:val="bottom"/>
            <w:tcBorders>
              <w:bottom w:val="single" w:sz="8" w:color="7B7C80"/>
            </w:tcBorders>
          </w:tcPr>
          <w:p>
            <w:pPr>
              <w:jc w:val="right"/>
              <w:spacing w:after="0"/>
              <w:rPr>
                <w:rFonts w:ascii="Arial" w:cs="Arial" w:eastAsia="Arial" w:hAnsi="Arial"/>
                <w:sz w:val="15"/>
                <w:szCs w:val="15"/>
                <w:b w:val="1"/>
                <w:bCs w:val="1"/>
                <w:color w:val="7B7C80"/>
                <w:w w:val="83"/>
              </w:rPr>
            </w:pPr>
            <w:hyperlink w:anchor="page48">
              <w:r>
                <w:rPr>
                  <w:rFonts w:ascii="Arial" w:cs="Arial" w:eastAsia="Arial" w:hAnsi="Arial"/>
                  <w:sz w:val="15"/>
                  <w:szCs w:val="15"/>
                  <w:b w:val="1"/>
                  <w:bCs w:val="1"/>
                  <w:color w:val="7B7C80"/>
                  <w:w w:val="83"/>
                </w:rPr>
                <w:t>45</w:t>
              </w:r>
            </w:hyperlink>
          </w:p>
        </w:tc>
        <w:tc>
          <w:tcPr>
            <w:tcW w:w="12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760" w:type="dxa"/>
            <w:vAlign w:val="bottom"/>
            <w:tcBorders>
              <w:bottom w:val="single" w:sz="8" w:color="7B7C80"/>
            </w:tcBorders>
            <w:gridSpan w:val="12"/>
          </w:tcPr>
          <w:p>
            <w:pPr>
              <w:spacing w:after="0" w:line="152" w:lineRule="exact"/>
              <w:rPr>
                <w:rFonts w:ascii="Arial" w:cs="Arial" w:eastAsia="Arial" w:hAnsi="Arial"/>
                <w:sz w:val="15"/>
                <w:szCs w:val="15"/>
                <w:color w:val="7B7C80"/>
              </w:rPr>
            </w:pPr>
            <w:hyperlink w:anchor="page50">
              <w:r>
                <w:rPr>
                  <w:rFonts w:ascii="Arial" w:cs="Arial" w:eastAsia="Arial" w:hAnsi="Arial"/>
                  <w:sz w:val="15"/>
                  <w:szCs w:val="15"/>
                  <w:color w:val="7B7C80"/>
                </w:rPr>
                <w:t>Pension Plan Information</w:t>
              </w:r>
            </w:hyperlink>
          </w:p>
        </w:tc>
        <w:tc>
          <w:tcPr>
            <w:tcW w:w="4720" w:type="dxa"/>
            <w:vAlign w:val="bottom"/>
            <w:gridSpan w:val="11"/>
          </w:tcPr>
          <w:p>
            <w:pPr>
              <w:spacing w:after="0"/>
              <w:rPr>
                <w:sz w:val="13"/>
                <w:szCs w:val="13"/>
                <w:color w:val="auto"/>
              </w:rPr>
            </w:pPr>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Borders>
              <w:bottom w:val="single" w:sz="8" w:color="7B7C80"/>
            </w:tcBorders>
          </w:tcPr>
          <w:p>
            <w:pPr>
              <w:jc w:val="right"/>
              <w:spacing w:after="0" w:line="152" w:lineRule="exact"/>
              <w:rPr>
                <w:rFonts w:ascii="Arial" w:cs="Arial" w:eastAsia="Arial" w:hAnsi="Arial"/>
                <w:sz w:val="15"/>
                <w:szCs w:val="15"/>
                <w:b w:val="1"/>
                <w:bCs w:val="1"/>
                <w:color w:val="7B7C80"/>
                <w:w w:val="83"/>
              </w:rPr>
            </w:pPr>
            <w:hyperlink w:anchor="page50">
              <w:r>
                <w:rPr>
                  <w:rFonts w:ascii="Arial" w:cs="Arial" w:eastAsia="Arial" w:hAnsi="Arial"/>
                  <w:sz w:val="15"/>
                  <w:szCs w:val="15"/>
                  <w:b w:val="1"/>
                  <w:bCs w:val="1"/>
                  <w:color w:val="7B7C80"/>
                  <w:w w:val="83"/>
                </w:rPr>
                <w:t>47</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480" w:type="dxa"/>
            <w:vAlign w:val="bottom"/>
            <w:tcBorders>
              <w:bottom w:val="single" w:sz="8" w:color="7B7C80"/>
            </w:tcBorders>
            <w:gridSpan w:val="11"/>
          </w:tcPr>
          <w:p>
            <w:pPr>
              <w:spacing w:after="0" w:line="152" w:lineRule="exact"/>
              <w:rPr>
                <w:rFonts w:ascii="Arial" w:cs="Arial" w:eastAsia="Arial" w:hAnsi="Arial"/>
                <w:sz w:val="15"/>
                <w:szCs w:val="15"/>
                <w:color w:val="7B7C80"/>
              </w:rPr>
            </w:pPr>
            <w:hyperlink w:anchor="page52">
              <w:r>
                <w:rPr>
                  <w:rFonts w:ascii="Arial" w:cs="Arial" w:eastAsia="Arial" w:hAnsi="Arial"/>
                  <w:sz w:val="15"/>
                  <w:szCs w:val="15"/>
                  <w:color w:val="7B7C80"/>
                </w:rPr>
                <w:t>Pension Distributions</w:t>
              </w:r>
            </w:hyperlink>
          </w:p>
        </w:tc>
        <w:tc>
          <w:tcPr>
            <w:tcW w:w="5000" w:type="dxa"/>
            <w:vAlign w:val="bottom"/>
            <w:gridSpan w:val="12"/>
          </w:tcPr>
          <w:p>
            <w:pPr>
              <w:spacing w:after="0"/>
              <w:rPr>
                <w:sz w:val="13"/>
                <w:szCs w:val="13"/>
                <w:color w:val="auto"/>
              </w:rPr>
            </w:pPr>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Borders>
              <w:bottom w:val="single" w:sz="8" w:color="7B7C80"/>
            </w:tcBorders>
          </w:tcPr>
          <w:p>
            <w:pPr>
              <w:jc w:val="right"/>
              <w:spacing w:after="0" w:line="152" w:lineRule="exact"/>
              <w:rPr>
                <w:rFonts w:ascii="Arial" w:cs="Arial" w:eastAsia="Arial" w:hAnsi="Arial"/>
                <w:sz w:val="15"/>
                <w:szCs w:val="15"/>
                <w:b w:val="1"/>
                <w:bCs w:val="1"/>
                <w:color w:val="7B7C80"/>
                <w:w w:val="83"/>
              </w:rPr>
            </w:pPr>
            <w:hyperlink w:anchor="page52">
              <w:r>
                <w:rPr>
                  <w:rFonts w:ascii="Arial" w:cs="Arial" w:eastAsia="Arial" w:hAnsi="Arial"/>
                  <w:sz w:val="15"/>
                  <w:szCs w:val="15"/>
                  <w:b w:val="1"/>
                  <w:bCs w:val="1"/>
                  <w:color w:val="7B7C80"/>
                  <w:w w:val="83"/>
                </w:rPr>
                <w:t>49</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00" w:type="dxa"/>
            <w:vAlign w:val="bottom"/>
            <w:tcBorders>
              <w:bottom w:val="single" w:sz="8" w:color="7B7C80"/>
            </w:tcBorders>
            <w:gridSpan w:val="8"/>
          </w:tcPr>
          <w:p>
            <w:pPr>
              <w:spacing w:after="0" w:line="152" w:lineRule="exact"/>
              <w:rPr>
                <w:rFonts w:ascii="Arial" w:cs="Arial" w:eastAsia="Arial" w:hAnsi="Arial"/>
                <w:sz w:val="15"/>
                <w:szCs w:val="15"/>
                <w:color w:val="7B7C80"/>
              </w:rPr>
            </w:pPr>
            <w:hyperlink w:anchor="page52">
              <w:r>
                <w:rPr>
                  <w:rFonts w:ascii="Arial" w:cs="Arial" w:eastAsia="Arial" w:hAnsi="Arial"/>
                  <w:sz w:val="15"/>
                  <w:szCs w:val="15"/>
                  <w:color w:val="7B7C80"/>
                </w:rPr>
                <w:t>Pension Benefits</w:t>
              </w:r>
            </w:hyperlink>
          </w:p>
        </w:tc>
        <w:tc>
          <w:tcPr>
            <w:tcW w:w="5280" w:type="dxa"/>
            <w:vAlign w:val="bottom"/>
            <w:gridSpan w:val="15"/>
          </w:tcPr>
          <w:p>
            <w:pPr>
              <w:spacing w:after="0"/>
              <w:rPr>
                <w:sz w:val="13"/>
                <w:szCs w:val="13"/>
                <w:color w:val="auto"/>
              </w:rPr>
            </w:pPr>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Borders>
              <w:bottom w:val="single" w:sz="8" w:color="7B7C80"/>
            </w:tcBorders>
          </w:tcPr>
          <w:p>
            <w:pPr>
              <w:jc w:val="right"/>
              <w:spacing w:after="0" w:line="152" w:lineRule="exact"/>
              <w:rPr>
                <w:rFonts w:ascii="Arial" w:cs="Arial" w:eastAsia="Arial" w:hAnsi="Arial"/>
                <w:sz w:val="15"/>
                <w:szCs w:val="15"/>
                <w:b w:val="1"/>
                <w:bCs w:val="1"/>
                <w:color w:val="7B7C80"/>
                <w:w w:val="83"/>
              </w:rPr>
            </w:pPr>
            <w:hyperlink w:anchor="page52">
              <w:r>
                <w:rPr>
                  <w:rFonts w:ascii="Arial" w:cs="Arial" w:eastAsia="Arial" w:hAnsi="Arial"/>
                  <w:sz w:val="15"/>
                  <w:szCs w:val="15"/>
                  <w:b w:val="1"/>
                  <w:bCs w:val="1"/>
                  <w:color w:val="7B7C80"/>
                  <w:w w:val="83"/>
                </w:rPr>
                <w:t>49</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620" w:type="dxa"/>
            <w:vAlign w:val="bottom"/>
            <w:tcBorders>
              <w:bottom w:val="single" w:sz="8" w:color="7B7C80"/>
            </w:tcBorders>
            <w:gridSpan w:val="13"/>
          </w:tcPr>
          <w:p>
            <w:pPr>
              <w:spacing w:after="0" w:line="152" w:lineRule="exact"/>
              <w:rPr>
                <w:rFonts w:ascii="Arial" w:cs="Arial" w:eastAsia="Arial" w:hAnsi="Arial"/>
                <w:sz w:val="15"/>
                <w:szCs w:val="15"/>
                <w:color w:val="7B7C80"/>
              </w:rPr>
            </w:pPr>
            <w:hyperlink w:anchor="page53">
              <w:r>
                <w:rPr>
                  <w:rFonts w:ascii="Arial" w:cs="Arial" w:eastAsia="Arial" w:hAnsi="Arial"/>
                  <w:sz w:val="15"/>
                  <w:szCs w:val="15"/>
                  <w:color w:val="7B7C80"/>
                </w:rPr>
                <w:t>Non Qualified Deferred Compensation</w:t>
              </w:r>
            </w:hyperlink>
          </w:p>
        </w:tc>
        <w:tc>
          <w:tcPr>
            <w:tcW w:w="3860" w:type="dxa"/>
            <w:vAlign w:val="bottom"/>
            <w:gridSpan w:val="10"/>
          </w:tcPr>
          <w:p>
            <w:pPr>
              <w:spacing w:after="0"/>
              <w:rPr>
                <w:sz w:val="13"/>
                <w:szCs w:val="13"/>
                <w:color w:val="auto"/>
              </w:rPr>
            </w:pPr>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Borders>
              <w:bottom w:val="single" w:sz="8" w:color="7B7C80"/>
            </w:tcBorders>
          </w:tcPr>
          <w:p>
            <w:pPr>
              <w:jc w:val="right"/>
              <w:spacing w:after="0" w:line="152" w:lineRule="exact"/>
              <w:rPr>
                <w:rFonts w:ascii="Arial" w:cs="Arial" w:eastAsia="Arial" w:hAnsi="Arial"/>
                <w:sz w:val="15"/>
                <w:szCs w:val="15"/>
                <w:b w:val="1"/>
                <w:bCs w:val="1"/>
                <w:color w:val="7B7C80"/>
                <w:w w:val="83"/>
              </w:rPr>
            </w:pPr>
            <w:hyperlink w:anchor="page53">
              <w:r>
                <w:rPr>
                  <w:rFonts w:ascii="Arial" w:cs="Arial" w:eastAsia="Arial" w:hAnsi="Arial"/>
                  <w:sz w:val="15"/>
                  <w:szCs w:val="15"/>
                  <w:b w:val="1"/>
                  <w:bCs w:val="1"/>
                  <w:color w:val="7B7C80"/>
                  <w:w w:val="83"/>
                </w:rPr>
                <w:t>50</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620" w:type="dxa"/>
            <w:vAlign w:val="bottom"/>
            <w:tcBorders>
              <w:bottom w:val="single" w:sz="8" w:color="7B7C80"/>
            </w:tcBorders>
            <w:gridSpan w:val="13"/>
          </w:tcPr>
          <w:p>
            <w:pPr>
              <w:spacing w:after="0" w:line="152" w:lineRule="exact"/>
              <w:rPr>
                <w:rFonts w:ascii="Arial" w:cs="Arial" w:eastAsia="Arial" w:hAnsi="Arial"/>
                <w:sz w:val="15"/>
                <w:szCs w:val="15"/>
                <w:color w:val="7B7C80"/>
              </w:rPr>
            </w:pPr>
            <w:hyperlink w:anchor="page54">
              <w:r>
                <w:rPr>
                  <w:rFonts w:ascii="Arial" w:cs="Arial" w:eastAsia="Arial" w:hAnsi="Arial"/>
                  <w:sz w:val="15"/>
                  <w:szCs w:val="15"/>
                  <w:color w:val="7B7C80"/>
                </w:rPr>
                <w:t>Qualified 401(k) Plan and Excess Plan</w:t>
              </w:r>
            </w:hyperlink>
          </w:p>
        </w:tc>
        <w:tc>
          <w:tcPr>
            <w:tcW w:w="3860" w:type="dxa"/>
            <w:vAlign w:val="bottom"/>
            <w:gridSpan w:val="10"/>
          </w:tcPr>
          <w:p>
            <w:pPr>
              <w:spacing w:after="0"/>
              <w:rPr>
                <w:sz w:val="13"/>
                <w:szCs w:val="13"/>
                <w:color w:val="auto"/>
              </w:rPr>
            </w:pPr>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Borders>
              <w:bottom w:val="single" w:sz="8" w:color="7B7C80"/>
            </w:tcBorders>
          </w:tcPr>
          <w:p>
            <w:pPr>
              <w:jc w:val="right"/>
              <w:spacing w:after="0" w:line="152" w:lineRule="exact"/>
              <w:rPr>
                <w:rFonts w:ascii="Arial" w:cs="Arial" w:eastAsia="Arial" w:hAnsi="Arial"/>
                <w:sz w:val="15"/>
                <w:szCs w:val="15"/>
                <w:b w:val="1"/>
                <w:bCs w:val="1"/>
                <w:color w:val="7B7C80"/>
                <w:w w:val="83"/>
              </w:rPr>
            </w:pPr>
            <w:hyperlink w:anchor="page54">
              <w:r>
                <w:rPr>
                  <w:rFonts w:ascii="Arial" w:cs="Arial" w:eastAsia="Arial" w:hAnsi="Arial"/>
                  <w:sz w:val="15"/>
                  <w:szCs w:val="15"/>
                  <w:b w:val="1"/>
                  <w:bCs w:val="1"/>
                  <w:color w:val="7B7C80"/>
                  <w:w w:val="83"/>
                </w:rPr>
                <w:t>51</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20" w:type="dxa"/>
            <w:vAlign w:val="bottom"/>
            <w:tcBorders>
              <w:bottom w:val="single" w:sz="8" w:color="7B7C80"/>
            </w:tcBorders>
            <w:gridSpan w:val="9"/>
          </w:tcPr>
          <w:p>
            <w:pPr>
              <w:spacing w:after="0" w:line="152" w:lineRule="exact"/>
              <w:rPr>
                <w:rFonts w:ascii="Arial" w:cs="Arial" w:eastAsia="Arial" w:hAnsi="Arial"/>
                <w:sz w:val="15"/>
                <w:szCs w:val="15"/>
                <w:color w:val="7B7C80"/>
              </w:rPr>
            </w:pPr>
            <w:hyperlink w:anchor="page55">
              <w:r>
                <w:rPr>
                  <w:rFonts w:ascii="Arial" w:cs="Arial" w:eastAsia="Arial" w:hAnsi="Arial"/>
                  <w:sz w:val="15"/>
                  <w:szCs w:val="15"/>
                  <w:color w:val="7B7C80"/>
                </w:rPr>
                <w:t>Severance Plans</w:t>
              </w:r>
            </w:hyperlink>
          </w:p>
        </w:tc>
        <w:tc>
          <w:tcPr>
            <w:tcW w:w="5260" w:type="dxa"/>
            <w:vAlign w:val="bottom"/>
            <w:gridSpan w:val="14"/>
          </w:tcPr>
          <w:p>
            <w:pPr>
              <w:spacing w:after="0"/>
              <w:rPr>
                <w:sz w:val="13"/>
                <w:szCs w:val="13"/>
                <w:color w:val="auto"/>
              </w:rPr>
            </w:pPr>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Borders>
              <w:bottom w:val="single" w:sz="8" w:color="7B7C80"/>
            </w:tcBorders>
          </w:tcPr>
          <w:p>
            <w:pPr>
              <w:jc w:val="right"/>
              <w:spacing w:after="0" w:line="152" w:lineRule="exact"/>
              <w:rPr>
                <w:rFonts w:ascii="Arial" w:cs="Arial" w:eastAsia="Arial" w:hAnsi="Arial"/>
                <w:sz w:val="15"/>
                <w:szCs w:val="15"/>
                <w:b w:val="1"/>
                <w:bCs w:val="1"/>
                <w:color w:val="7B7C80"/>
                <w:w w:val="83"/>
              </w:rPr>
            </w:pPr>
            <w:hyperlink w:anchor="page55">
              <w:r>
                <w:rPr>
                  <w:rFonts w:ascii="Arial" w:cs="Arial" w:eastAsia="Arial" w:hAnsi="Arial"/>
                  <w:sz w:val="15"/>
                  <w:szCs w:val="15"/>
                  <w:b w:val="1"/>
                  <w:bCs w:val="1"/>
                  <w:color w:val="7B7C80"/>
                  <w:w w:val="83"/>
                </w:rPr>
                <w:t>52</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3000" w:type="dxa"/>
            <w:vAlign w:val="bottom"/>
            <w:tcBorders>
              <w:bottom w:val="single" w:sz="8" w:color="7B7C80"/>
            </w:tcBorders>
            <w:gridSpan w:val="14"/>
          </w:tcPr>
          <w:p>
            <w:pPr>
              <w:spacing w:after="0" w:line="152" w:lineRule="exact"/>
              <w:rPr>
                <w:rFonts w:ascii="Arial" w:cs="Arial" w:eastAsia="Arial" w:hAnsi="Arial"/>
                <w:sz w:val="15"/>
                <w:szCs w:val="15"/>
                <w:color w:val="7B7C80"/>
              </w:rPr>
            </w:pPr>
            <w:hyperlink w:anchor="page56">
              <w:r>
                <w:rPr>
                  <w:rFonts w:ascii="Arial" w:cs="Arial" w:eastAsia="Arial" w:hAnsi="Arial"/>
                  <w:sz w:val="15"/>
                  <w:szCs w:val="15"/>
                  <w:color w:val="7B7C80"/>
                </w:rPr>
                <w:t>Change of Control Employment Agreements</w:t>
              </w:r>
            </w:hyperlink>
          </w:p>
        </w:tc>
        <w:tc>
          <w:tcPr>
            <w:tcW w:w="3480" w:type="dxa"/>
            <w:vAlign w:val="bottom"/>
            <w:gridSpan w:val="9"/>
          </w:tcPr>
          <w:p>
            <w:pPr>
              <w:spacing w:after="0"/>
              <w:rPr>
                <w:sz w:val="13"/>
                <w:szCs w:val="13"/>
                <w:color w:val="auto"/>
              </w:rPr>
            </w:pPr>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Borders>
              <w:bottom w:val="single" w:sz="8" w:color="7B7C80"/>
            </w:tcBorders>
          </w:tcPr>
          <w:p>
            <w:pPr>
              <w:jc w:val="right"/>
              <w:spacing w:after="0" w:line="152" w:lineRule="exact"/>
              <w:rPr>
                <w:rFonts w:ascii="Arial" w:cs="Arial" w:eastAsia="Arial" w:hAnsi="Arial"/>
                <w:sz w:val="15"/>
                <w:szCs w:val="15"/>
                <w:b w:val="1"/>
                <w:bCs w:val="1"/>
                <w:color w:val="7B7C80"/>
                <w:w w:val="83"/>
              </w:rPr>
            </w:pPr>
            <w:hyperlink w:anchor="page56">
              <w:r>
                <w:rPr>
                  <w:rFonts w:ascii="Arial" w:cs="Arial" w:eastAsia="Arial" w:hAnsi="Arial"/>
                  <w:sz w:val="15"/>
                  <w:szCs w:val="15"/>
                  <w:b w:val="1"/>
                  <w:bCs w:val="1"/>
                  <w:color w:val="7B7C80"/>
                  <w:w w:val="83"/>
                </w:rPr>
                <w:t>53</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480" w:type="dxa"/>
            <w:vAlign w:val="bottom"/>
            <w:gridSpan w:val="23"/>
          </w:tcPr>
          <w:p>
            <w:pPr>
              <w:spacing w:after="0" w:line="152" w:lineRule="exact"/>
              <w:rPr>
                <w:rFonts w:ascii="Arial" w:cs="Arial" w:eastAsia="Arial" w:hAnsi="Arial"/>
                <w:sz w:val="15"/>
                <w:szCs w:val="15"/>
                <w:color w:val="7B7C80"/>
              </w:rPr>
            </w:pPr>
            <w:hyperlink w:anchor="page58">
              <w:r>
                <w:rPr>
                  <w:rFonts w:ascii="Arial" w:cs="Arial" w:eastAsia="Arial" w:hAnsi="Arial"/>
                  <w:sz w:val="15"/>
                  <w:szCs w:val="15"/>
                  <w:color w:val="7B7C80"/>
                </w:rPr>
                <w:t>Potential Payments Upon Termination Related to a Change of Control</w:t>
              </w:r>
            </w:hyperlink>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Pr>
          <w:p>
            <w:pPr>
              <w:jc w:val="right"/>
              <w:spacing w:after="0" w:line="152" w:lineRule="exact"/>
              <w:rPr>
                <w:rFonts w:ascii="Arial" w:cs="Arial" w:eastAsia="Arial" w:hAnsi="Arial"/>
                <w:sz w:val="15"/>
                <w:szCs w:val="15"/>
                <w:b w:val="1"/>
                <w:bCs w:val="1"/>
                <w:color w:val="7B7C80"/>
                <w:w w:val="83"/>
              </w:rPr>
            </w:pPr>
            <w:hyperlink w:anchor="page58">
              <w:r>
                <w:rPr>
                  <w:rFonts w:ascii="Arial" w:cs="Arial" w:eastAsia="Arial" w:hAnsi="Arial"/>
                  <w:sz w:val="15"/>
                  <w:szCs w:val="15"/>
                  <w:b w:val="1"/>
                  <w:bCs w:val="1"/>
                  <w:color w:val="7B7C80"/>
                  <w:w w:val="83"/>
                </w:rPr>
                <w:t>55</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1360" w:type="dxa"/>
            <w:vAlign w:val="bottom"/>
          </w:tcPr>
          <w:p>
            <w:pPr>
              <w:spacing w:after="0" w:line="20" w:lineRule="exact"/>
              <w:rPr>
                <w:sz w:val="1"/>
                <w:szCs w:val="1"/>
                <w:color w:val="auto"/>
              </w:rPr>
            </w:pPr>
          </w:p>
        </w:tc>
        <w:tc>
          <w:tcPr>
            <w:tcW w:w="140" w:type="dxa"/>
            <w:vAlign w:val="bottom"/>
            <w:tcBorders>
              <w:bottom w:val="single" w:sz="8" w:color="7B7C80"/>
            </w:tcBorders>
          </w:tcPr>
          <w:p>
            <w:pPr>
              <w:spacing w:after="0" w:line="20" w:lineRule="exact"/>
              <w:rPr>
                <w:sz w:val="1"/>
                <w:szCs w:val="1"/>
                <w:color w:val="auto"/>
              </w:rPr>
            </w:pPr>
          </w:p>
        </w:tc>
        <w:tc>
          <w:tcPr>
            <w:tcW w:w="6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12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140" w:type="dxa"/>
            <w:vAlign w:val="bottom"/>
            <w:tcBorders>
              <w:top w:val="single" w:sz="8" w:color="7B7C80"/>
              <w:bottom w:val="single" w:sz="8" w:color="7B7C80"/>
            </w:tcBorders>
          </w:tcPr>
          <w:p>
            <w:pPr>
              <w:spacing w:after="0" w:line="20" w:lineRule="exact"/>
              <w:rPr>
                <w:sz w:val="1"/>
                <w:szCs w:val="1"/>
                <w:color w:val="auto"/>
              </w:rPr>
            </w:pPr>
          </w:p>
        </w:tc>
        <w:tc>
          <w:tcPr>
            <w:tcW w:w="120" w:type="dxa"/>
            <w:vAlign w:val="bottom"/>
            <w:tcBorders>
              <w:top w:val="single" w:sz="8" w:color="7B7C80"/>
              <w:bottom w:val="single" w:sz="8" w:color="7B7C80"/>
            </w:tcBorders>
          </w:tcPr>
          <w:p>
            <w:pPr>
              <w:spacing w:after="0" w:line="20" w:lineRule="exact"/>
              <w:rPr>
                <w:sz w:val="1"/>
                <w:szCs w:val="1"/>
                <w:color w:val="auto"/>
              </w:rPr>
            </w:pPr>
          </w:p>
        </w:tc>
        <w:tc>
          <w:tcPr>
            <w:tcW w:w="280" w:type="dxa"/>
            <w:vAlign w:val="bottom"/>
            <w:tcBorders>
              <w:top w:val="single" w:sz="8" w:color="7B7C80"/>
              <w:bottom w:val="single" w:sz="8" w:color="7B7C80"/>
            </w:tcBorders>
          </w:tcPr>
          <w:p>
            <w:pPr>
              <w:spacing w:after="0" w:line="20" w:lineRule="exact"/>
              <w:rPr>
                <w:sz w:val="1"/>
                <w:szCs w:val="1"/>
                <w:color w:val="auto"/>
              </w:rPr>
            </w:pPr>
          </w:p>
        </w:tc>
        <w:tc>
          <w:tcPr>
            <w:tcW w:w="860" w:type="dxa"/>
            <w:vAlign w:val="bottom"/>
            <w:tcBorders>
              <w:top w:val="single" w:sz="8" w:color="7B7C80"/>
              <w:bottom w:val="single" w:sz="8" w:color="7B7C80"/>
            </w:tcBorders>
          </w:tcPr>
          <w:p>
            <w:pPr>
              <w:spacing w:after="0" w:line="20" w:lineRule="exact"/>
              <w:rPr>
                <w:sz w:val="1"/>
                <w:szCs w:val="1"/>
                <w:color w:val="auto"/>
              </w:rPr>
            </w:pPr>
          </w:p>
        </w:tc>
        <w:tc>
          <w:tcPr>
            <w:tcW w:w="380" w:type="dxa"/>
            <w:vAlign w:val="bottom"/>
            <w:tcBorders>
              <w:top w:val="single" w:sz="8" w:color="7B7C80"/>
              <w:bottom w:val="single" w:sz="8" w:color="7B7C80"/>
            </w:tcBorders>
          </w:tcPr>
          <w:p>
            <w:pPr>
              <w:spacing w:after="0" w:line="20" w:lineRule="exact"/>
              <w:rPr>
                <w:sz w:val="1"/>
                <w:szCs w:val="1"/>
                <w:color w:val="auto"/>
              </w:rPr>
            </w:pPr>
          </w:p>
        </w:tc>
        <w:tc>
          <w:tcPr>
            <w:tcW w:w="44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380" w:type="dxa"/>
            <w:vAlign w:val="bottom"/>
            <w:tcBorders>
              <w:top w:val="single" w:sz="8" w:color="7B7C80"/>
              <w:bottom w:val="single" w:sz="8" w:color="7B7C80"/>
            </w:tcBorders>
          </w:tcPr>
          <w:p>
            <w:pPr>
              <w:spacing w:after="0" w:line="20" w:lineRule="exact"/>
              <w:rPr>
                <w:sz w:val="1"/>
                <w:szCs w:val="1"/>
                <w:color w:val="auto"/>
              </w:rPr>
            </w:pPr>
          </w:p>
        </w:tc>
        <w:tc>
          <w:tcPr>
            <w:tcW w:w="140" w:type="dxa"/>
            <w:vAlign w:val="bottom"/>
            <w:tcBorders>
              <w:top w:val="single" w:sz="8" w:color="7B7C80"/>
              <w:bottom w:val="single" w:sz="8" w:color="7B7C80"/>
            </w:tcBorders>
          </w:tcPr>
          <w:p>
            <w:pPr>
              <w:spacing w:after="0" w:line="20" w:lineRule="exact"/>
              <w:rPr>
                <w:sz w:val="1"/>
                <w:szCs w:val="1"/>
                <w:color w:val="auto"/>
              </w:rPr>
            </w:pPr>
          </w:p>
        </w:tc>
        <w:tc>
          <w:tcPr>
            <w:tcW w:w="54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300" w:type="dxa"/>
            <w:vAlign w:val="bottom"/>
            <w:tcBorders>
              <w:bottom w:val="single" w:sz="8" w:color="7B7C80"/>
            </w:tcBorders>
          </w:tcPr>
          <w:p>
            <w:pPr>
              <w:spacing w:after="0" w:line="20" w:lineRule="exact"/>
              <w:rPr>
                <w:sz w:val="1"/>
                <w:szCs w:val="1"/>
                <w:color w:val="auto"/>
              </w:rPr>
            </w:pPr>
          </w:p>
        </w:tc>
        <w:tc>
          <w:tcPr>
            <w:tcW w:w="1480" w:type="dxa"/>
            <w:vAlign w:val="bottom"/>
            <w:tcBorders>
              <w:bottom w:val="single" w:sz="8" w:color="7B7C80"/>
            </w:tcBorders>
          </w:tcPr>
          <w:p>
            <w:pPr>
              <w:spacing w:after="0" w:line="20" w:lineRule="exact"/>
              <w:rPr>
                <w:sz w:val="1"/>
                <w:szCs w:val="1"/>
                <w:color w:val="auto"/>
              </w:rPr>
            </w:pPr>
          </w:p>
        </w:tc>
        <w:tc>
          <w:tcPr>
            <w:tcW w:w="172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160" w:type="dxa"/>
            <w:vAlign w:val="bottom"/>
            <w:tcBorders>
              <w:top w:val="single" w:sz="8" w:color="7B7C80"/>
              <w:bottom w:val="single" w:sz="8" w:color="7B7C80"/>
            </w:tcBorders>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3"/>
        </w:trPr>
        <w:tc>
          <w:tcPr>
            <w:tcW w:w="1360" w:type="dxa"/>
            <w:vAlign w:val="bottom"/>
          </w:tcPr>
          <w:p>
            <w:pPr>
              <w:spacing w:after="0"/>
              <w:rPr>
                <w:sz w:val="10"/>
                <w:szCs w:val="10"/>
                <w:color w:val="auto"/>
              </w:rPr>
            </w:pPr>
          </w:p>
        </w:tc>
        <w:tc>
          <w:tcPr>
            <w:tcW w:w="6620" w:type="dxa"/>
            <w:vAlign w:val="bottom"/>
            <w:gridSpan w:val="24"/>
          </w:tcPr>
          <w:p>
            <w:pPr>
              <w:spacing w:after="0" w:line="123" w:lineRule="exact"/>
              <w:rPr>
                <w:rFonts w:ascii="Arial" w:cs="Arial" w:eastAsia="Arial" w:hAnsi="Arial"/>
                <w:sz w:val="14"/>
                <w:szCs w:val="14"/>
                <w:b w:val="1"/>
                <w:bCs w:val="1"/>
                <w:color w:val="009CCC"/>
              </w:rPr>
            </w:pPr>
            <w:hyperlink w:anchor="page59">
              <w:r>
                <w:rPr>
                  <w:rFonts w:ascii="Arial" w:cs="Arial" w:eastAsia="Arial" w:hAnsi="Arial"/>
                  <w:sz w:val="14"/>
                  <w:szCs w:val="14"/>
                  <w:b w:val="1"/>
                  <w:bCs w:val="1"/>
                  <w:color w:val="009CCC"/>
                </w:rPr>
                <w:t>Proposal Two</w:t>
              </w:r>
              <w:r>
                <w:rPr>
                  <w:rFonts w:ascii="Arial" w:cs="Arial" w:eastAsia="Arial" w:hAnsi="Arial"/>
                  <w:sz w:val="14"/>
                  <w:szCs w:val="14"/>
                  <w:b w:val="1"/>
                  <w:bCs w:val="1"/>
                  <w:color w:val="7B7C80"/>
                </w:rPr>
                <w:t>—Advisory Vote to Approve Executive Compensation</w:t>
              </w:r>
            </w:hyperlink>
          </w:p>
        </w:tc>
        <w:tc>
          <w:tcPr>
            <w:tcW w:w="1960" w:type="dxa"/>
            <w:vAlign w:val="bottom"/>
            <w:gridSpan w:val="3"/>
          </w:tcPr>
          <w:p>
            <w:pPr>
              <w:jc w:val="right"/>
              <w:spacing w:after="0" w:line="123" w:lineRule="exact"/>
              <w:rPr>
                <w:rFonts w:ascii="Arial" w:cs="Arial" w:eastAsia="Arial" w:hAnsi="Arial"/>
                <w:sz w:val="14"/>
                <w:szCs w:val="14"/>
                <w:b w:val="1"/>
                <w:bCs w:val="1"/>
                <w:color w:val="7B7C80"/>
              </w:rPr>
            </w:pPr>
            <w:hyperlink w:anchor="page59">
              <w:r>
                <w:rPr>
                  <w:rFonts w:ascii="Arial" w:cs="Arial" w:eastAsia="Arial" w:hAnsi="Arial"/>
                  <w:sz w:val="14"/>
                  <w:szCs w:val="14"/>
                  <w:b w:val="1"/>
                  <w:bCs w:val="1"/>
                  <w:color w:val="7B7C80"/>
                </w:rPr>
                <w:t>56</w:t>
              </w:r>
            </w:hyperlink>
          </w:p>
        </w:tc>
        <w:tc>
          <w:tcPr>
            <w:tcW w:w="124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1360" w:type="dxa"/>
            <w:vAlign w:val="bottom"/>
          </w:tcPr>
          <w:p>
            <w:pPr>
              <w:spacing w:after="0" w:line="20" w:lineRule="exact"/>
              <w:rPr>
                <w:sz w:val="1"/>
                <w:szCs w:val="1"/>
                <w:color w:val="auto"/>
              </w:rPr>
            </w:pPr>
          </w:p>
        </w:tc>
        <w:tc>
          <w:tcPr>
            <w:tcW w:w="140" w:type="dxa"/>
            <w:vAlign w:val="bottom"/>
            <w:tcBorders>
              <w:top w:val="single" w:sz="8" w:color="009CCC"/>
              <w:bottom w:val="single" w:sz="8" w:color="7B7C80"/>
            </w:tcBorders>
          </w:tcPr>
          <w:p>
            <w:pPr>
              <w:spacing w:after="0" w:line="20" w:lineRule="exact"/>
              <w:rPr>
                <w:sz w:val="1"/>
                <w:szCs w:val="1"/>
                <w:color w:val="auto"/>
              </w:rPr>
            </w:pPr>
          </w:p>
        </w:tc>
        <w:tc>
          <w:tcPr>
            <w:tcW w:w="680" w:type="dxa"/>
            <w:vAlign w:val="bottom"/>
            <w:tcBorders>
              <w:top w:val="single" w:sz="8" w:color="009CCC"/>
              <w:bottom w:val="single" w:sz="8" w:color="7B7C80"/>
            </w:tcBorders>
          </w:tcPr>
          <w:p>
            <w:pPr>
              <w:spacing w:after="0" w:line="20" w:lineRule="exact"/>
              <w:rPr>
                <w:sz w:val="1"/>
                <w:szCs w:val="1"/>
                <w:color w:val="auto"/>
              </w:rPr>
            </w:pPr>
          </w:p>
        </w:tc>
        <w:tc>
          <w:tcPr>
            <w:tcW w:w="20" w:type="dxa"/>
            <w:vAlign w:val="bottom"/>
            <w:tcBorders>
              <w:top w:val="single" w:sz="8" w:color="009CCC"/>
              <w:bottom w:val="single" w:sz="8" w:color="7B7C80"/>
            </w:tcBorders>
          </w:tcPr>
          <w:p>
            <w:pPr>
              <w:spacing w:after="0" w:line="20" w:lineRule="exact"/>
              <w:rPr>
                <w:sz w:val="1"/>
                <w:szCs w:val="1"/>
                <w:color w:val="auto"/>
              </w:rPr>
            </w:pPr>
          </w:p>
        </w:tc>
        <w:tc>
          <w:tcPr>
            <w:tcW w:w="100" w:type="dxa"/>
            <w:vAlign w:val="bottom"/>
            <w:tcBorders>
              <w:top w:val="single" w:sz="8" w:color="009CCC"/>
              <w:bottom w:val="single" w:sz="8" w:color="7B7C80"/>
            </w:tcBorders>
          </w:tcPr>
          <w:p>
            <w:pPr>
              <w:spacing w:after="0" w:line="20" w:lineRule="exact"/>
              <w:rPr>
                <w:sz w:val="1"/>
                <w:szCs w:val="1"/>
                <w:color w:val="auto"/>
              </w:rPr>
            </w:pPr>
          </w:p>
        </w:tc>
        <w:tc>
          <w:tcPr>
            <w:tcW w:w="40" w:type="dxa"/>
            <w:vAlign w:val="bottom"/>
            <w:tcBorders>
              <w:top w:val="single" w:sz="8" w:color="009CCC"/>
              <w:bottom w:val="single" w:sz="8" w:color="7B7C80"/>
            </w:tcBorders>
          </w:tcPr>
          <w:p>
            <w:pPr>
              <w:spacing w:after="0" w:line="20" w:lineRule="exact"/>
              <w:rPr>
                <w:sz w:val="1"/>
                <w:szCs w:val="1"/>
                <w:color w:val="auto"/>
              </w:rPr>
            </w:pPr>
          </w:p>
        </w:tc>
        <w:tc>
          <w:tcPr>
            <w:tcW w:w="12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140" w:type="dxa"/>
            <w:vAlign w:val="bottom"/>
            <w:tcBorders>
              <w:top w:val="single" w:sz="8" w:color="7B7C80"/>
              <w:bottom w:val="single" w:sz="8" w:color="7B7C80"/>
            </w:tcBorders>
          </w:tcPr>
          <w:p>
            <w:pPr>
              <w:spacing w:after="0" w:line="20" w:lineRule="exact"/>
              <w:rPr>
                <w:sz w:val="1"/>
                <w:szCs w:val="1"/>
                <w:color w:val="auto"/>
              </w:rPr>
            </w:pPr>
          </w:p>
        </w:tc>
        <w:tc>
          <w:tcPr>
            <w:tcW w:w="120" w:type="dxa"/>
            <w:vAlign w:val="bottom"/>
            <w:tcBorders>
              <w:top w:val="single" w:sz="8" w:color="7B7C80"/>
              <w:bottom w:val="single" w:sz="8" w:color="7B7C80"/>
            </w:tcBorders>
          </w:tcPr>
          <w:p>
            <w:pPr>
              <w:spacing w:after="0" w:line="20" w:lineRule="exact"/>
              <w:rPr>
                <w:sz w:val="1"/>
                <w:szCs w:val="1"/>
                <w:color w:val="auto"/>
              </w:rPr>
            </w:pPr>
          </w:p>
        </w:tc>
        <w:tc>
          <w:tcPr>
            <w:tcW w:w="280" w:type="dxa"/>
            <w:vAlign w:val="bottom"/>
            <w:tcBorders>
              <w:top w:val="single" w:sz="8" w:color="7B7C80"/>
              <w:bottom w:val="single" w:sz="8" w:color="7B7C80"/>
            </w:tcBorders>
          </w:tcPr>
          <w:p>
            <w:pPr>
              <w:spacing w:after="0" w:line="20" w:lineRule="exact"/>
              <w:rPr>
                <w:sz w:val="1"/>
                <w:szCs w:val="1"/>
                <w:color w:val="auto"/>
              </w:rPr>
            </w:pPr>
          </w:p>
        </w:tc>
        <w:tc>
          <w:tcPr>
            <w:tcW w:w="860" w:type="dxa"/>
            <w:vAlign w:val="bottom"/>
            <w:tcBorders>
              <w:top w:val="single" w:sz="8" w:color="7B7C80"/>
              <w:bottom w:val="single" w:sz="8" w:color="7B7C80"/>
            </w:tcBorders>
          </w:tcPr>
          <w:p>
            <w:pPr>
              <w:spacing w:after="0" w:line="20" w:lineRule="exact"/>
              <w:rPr>
                <w:sz w:val="1"/>
                <w:szCs w:val="1"/>
                <w:color w:val="auto"/>
              </w:rPr>
            </w:pPr>
          </w:p>
        </w:tc>
        <w:tc>
          <w:tcPr>
            <w:tcW w:w="380" w:type="dxa"/>
            <w:vAlign w:val="bottom"/>
            <w:tcBorders>
              <w:top w:val="single" w:sz="8" w:color="7B7C80"/>
              <w:bottom w:val="single" w:sz="8" w:color="7B7C80"/>
            </w:tcBorders>
          </w:tcPr>
          <w:p>
            <w:pPr>
              <w:spacing w:after="0" w:line="20" w:lineRule="exact"/>
              <w:rPr>
                <w:sz w:val="1"/>
                <w:szCs w:val="1"/>
                <w:color w:val="auto"/>
              </w:rPr>
            </w:pPr>
          </w:p>
        </w:tc>
        <w:tc>
          <w:tcPr>
            <w:tcW w:w="44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380" w:type="dxa"/>
            <w:vAlign w:val="bottom"/>
            <w:tcBorders>
              <w:top w:val="single" w:sz="8" w:color="7B7C80"/>
              <w:bottom w:val="single" w:sz="8" w:color="7B7C80"/>
            </w:tcBorders>
          </w:tcPr>
          <w:p>
            <w:pPr>
              <w:spacing w:after="0" w:line="20" w:lineRule="exact"/>
              <w:rPr>
                <w:sz w:val="1"/>
                <w:szCs w:val="1"/>
                <w:color w:val="auto"/>
              </w:rPr>
            </w:pPr>
          </w:p>
        </w:tc>
        <w:tc>
          <w:tcPr>
            <w:tcW w:w="140" w:type="dxa"/>
            <w:vAlign w:val="bottom"/>
            <w:tcBorders>
              <w:top w:val="single" w:sz="8" w:color="7B7C80"/>
              <w:bottom w:val="single" w:sz="8" w:color="7B7C80"/>
            </w:tcBorders>
          </w:tcPr>
          <w:p>
            <w:pPr>
              <w:spacing w:after="0" w:line="20" w:lineRule="exact"/>
              <w:rPr>
                <w:sz w:val="1"/>
                <w:szCs w:val="1"/>
                <w:color w:val="auto"/>
              </w:rPr>
            </w:pPr>
          </w:p>
        </w:tc>
        <w:tc>
          <w:tcPr>
            <w:tcW w:w="54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300" w:type="dxa"/>
            <w:vAlign w:val="bottom"/>
            <w:tcBorders>
              <w:bottom w:val="single" w:sz="8" w:color="7B7C80"/>
            </w:tcBorders>
          </w:tcPr>
          <w:p>
            <w:pPr>
              <w:spacing w:after="0" w:line="20" w:lineRule="exact"/>
              <w:rPr>
                <w:sz w:val="1"/>
                <w:szCs w:val="1"/>
                <w:color w:val="auto"/>
              </w:rPr>
            </w:pPr>
          </w:p>
        </w:tc>
        <w:tc>
          <w:tcPr>
            <w:tcW w:w="1480" w:type="dxa"/>
            <w:vAlign w:val="bottom"/>
            <w:tcBorders>
              <w:bottom w:val="single" w:sz="8" w:color="7B7C80"/>
            </w:tcBorders>
          </w:tcPr>
          <w:p>
            <w:pPr>
              <w:spacing w:after="0" w:line="20" w:lineRule="exact"/>
              <w:rPr>
                <w:sz w:val="1"/>
                <w:szCs w:val="1"/>
                <w:color w:val="auto"/>
              </w:rPr>
            </w:pPr>
          </w:p>
        </w:tc>
        <w:tc>
          <w:tcPr>
            <w:tcW w:w="172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160" w:type="dxa"/>
            <w:vAlign w:val="bottom"/>
            <w:tcBorders>
              <w:top w:val="single" w:sz="8" w:color="7B7C80"/>
              <w:bottom w:val="single" w:sz="8" w:color="7B7C80"/>
            </w:tcBorders>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3"/>
        </w:trPr>
        <w:tc>
          <w:tcPr>
            <w:tcW w:w="1360" w:type="dxa"/>
            <w:vAlign w:val="bottom"/>
          </w:tcPr>
          <w:p>
            <w:pPr>
              <w:spacing w:after="0"/>
              <w:rPr>
                <w:sz w:val="10"/>
                <w:szCs w:val="10"/>
                <w:color w:val="auto"/>
              </w:rPr>
            </w:pPr>
          </w:p>
        </w:tc>
        <w:tc>
          <w:tcPr>
            <w:tcW w:w="6620" w:type="dxa"/>
            <w:vAlign w:val="bottom"/>
            <w:gridSpan w:val="24"/>
          </w:tcPr>
          <w:p>
            <w:pPr>
              <w:spacing w:after="0" w:line="123" w:lineRule="exact"/>
              <w:rPr>
                <w:rFonts w:ascii="Arial" w:cs="Arial" w:eastAsia="Arial" w:hAnsi="Arial"/>
                <w:sz w:val="14"/>
                <w:szCs w:val="14"/>
                <w:b w:val="1"/>
                <w:bCs w:val="1"/>
                <w:color w:val="009CCC"/>
              </w:rPr>
            </w:pPr>
            <w:hyperlink w:anchor="page60">
              <w:r>
                <w:rPr>
                  <w:rFonts w:ascii="Arial" w:cs="Arial" w:eastAsia="Arial" w:hAnsi="Arial"/>
                  <w:sz w:val="14"/>
                  <w:szCs w:val="14"/>
                  <w:b w:val="1"/>
                  <w:bCs w:val="1"/>
                  <w:color w:val="009CCC"/>
                </w:rPr>
                <w:t>Proposal Three</w:t>
              </w:r>
              <w:r>
                <w:rPr>
                  <w:rFonts w:ascii="Arial" w:cs="Arial" w:eastAsia="Arial" w:hAnsi="Arial"/>
                  <w:sz w:val="14"/>
                  <w:szCs w:val="14"/>
                  <w:b w:val="1"/>
                  <w:bCs w:val="1"/>
                  <w:color w:val="7B7C80"/>
                </w:rPr>
                <w:t>—Ratification of Appointment of Independent Registered Public Accountants</w:t>
              </w:r>
            </w:hyperlink>
          </w:p>
        </w:tc>
        <w:tc>
          <w:tcPr>
            <w:tcW w:w="1960" w:type="dxa"/>
            <w:vAlign w:val="bottom"/>
            <w:gridSpan w:val="3"/>
          </w:tcPr>
          <w:p>
            <w:pPr>
              <w:jc w:val="right"/>
              <w:spacing w:after="0" w:line="123" w:lineRule="exact"/>
              <w:rPr>
                <w:rFonts w:ascii="Arial" w:cs="Arial" w:eastAsia="Arial" w:hAnsi="Arial"/>
                <w:sz w:val="14"/>
                <w:szCs w:val="14"/>
                <w:b w:val="1"/>
                <w:bCs w:val="1"/>
                <w:color w:val="7B7C80"/>
              </w:rPr>
            </w:pPr>
            <w:hyperlink w:anchor="page60">
              <w:r>
                <w:rPr>
                  <w:rFonts w:ascii="Arial" w:cs="Arial" w:eastAsia="Arial" w:hAnsi="Arial"/>
                  <w:sz w:val="14"/>
                  <w:szCs w:val="14"/>
                  <w:b w:val="1"/>
                  <w:bCs w:val="1"/>
                  <w:color w:val="7B7C80"/>
                </w:rPr>
                <w:t>57</w:t>
              </w:r>
            </w:hyperlink>
          </w:p>
        </w:tc>
        <w:tc>
          <w:tcPr>
            <w:tcW w:w="124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Borders>
              <w:top w:val="single" w:sz="8" w:color="009CCC"/>
            </w:tcBorders>
          </w:tcPr>
          <w:p>
            <w:pPr>
              <w:spacing w:after="0"/>
              <w:rPr>
                <w:sz w:val="13"/>
                <w:szCs w:val="13"/>
                <w:color w:val="auto"/>
              </w:rPr>
            </w:pPr>
          </w:p>
        </w:tc>
        <w:tc>
          <w:tcPr>
            <w:tcW w:w="800" w:type="dxa"/>
            <w:vAlign w:val="bottom"/>
            <w:tcBorders>
              <w:top w:val="single" w:sz="8" w:color="009CCC"/>
              <w:bottom w:val="single" w:sz="8" w:color="7B7C80"/>
            </w:tcBorders>
            <w:gridSpan w:val="3"/>
          </w:tcPr>
          <w:p>
            <w:pPr>
              <w:spacing w:after="0" w:line="152" w:lineRule="exact"/>
              <w:rPr>
                <w:rFonts w:ascii="Arial" w:cs="Arial" w:eastAsia="Arial" w:hAnsi="Arial"/>
                <w:sz w:val="15"/>
                <w:szCs w:val="15"/>
                <w:color w:val="7B7C80"/>
              </w:rPr>
            </w:pPr>
            <w:hyperlink w:anchor="page60">
              <w:r>
                <w:rPr>
                  <w:rFonts w:ascii="Arial" w:cs="Arial" w:eastAsia="Arial" w:hAnsi="Arial"/>
                  <w:sz w:val="15"/>
                  <w:szCs w:val="15"/>
                  <w:color w:val="7B7C80"/>
                </w:rPr>
                <w:t>Audit Fees</w:t>
              </w:r>
            </w:hyperlink>
          </w:p>
        </w:tc>
        <w:tc>
          <w:tcPr>
            <w:tcW w:w="160" w:type="dxa"/>
            <w:vAlign w:val="bottom"/>
            <w:tcBorders>
              <w:top w:val="single" w:sz="8" w:color="009CCC"/>
            </w:tcBorders>
            <w:gridSpan w:val="2"/>
          </w:tcPr>
          <w:p>
            <w:pPr>
              <w:spacing w:after="0"/>
              <w:rPr>
                <w:sz w:val="13"/>
                <w:szCs w:val="13"/>
                <w:color w:val="auto"/>
              </w:rPr>
            </w:pPr>
          </w:p>
        </w:tc>
        <w:tc>
          <w:tcPr>
            <w:tcW w:w="5520" w:type="dxa"/>
            <w:vAlign w:val="bottom"/>
            <w:tcBorders>
              <w:top w:val="single" w:sz="8" w:color="7B7C80"/>
            </w:tcBorders>
            <w:gridSpan w:val="18"/>
          </w:tcPr>
          <w:p>
            <w:pPr>
              <w:spacing w:after="0"/>
              <w:rPr>
                <w:sz w:val="13"/>
                <w:szCs w:val="13"/>
                <w:color w:val="auto"/>
              </w:rPr>
            </w:pPr>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Borders>
              <w:top w:val="single" w:sz="8" w:color="7B7C80"/>
              <w:bottom w:val="single" w:sz="8" w:color="7B7C80"/>
            </w:tcBorders>
          </w:tcPr>
          <w:p>
            <w:pPr>
              <w:jc w:val="right"/>
              <w:spacing w:after="0" w:line="152" w:lineRule="exact"/>
              <w:rPr>
                <w:rFonts w:ascii="Arial" w:cs="Arial" w:eastAsia="Arial" w:hAnsi="Arial"/>
                <w:sz w:val="15"/>
                <w:szCs w:val="15"/>
                <w:b w:val="1"/>
                <w:bCs w:val="1"/>
                <w:color w:val="7B7C80"/>
                <w:w w:val="83"/>
              </w:rPr>
            </w:pPr>
            <w:hyperlink w:anchor="page60">
              <w:r>
                <w:rPr>
                  <w:rFonts w:ascii="Arial" w:cs="Arial" w:eastAsia="Arial" w:hAnsi="Arial"/>
                  <w:sz w:val="15"/>
                  <w:szCs w:val="15"/>
                  <w:b w:val="1"/>
                  <w:bCs w:val="1"/>
                  <w:color w:val="7B7C80"/>
                  <w:w w:val="83"/>
                </w:rPr>
                <w:t>57</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360" w:type="dxa"/>
            <w:vAlign w:val="bottom"/>
            <w:tcBorders>
              <w:bottom w:val="single" w:sz="8" w:color="7B7C80"/>
            </w:tcBorders>
            <w:gridSpan w:val="10"/>
          </w:tcPr>
          <w:p>
            <w:pPr>
              <w:spacing w:after="0" w:line="152" w:lineRule="exact"/>
              <w:rPr>
                <w:rFonts w:ascii="Arial" w:cs="Arial" w:eastAsia="Arial" w:hAnsi="Arial"/>
                <w:sz w:val="15"/>
                <w:szCs w:val="15"/>
                <w:color w:val="7B7C80"/>
              </w:rPr>
            </w:pPr>
            <w:hyperlink w:anchor="page60">
              <w:r>
                <w:rPr>
                  <w:rFonts w:ascii="Arial" w:cs="Arial" w:eastAsia="Arial" w:hAnsi="Arial"/>
                  <w:sz w:val="15"/>
                  <w:szCs w:val="15"/>
                  <w:color w:val="7B7C80"/>
                </w:rPr>
                <w:t>Audit Related Fees</w:t>
              </w:r>
            </w:hyperlink>
          </w:p>
        </w:tc>
        <w:tc>
          <w:tcPr>
            <w:tcW w:w="5120" w:type="dxa"/>
            <w:vAlign w:val="bottom"/>
            <w:gridSpan w:val="13"/>
          </w:tcPr>
          <w:p>
            <w:pPr>
              <w:spacing w:after="0"/>
              <w:rPr>
                <w:sz w:val="13"/>
                <w:szCs w:val="13"/>
                <w:color w:val="auto"/>
              </w:rPr>
            </w:pPr>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Borders>
              <w:bottom w:val="single" w:sz="8" w:color="7B7C80"/>
            </w:tcBorders>
          </w:tcPr>
          <w:p>
            <w:pPr>
              <w:jc w:val="right"/>
              <w:spacing w:after="0" w:line="152" w:lineRule="exact"/>
              <w:rPr>
                <w:rFonts w:ascii="Arial" w:cs="Arial" w:eastAsia="Arial" w:hAnsi="Arial"/>
                <w:sz w:val="15"/>
                <w:szCs w:val="15"/>
                <w:b w:val="1"/>
                <w:bCs w:val="1"/>
                <w:color w:val="7B7C80"/>
                <w:w w:val="83"/>
              </w:rPr>
            </w:pPr>
            <w:hyperlink w:anchor="page60">
              <w:r>
                <w:rPr>
                  <w:rFonts w:ascii="Arial" w:cs="Arial" w:eastAsia="Arial" w:hAnsi="Arial"/>
                  <w:sz w:val="15"/>
                  <w:szCs w:val="15"/>
                  <w:b w:val="1"/>
                  <w:bCs w:val="1"/>
                  <w:color w:val="7B7C80"/>
                  <w:w w:val="83"/>
                </w:rPr>
                <w:t>57</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Borders>
              <w:bottom w:val="single" w:sz="8" w:color="7B7C80"/>
            </w:tcBorders>
            <w:gridSpan w:val="2"/>
          </w:tcPr>
          <w:p>
            <w:pPr>
              <w:spacing w:after="0" w:line="152" w:lineRule="exact"/>
              <w:rPr>
                <w:rFonts w:ascii="Arial" w:cs="Arial" w:eastAsia="Arial" w:hAnsi="Arial"/>
                <w:sz w:val="15"/>
                <w:szCs w:val="15"/>
                <w:color w:val="7B7C80"/>
              </w:rPr>
            </w:pPr>
            <w:hyperlink w:anchor="page60">
              <w:r>
                <w:rPr>
                  <w:rFonts w:ascii="Arial" w:cs="Arial" w:eastAsia="Arial" w:hAnsi="Arial"/>
                  <w:sz w:val="15"/>
                  <w:szCs w:val="15"/>
                  <w:color w:val="7B7C80"/>
                </w:rPr>
                <w:t>Tax Fees</w:t>
              </w:r>
            </w:hyperlink>
          </w:p>
        </w:tc>
        <w:tc>
          <w:tcPr>
            <w:tcW w:w="5780" w:type="dxa"/>
            <w:vAlign w:val="bottom"/>
            <w:gridSpan w:val="21"/>
          </w:tcPr>
          <w:p>
            <w:pPr>
              <w:spacing w:after="0"/>
              <w:rPr>
                <w:sz w:val="13"/>
                <w:szCs w:val="13"/>
                <w:color w:val="auto"/>
              </w:rPr>
            </w:pPr>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Borders>
              <w:bottom w:val="single" w:sz="8" w:color="7B7C80"/>
            </w:tcBorders>
          </w:tcPr>
          <w:p>
            <w:pPr>
              <w:jc w:val="right"/>
              <w:spacing w:after="0" w:line="152" w:lineRule="exact"/>
              <w:rPr>
                <w:rFonts w:ascii="Arial" w:cs="Arial" w:eastAsia="Arial" w:hAnsi="Arial"/>
                <w:sz w:val="15"/>
                <w:szCs w:val="15"/>
                <w:b w:val="1"/>
                <w:bCs w:val="1"/>
                <w:color w:val="7B7C80"/>
                <w:w w:val="83"/>
              </w:rPr>
            </w:pPr>
            <w:hyperlink w:anchor="page60">
              <w:r>
                <w:rPr>
                  <w:rFonts w:ascii="Arial" w:cs="Arial" w:eastAsia="Arial" w:hAnsi="Arial"/>
                  <w:sz w:val="15"/>
                  <w:szCs w:val="15"/>
                  <w:b w:val="1"/>
                  <w:bCs w:val="1"/>
                  <w:color w:val="7B7C80"/>
                  <w:w w:val="83"/>
                </w:rPr>
                <w:t>57</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480" w:type="dxa"/>
            <w:vAlign w:val="bottom"/>
            <w:gridSpan w:val="23"/>
          </w:tcPr>
          <w:p>
            <w:pPr>
              <w:spacing w:after="0" w:line="152" w:lineRule="exact"/>
              <w:rPr>
                <w:rFonts w:ascii="Arial" w:cs="Arial" w:eastAsia="Arial" w:hAnsi="Arial"/>
                <w:sz w:val="15"/>
                <w:szCs w:val="15"/>
                <w:color w:val="7B7C80"/>
              </w:rPr>
            </w:pPr>
            <w:hyperlink w:anchor="page60">
              <w:r>
                <w:rPr>
                  <w:rFonts w:ascii="Arial" w:cs="Arial" w:eastAsia="Arial" w:hAnsi="Arial"/>
                  <w:sz w:val="15"/>
                  <w:szCs w:val="15"/>
                  <w:color w:val="7B7C80"/>
                </w:rPr>
                <w:t>All Other Fees</w:t>
              </w:r>
            </w:hyperlink>
          </w:p>
        </w:tc>
        <w:tc>
          <w:tcPr>
            <w:tcW w:w="1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Pr>
          <w:p>
            <w:pPr>
              <w:jc w:val="right"/>
              <w:spacing w:after="0" w:line="152" w:lineRule="exact"/>
              <w:rPr>
                <w:rFonts w:ascii="Arial" w:cs="Arial" w:eastAsia="Arial" w:hAnsi="Arial"/>
                <w:sz w:val="15"/>
                <w:szCs w:val="15"/>
                <w:b w:val="1"/>
                <w:bCs w:val="1"/>
                <w:color w:val="7B7C80"/>
                <w:w w:val="83"/>
              </w:rPr>
            </w:pPr>
            <w:hyperlink w:anchor="page60">
              <w:r>
                <w:rPr>
                  <w:rFonts w:ascii="Arial" w:cs="Arial" w:eastAsia="Arial" w:hAnsi="Arial"/>
                  <w:sz w:val="15"/>
                  <w:szCs w:val="15"/>
                  <w:b w:val="1"/>
                  <w:bCs w:val="1"/>
                  <w:color w:val="7B7C80"/>
                  <w:w w:val="83"/>
                </w:rPr>
                <w:t>57</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1360" w:type="dxa"/>
            <w:vAlign w:val="bottom"/>
          </w:tcPr>
          <w:p>
            <w:pPr>
              <w:spacing w:after="0" w:line="20" w:lineRule="exact"/>
              <w:rPr>
                <w:sz w:val="1"/>
                <w:szCs w:val="1"/>
                <w:color w:val="auto"/>
              </w:rPr>
            </w:pPr>
          </w:p>
        </w:tc>
        <w:tc>
          <w:tcPr>
            <w:tcW w:w="140" w:type="dxa"/>
            <w:vAlign w:val="bottom"/>
            <w:tcBorders>
              <w:bottom w:val="single" w:sz="8" w:color="7B7C80"/>
            </w:tcBorders>
          </w:tcPr>
          <w:p>
            <w:pPr>
              <w:spacing w:after="0" w:line="20" w:lineRule="exact"/>
              <w:rPr>
                <w:sz w:val="1"/>
                <w:szCs w:val="1"/>
                <w:color w:val="auto"/>
              </w:rPr>
            </w:pPr>
          </w:p>
        </w:tc>
        <w:tc>
          <w:tcPr>
            <w:tcW w:w="6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12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bottom w:val="single" w:sz="8" w:color="7B7C80"/>
            </w:tcBorders>
          </w:tcPr>
          <w:p>
            <w:pPr>
              <w:spacing w:after="0" w:line="20" w:lineRule="exact"/>
              <w:rPr>
                <w:sz w:val="1"/>
                <w:szCs w:val="1"/>
                <w:color w:val="auto"/>
              </w:rPr>
            </w:pPr>
          </w:p>
        </w:tc>
        <w:tc>
          <w:tcPr>
            <w:tcW w:w="10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140" w:type="dxa"/>
            <w:vAlign w:val="bottom"/>
            <w:tcBorders>
              <w:bottom w:val="single" w:sz="8" w:color="7B7C80"/>
            </w:tcBorders>
          </w:tcPr>
          <w:p>
            <w:pPr>
              <w:spacing w:after="0" w:line="20" w:lineRule="exact"/>
              <w:rPr>
                <w:sz w:val="1"/>
                <w:szCs w:val="1"/>
                <w:color w:val="auto"/>
              </w:rPr>
            </w:pPr>
          </w:p>
        </w:tc>
        <w:tc>
          <w:tcPr>
            <w:tcW w:w="120" w:type="dxa"/>
            <w:vAlign w:val="bottom"/>
            <w:tcBorders>
              <w:bottom w:val="single" w:sz="8" w:color="7B7C80"/>
            </w:tcBorders>
          </w:tcPr>
          <w:p>
            <w:pPr>
              <w:spacing w:after="0" w:line="20" w:lineRule="exact"/>
              <w:rPr>
                <w:sz w:val="1"/>
                <w:szCs w:val="1"/>
                <w:color w:val="auto"/>
              </w:rPr>
            </w:pPr>
          </w:p>
        </w:tc>
        <w:tc>
          <w:tcPr>
            <w:tcW w:w="280" w:type="dxa"/>
            <w:vAlign w:val="bottom"/>
            <w:tcBorders>
              <w:bottom w:val="single" w:sz="8" w:color="7B7C80"/>
            </w:tcBorders>
          </w:tcPr>
          <w:p>
            <w:pPr>
              <w:spacing w:after="0" w:line="20" w:lineRule="exact"/>
              <w:rPr>
                <w:sz w:val="1"/>
                <w:szCs w:val="1"/>
                <w:color w:val="auto"/>
              </w:rPr>
            </w:pPr>
          </w:p>
        </w:tc>
        <w:tc>
          <w:tcPr>
            <w:tcW w:w="860" w:type="dxa"/>
            <w:vAlign w:val="bottom"/>
            <w:tcBorders>
              <w:bottom w:val="single" w:sz="8" w:color="7B7C80"/>
            </w:tcBorders>
          </w:tcPr>
          <w:p>
            <w:pPr>
              <w:spacing w:after="0" w:line="20" w:lineRule="exact"/>
              <w:rPr>
                <w:sz w:val="1"/>
                <w:szCs w:val="1"/>
                <w:color w:val="auto"/>
              </w:rPr>
            </w:pPr>
          </w:p>
        </w:tc>
        <w:tc>
          <w:tcPr>
            <w:tcW w:w="380" w:type="dxa"/>
            <w:vAlign w:val="bottom"/>
            <w:tcBorders>
              <w:bottom w:val="single" w:sz="8" w:color="7B7C80"/>
            </w:tcBorders>
          </w:tcPr>
          <w:p>
            <w:pPr>
              <w:spacing w:after="0" w:line="20" w:lineRule="exact"/>
              <w:rPr>
                <w:sz w:val="1"/>
                <w:szCs w:val="1"/>
                <w:color w:val="auto"/>
              </w:rPr>
            </w:pPr>
          </w:p>
        </w:tc>
        <w:tc>
          <w:tcPr>
            <w:tcW w:w="440" w:type="dxa"/>
            <w:vAlign w:val="bottom"/>
            <w:tcBorders>
              <w:bottom w:val="single" w:sz="8" w:color="7B7C80"/>
            </w:tcBorders>
          </w:tcPr>
          <w:p>
            <w:pPr>
              <w:spacing w:after="0" w:line="20" w:lineRule="exact"/>
              <w:rPr>
                <w:sz w:val="1"/>
                <w:szCs w:val="1"/>
                <w:color w:val="auto"/>
              </w:rPr>
            </w:pPr>
          </w:p>
        </w:tc>
        <w:tc>
          <w:tcPr>
            <w:tcW w:w="100" w:type="dxa"/>
            <w:vAlign w:val="bottom"/>
            <w:tcBorders>
              <w:bottom w:val="single" w:sz="8" w:color="7B7C80"/>
            </w:tcBorders>
          </w:tcPr>
          <w:p>
            <w:pPr>
              <w:spacing w:after="0" w:line="20" w:lineRule="exact"/>
              <w:rPr>
                <w:sz w:val="1"/>
                <w:szCs w:val="1"/>
                <w:color w:val="auto"/>
              </w:rPr>
            </w:pPr>
          </w:p>
        </w:tc>
        <w:tc>
          <w:tcPr>
            <w:tcW w:w="380" w:type="dxa"/>
            <w:vAlign w:val="bottom"/>
            <w:tcBorders>
              <w:bottom w:val="single" w:sz="8" w:color="7B7C80"/>
            </w:tcBorders>
          </w:tcPr>
          <w:p>
            <w:pPr>
              <w:spacing w:after="0" w:line="20" w:lineRule="exact"/>
              <w:rPr>
                <w:sz w:val="1"/>
                <w:szCs w:val="1"/>
                <w:color w:val="auto"/>
              </w:rPr>
            </w:pPr>
          </w:p>
        </w:tc>
        <w:tc>
          <w:tcPr>
            <w:tcW w:w="140" w:type="dxa"/>
            <w:vAlign w:val="bottom"/>
            <w:tcBorders>
              <w:bottom w:val="single" w:sz="8" w:color="7B7C80"/>
            </w:tcBorders>
          </w:tcPr>
          <w:p>
            <w:pPr>
              <w:spacing w:after="0" w:line="20" w:lineRule="exact"/>
              <w:rPr>
                <w:sz w:val="1"/>
                <w:szCs w:val="1"/>
                <w:color w:val="auto"/>
              </w:rPr>
            </w:pPr>
          </w:p>
        </w:tc>
        <w:tc>
          <w:tcPr>
            <w:tcW w:w="54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300" w:type="dxa"/>
            <w:vAlign w:val="bottom"/>
            <w:tcBorders>
              <w:bottom w:val="single" w:sz="8" w:color="7B7C80"/>
            </w:tcBorders>
          </w:tcPr>
          <w:p>
            <w:pPr>
              <w:spacing w:after="0" w:line="20" w:lineRule="exact"/>
              <w:rPr>
                <w:sz w:val="1"/>
                <w:szCs w:val="1"/>
                <w:color w:val="auto"/>
              </w:rPr>
            </w:pPr>
          </w:p>
        </w:tc>
        <w:tc>
          <w:tcPr>
            <w:tcW w:w="1480" w:type="dxa"/>
            <w:vAlign w:val="bottom"/>
            <w:tcBorders>
              <w:bottom w:val="single" w:sz="8" w:color="7B7C80"/>
            </w:tcBorders>
          </w:tcPr>
          <w:p>
            <w:pPr>
              <w:spacing w:after="0" w:line="20" w:lineRule="exact"/>
              <w:rPr>
                <w:sz w:val="1"/>
                <w:szCs w:val="1"/>
                <w:color w:val="auto"/>
              </w:rPr>
            </w:pPr>
          </w:p>
        </w:tc>
        <w:tc>
          <w:tcPr>
            <w:tcW w:w="172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160" w:type="dxa"/>
            <w:vAlign w:val="bottom"/>
            <w:tcBorders>
              <w:top w:val="single" w:sz="8" w:color="7B7C80"/>
              <w:bottom w:val="single" w:sz="8" w:color="7B7C80"/>
            </w:tcBorders>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3"/>
        </w:trPr>
        <w:tc>
          <w:tcPr>
            <w:tcW w:w="1360" w:type="dxa"/>
            <w:vAlign w:val="bottom"/>
          </w:tcPr>
          <w:p>
            <w:pPr>
              <w:spacing w:after="0"/>
              <w:rPr>
                <w:sz w:val="10"/>
                <w:szCs w:val="10"/>
                <w:color w:val="auto"/>
              </w:rPr>
            </w:pPr>
          </w:p>
        </w:tc>
        <w:tc>
          <w:tcPr>
            <w:tcW w:w="4740" w:type="dxa"/>
            <w:vAlign w:val="bottom"/>
            <w:tcBorders>
              <w:bottom w:val="single" w:sz="8" w:color="009CCC"/>
            </w:tcBorders>
            <w:gridSpan w:val="20"/>
          </w:tcPr>
          <w:p>
            <w:pPr>
              <w:spacing w:after="0" w:line="123" w:lineRule="exact"/>
              <w:rPr>
                <w:rFonts w:ascii="Arial" w:cs="Arial" w:eastAsia="Arial" w:hAnsi="Arial"/>
                <w:sz w:val="14"/>
                <w:szCs w:val="14"/>
                <w:b w:val="1"/>
                <w:bCs w:val="1"/>
                <w:color w:val="009CCC"/>
              </w:rPr>
            </w:pPr>
            <w:hyperlink w:anchor="page62">
              <w:r>
                <w:rPr>
                  <w:rFonts w:ascii="Arial" w:cs="Arial" w:eastAsia="Arial" w:hAnsi="Arial"/>
                  <w:sz w:val="14"/>
                  <w:szCs w:val="14"/>
                  <w:b w:val="1"/>
                  <w:bCs w:val="1"/>
                  <w:color w:val="009CCC"/>
                </w:rPr>
                <w:t>Security Ownership of Certain Beneficial Owners and Management</w:t>
              </w:r>
            </w:hyperlink>
          </w:p>
        </w:tc>
        <w:tc>
          <w:tcPr>
            <w:tcW w:w="80" w:type="dxa"/>
            <w:vAlign w:val="bottom"/>
            <w:tcBorders>
              <w:bottom w:val="single" w:sz="8" w:color="7B7C80"/>
            </w:tcBorders>
          </w:tcPr>
          <w:p>
            <w:pPr>
              <w:spacing w:after="0"/>
              <w:rPr>
                <w:sz w:val="10"/>
                <w:szCs w:val="10"/>
                <w:color w:val="auto"/>
              </w:rPr>
            </w:pPr>
          </w:p>
        </w:tc>
        <w:tc>
          <w:tcPr>
            <w:tcW w:w="1800" w:type="dxa"/>
            <w:vAlign w:val="bottom"/>
            <w:gridSpan w:val="3"/>
          </w:tcPr>
          <w:p>
            <w:pPr>
              <w:spacing w:after="0"/>
              <w:rPr>
                <w:sz w:val="10"/>
                <w:szCs w:val="10"/>
                <w:color w:val="auto"/>
              </w:rPr>
            </w:pPr>
          </w:p>
        </w:tc>
        <w:tc>
          <w:tcPr>
            <w:tcW w:w="1800" w:type="dxa"/>
            <w:vAlign w:val="bottom"/>
            <w:gridSpan w:val="2"/>
          </w:tcPr>
          <w:p>
            <w:pPr>
              <w:spacing w:after="0"/>
              <w:rPr>
                <w:sz w:val="10"/>
                <w:szCs w:val="10"/>
                <w:color w:val="auto"/>
              </w:rPr>
            </w:pPr>
          </w:p>
        </w:tc>
        <w:tc>
          <w:tcPr>
            <w:tcW w:w="160" w:type="dxa"/>
            <w:vAlign w:val="bottom"/>
            <w:tcBorders>
              <w:bottom w:val="single" w:sz="8" w:color="7B7C80"/>
            </w:tcBorders>
          </w:tcPr>
          <w:p>
            <w:pPr>
              <w:jc w:val="right"/>
              <w:spacing w:after="0" w:line="123" w:lineRule="exact"/>
              <w:rPr>
                <w:rFonts w:ascii="Arial" w:cs="Arial" w:eastAsia="Arial" w:hAnsi="Arial"/>
                <w:sz w:val="14"/>
                <w:szCs w:val="14"/>
                <w:b w:val="1"/>
                <w:bCs w:val="1"/>
                <w:color w:val="7B7C80"/>
                <w:w w:val="89"/>
              </w:rPr>
            </w:pPr>
            <w:hyperlink w:anchor="page62">
              <w:r>
                <w:rPr>
                  <w:rFonts w:ascii="Arial" w:cs="Arial" w:eastAsia="Arial" w:hAnsi="Arial"/>
                  <w:sz w:val="14"/>
                  <w:szCs w:val="14"/>
                  <w:b w:val="1"/>
                  <w:bCs w:val="1"/>
                  <w:color w:val="7B7C80"/>
                  <w:w w:val="89"/>
                </w:rPr>
                <w:t>59</w:t>
              </w:r>
            </w:hyperlink>
          </w:p>
        </w:tc>
        <w:tc>
          <w:tcPr>
            <w:tcW w:w="124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35"/>
        </w:trPr>
        <w:tc>
          <w:tcPr>
            <w:tcW w:w="13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80" w:type="dxa"/>
            <w:vAlign w:val="bottom"/>
            <w:gridSpan w:val="23"/>
          </w:tcPr>
          <w:p>
            <w:pPr>
              <w:spacing w:after="0"/>
              <w:rPr>
                <w:rFonts w:ascii="Arial" w:cs="Arial" w:eastAsia="Arial" w:hAnsi="Arial"/>
                <w:sz w:val="15"/>
                <w:szCs w:val="15"/>
                <w:color w:val="7B7C80"/>
              </w:rPr>
            </w:pPr>
            <w:hyperlink w:anchor="page64">
              <w:r>
                <w:rPr>
                  <w:rFonts w:ascii="Arial" w:cs="Arial" w:eastAsia="Arial" w:hAnsi="Arial"/>
                  <w:sz w:val="15"/>
                  <w:szCs w:val="15"/>
                  <w:color w:val="7B7C80"/>
                </w:rPr>
                <w:t>Section 16(a) Beneficial Ownership Reporting Compliance</w:t>
              </w:r>
            </w:hyperlink>
          </w:p>
        </w:tc>
        <w:tc>
          <w:tcPr>
            <w:tcW w:w="1960" w:type="dxa"/>
            <w:vAlign w:val="bottom"/>
            <w:gridSpan w:val="3"/>
          </w:tcPr>
          <w:p>
            <w:pPr>
              <w:jc w:val="right"/>
              <w:spacing w:after="0"/>
              <w:rPr>
                <w:rFonts w:ascii="Arial" w:cs="Arial" w:eastAsia="Arial" w:hAnsi="Arial"/>
                <w:sz w:val="15"/>
                <w:szCs w:val="15"/>
                <w:b w:val="1"/>
                <w:bCs w:val="1"/>
                <w:color w:val="7B7C80"/>
              </w:rPr>
            </w:pPr>
            <w:hyperlink w:anchor="page64">
              <w:r>
                <w:rPr>
                  <w:rFonts w:ascii="Arial" w:cs="Arial" w:eastAsia="Arial" w:hAnsi="Arial"/>
                  <w:sz w:val="15"/>
                  <w:szCs w:val="15"/>
                  <w:b w:val="1"/>
                  <w:bCs w:val="1"/>
                  <w:color w:val="7B7C80"/>
                </w:rPr>
                <w:t>61</w:t>
              </w:r>
            </w:hyperlink>
          </w:p>
        </w:tc>
        <w:tc>
          <w:tcPr>
            <w:tcW w:w="12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360" w:type="dxa"/>
            <w:vAlign w:val="bottom"/>
          </w:tcPr>
          <w:p>
            <w:pPr>
              <w:spacing w:after="0" w:line="20" w:lineRule="exact"/>
              <w:rPr>
                <w:sz w:val="1"/>
                <w:szCs w:val="1"/>
                <w:color w:val="auto"/>
              </w:rPr>
            </w:pPr>
          </w:p>
        </w:tc>
        <w:tc>
          <w:tcPr>
            <w:tcW w:w="140" w:type="dxa"/>
            <w:vAlign w:val="bottom"/>
            <w:tcBorders>
              <w:bottom w:val="single" w:sz="8" w:color="7B7C80"/>
            </w:tcBorders>
          </w:tcPr>
          <w:p>
            <w:pPr>
              <w:spacing w:after="0" w:line="20" w:lineRule="exact"/>
              <w:rPr>
                <w:sz w:val="1"/>
                <w:szCs w:val="1"/>
                <w:color w:val="auto"/>
              </w:rPr>
            </w:pPr>
          </w:p>
        </w:tc>
        <w:tc>
          <w:tcPr>
            <w:tcW w:w="68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40" w:type="dxa"/>
            <w:vAlign w:val="bottom"/>
            <w:tcBorders>
              <w:top w:val="single" w:sz="8" w:color="7B7C80"/>
              <w:bottom w:val="single" w:sz="8" w:color="7B7C80"/>
            </w:tcBorders>
          </w:tcPr>
          <w:p>
            <w:pPr>
              <w:spacing w:after="0" w:line="20" w:lineRule="exact"/>
              <w:rPr>
                <w:sz w:val="1"/>
                <w:szCs w:val="1"/>
                <w:color w:val="auto"/>
              </w:rPr>
            </w:pPr>
          </w:p>
        </w:tc>
        <w:tc>
          <w:tcPr>
            <w:tcW w:w="120" w:type="dxa"/>
            <w:vAlign w:val="bottom"/>
            <w:tcBorders>
              <w:top w:val="single" w:sz="8" w:color="7B7C80"/>
              <w:bottom w:val="single" w:sz="8" w:color="7B7C80"/>
            </w:tcBorders>
          </w:tcPr>
          <w:p>
            <w:pPr>
              <w:spacing w:after="0" w:line="20" w:lineRule="exact"/>
              <w:rPr>
                <w:sz w:val="1"/>
                <w:szCs w:val="1"/>
                <w:color w:val="auto"/>
              </w:rPr>
            </w:pPr>
          </w:p>
        </w:tc>
        <w:tc>
          <w:tcPr>
            <w:tcW w:w="80" w:type="dxa"/>
            <w:vAlign w:val="bottom"/>
            <w:tcBorders>
              <w:top w:val="single" w:sz="8" w:color="7B7C80"/>
              <w:bottom w:val="single" w:sz="8" w:color="7B7C80"/>
            </w:tcBorders>
          </w:tcPr>
          <w:p>
            <w:pPr>
              <w:spacing w:after="0" w:line="20" w:lineRule="exact"/>
              <w:rPr>
                <w:sz w:val="1"/>
                <w:szCs w:val="1"/>
                <w:color w:val="auto"/>
              </w:rPr>
            </w:pPr>
          </w:p>
        </w:tc>
        <w:tc>
          <w:tcPr>
            <w:tcW w:w="6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20" w:type="dxa"/>
            <w:vAlign w:val="bottom"/>
            <w:tcBorders>
              <w:top w:val="single" w:sz="8" w:color="7B7C80"/>
              <w:bottom w:val="single" w:sz="8" w:color="7B7C80"/>
            </w:tcBorders>
          </w:tcPr>
          <w:p>
            <w:pPr>
              <w:spacing w:after="0" w:line="20" w:lineRule="exact"/>
              <w:rPr>
                <w:sz w:val="1"/>
                <w:szCs w:val="1"/>
                <w:color w:val="auto"/>
              </w:rPr>
            </w:pPr>
          </w:p>
        </w:tc>
        <w:tc>
          <w:tcPr>
            <w:tcW w:w="140" w:type="dxa"/>
            <w:vAlign w:val="bottom"/>
            <w:tcBorders>
              <w:top w:val="single" w:sz="8" w:color="7B7C80"/>
              <w:bottom w:val="single" w:sz="8" w:color="7B7C80"/>
            </w:tcBorders>
          </w:tcPr>
          <w:p>
            <w:pPr>
              <w:spacing w:after="0" w:line="20" w:lineRule="exact"/>
              <w:rPr>
                <w:sz w:val="1"/>
                <w:szCs w:val="1"/>
                <w:color w:val="auto"/>
              </w:rPr>
            </w:pPr>
          </w:p>
        </w:tc>
        <w:tc>
          <w:tcPr>
            <w:tcW w:w="120" w:type="dxa"/>
            <w:vAlign w:val="bottom"/>
            <w:tcBorders>
              <w:top w:val="single" w:sz="8" w:color="7B7C80"/>
              <w:bottom w:val="single" w:sz="8" w:color="7B7C80"/>
            </w:tcBorders>
          </w:tcPr>
          <w:p>
            <w:pPr>
              <w:spacing w:after="0" w:line="20" w:lineRule="exact"/>
              <w:rPr>
                <w:sz w:val="1"/>
                <w:szCs w:val="1"/>
                <w:color w:val="auto"/>
              </w:rPr>
            </w:pPr>
          </w:p>
        </w:tc>
        <w:tc>
          <w:tcPr>
            <w:tcW w:w="280" w:type="dxa"/>
            <w:vAlign w:val="bottom"/>
            <w:tcBorders>
              <w:top w:val="single" w:sz="8" w:color="7B7C80"/>
              <w:bottom w:val="single" w:sz="8" w:color="7B7C80"/>
            </w:tcBorders>
          </w:tcPr>
          <w:p>
            <w:pPr>
              <w:spacing w:after="0" w:line="20" w:lineRule="exact"/>
              <w:rPr>
                <w:sz w:val="1"/>
                <w:szCs w:val="1"/>
                <w:color w:val="auto"/>
              </w:rPr>
            </w:pPr>
          </w:p>
        </w:tc>
        <w:tc>
          <w:tcPr>
            <w:tcW w:w="860" w:type="dxa"/>
            <w:vAlign w:val="bottom"/>
            <w:tcBorders>
              <w:top w:val="single" w:sz="8" w:color="7B7C80"/>
              <w:bottom w:val="single" w:sz="8" w:color="7B7C80"/>
            </w:tcBorders>
          </w:tcPr>
          <w:p>
            <w:pPr>
              <w:spacing w:after="0" w:line="20" w:lineRule="exact"/>
              <w:rPr>
                <w:sz w:val="1"/>
                <w:szCs w:val="1"/>
                <w:color w:val="auto"/>
              </w:rPr>
            </w:pPr>
          </w:p>
        </w:tc>
        <w:tc>
          <w:tcPr>
            <w:tcW w:w="380" w:type="dxa"/>
            <w:vAlign w:val="bottom"/>
            <w:tcBorders>
              <w:top w:val="single" w:sz="8" w:color="7B7C80"/>
              <w:bottom w:val="single" w:sz="8" w:color="7B7C80"/>
            </w:tcBorders>
          </w:tcPr>
          <w:p>
            <w:pPr>
              <w:spacing w:after="0" w:line="20" w:lineRule="exact"/>
              <w:rPr>
                <w:sz w:val="1"/>
                <w:szCs w:val="1"/>
                <w:color w:val="auto"/>
              </w:rPr>
            </w:pPr>
          </w:p>
        </w:tc>
        <w:tc>
          <w:tcPr>
            <w:tcW w:w="440" w:type="dxa"/>
            <w:vAlign w:val="bottom"/>
            <w:tcBorders>
              <w:top w:val="single" w:sz="8" w:color="7B7C80"/>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380" w:type="dxa"/>
            <w:vAlign w:val="bottom"/>
            <w:tcBorders>
              <w:top w:val="single" w:sz="8" w:color="7B7C80"/>
              <w:bottom w:val="single" w:sz="8" w:color="7B7C80"/>
            </w:tcBorders>
          </w:tcPr>
          <w:p>
            <w:pPr>
              <w:spacing w:after="0" w:line="20" w:lineRule="exact"/>
              <w:rPr>
                <w:sz w:val="1"/>
                <w:szCs w:val="1"/>
                <w:color w:val="auto"/>
              </w:rPr>
            </w:pPr>
          </w:p>
        </w:tc>
        <w:tc>
          <w:tcPr>
            <w:tcW w:w="140" w:type="dxa"/>
            <w:vAlign w:val="bottom"/>
            <w:tcBorders>
              <w:bottom w:val="single" w:sz="8" w:color="7B7C80"/>
            </w:tcBorders>
          </w:tcPr>
          <w:p>
            <w:pPr>
              <w:spacing w:after="0" w:line="20" w:lineRule="exact"/>
              <w:rPr>
                <w:sz w:val="1"/>
                <w:szCs w:val="1"/>
                <w:color w:val="auto"/>
              </w:rPr>
            </w:pPr>
          </w:p>
        </w:tc>
        <w:tc>
          <w:tcPr>
            <w:tcW w:w="54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300" w:type="dxa"/>
            <w:vAlign w:val="bottom"/>
            <w:tcBorders>
              <w:bottom w:val="single" w:sz="8" w:color="7B7C80"/>
            </w:tcBorders>
          </w:tcPr>
          <w:p>
            <w:pPr>
              <w:spacing w:after="0" w:line="20" w:lineRule="exact"/>
              <w:rPr>
                <w:sz w:val="1"/>
                <w:szCs w:val="1"/>
                <w:color w:val="auto"/>
              </w:rPr>
            </w:pPr>
          </w:p>
        </w:tc>
        <w:tc>
          <w:tcPr>
            <w:tcW w:w="1480" w:type="dxa"/>
            <w:vAlign w:val="bottom"/>
            <w:tcBorders>
              <w:bottom w:val="single" w:sz="8" w:color="7B7C80"/>
            </w:tcBorders>
          </w:tcPr>
          <w:p>
            <w:pPr>
              <w:spacing w:after="0" w:line="20" w:lineRule="exact"/>
              <w:rPr>
                <w:sz w:val="1"/>
                <w:szCs w:val="1"/>
                <w:color w:val="auto"/>
              </w:rPr>
            </w:pPr>
          </w:p>
        </w:tc>
        <w:tc>
          <w:tcPr>
            <w:tcW w:w="172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160" w:type="dxa"/>
            <w:vAlign w:val="bottom"/>
            <w:tcBorders>
              <w:top w:val="single" w:sz="8" w:color="7B7C80"/>
              <w:bottom w:val="single" w:sz="8" w:color="7B7C80"/>
            </w:tcBorders>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3"/>
        </w:trPr>
        <w:tc>
          <w:tcPr>
            <w:tcW w:w="1360" w:type="dxa"/>
            <w:vAlign w:val="bottom"/>
          </w:tcPr>
          <w:p>
            <w:pPr>
              <w:spacing w:after="0"/>
              <w:rPr>
                <w:sz w:val="10"/>
                <w:szCs w:val="10"/>
                <w:color w:val="auto"/>
              </w:rPr>
            </w:pPr>
          </w:p>
        </w:tc>
        <w:tc>
          <w:tcPr>
            <w:tcW w:w="6620" w:type="dxa"/>
            <w:vAlign w:val="bottom"/>
            <w:gridSpan w:val="24"/>
          </w:tcPr>
          <w:p>
            <w:pPr>
              <w:spacing w:after="0" w:line="123" w:lineRule="exact"/>
              <w:rPr>
                <w:rFonts w:ascii="Arial" w:cs="Arial" w:eastAsia="Arial" w:hAnsi="Arial"/>
                <w:sz w:val="14"/>
                <w:szCs w:val="14"/>
                <w:b w:val="1"/>
                <w:bCs w:val="1"/>
                <w:color w:val="009CCC"/>
              </w:rPr>
            </w:pPr>
            <w:hyperlink w:anchor="page65">
              <w:r>
                <w:rPr>
                  <w:rFonts w:ascii="Arial" w:cs="Arial" w:eastAsia="Arial" w:hAnsi="Arial"/>
                  <w:sz w:val="14"/>
                  <w:szCs w:val="14"/>
                  <w:b w:val="1"/>
                  <w:bCs w:val="1"/>
                  <w:color w:val="009CCC"/>
                </w:rPr>
                <w:t>Questions and Answers About the Annual Meeting</w:t>
              </w:r>
            </w:hyperlink>
          </w:p>
        </w:tc>
        <w:tc>
          <w:tcPr>
            <w:tcW w:w="1960" w:type="dxa"/>
            <w:vAlign w:val="bottom"/>
            <w:gridSpan w:val="3"/>
          </w:tcPr>
          <w:p>
            <w:pPr>
              <w:jc w:val="right"/>
              <w:spacing w:after="0" w:line="123" w:lineRule="exact"/>
              <w:rPr>
                <w:rFonts w:ascii="Arial" w:cs="Arial" w:eastAsia="Arial" w:hAnsi="Arial"/>
                <w:sz w:val="14"/>
                <w:szCs w:val="14"/>
                <w:b w:val="1"/>
                <w:bCs w:val="1"/>
                <w:color w:val="7B7C80"/>
              </w:rPr>
            </w:pPr>
            <w:hyperlink w:anchor="page65">
              <w:r>
                <w:rPr>
                  <w:rFonts w:ascii="Arial" w:cs="Arial" w:eastAsia="Arial" w:hAnsi="Arial"/>
                  <w:sz w:val="14"/>
                  <w:szCs w:val="14"/>
                  <w:b w:val="1"/>
                  <w:bCs w:val="1"/>
                  <w:color w:val="7B7C80"/>
                </w:rPr>
                <w:t>62</w:t>
              </w:r>
            </w:hyperlink>
          </w:p>
        </w:tc>
        <w:tc>
          <w:tcPr>
            <w:tcW w:w="124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1360" w:type="dxa"/>
            <w:vAlign w:val="bottom"/>
          </w:tcPr>
          <w:p>
            <w:pPr>
              <w:spacing w:after="0" w:line="20" w:lineRule="exact"/>
              <w:rPr>
                <w:sz w:val="1"/>
                <w:szCs w:val="1"/>
                <w:color w:val="auto"/>
              </w:rPr>
            </w:pPr>
          </w:p>
        </w:tc>
        <w:tc>
          <w:tcPr>
            <w:tcW w:w="140" w:type="dxa"/>
            <w:vAlign w:val="bottom"/>
            <w:tcBorders>
              <w:top w:val="single" w:sz="8" w:color="009CCC"/>
              <w:bottom w:val="single" w:sz="8" w:color="7B7C80"/>
            </w:tcBorders>
          </w:tcPr>
          <w:p>
            <w:pPr>
              <w:spacing w:after="0" w:line="20" w:lineRule="exact"/>
              <w:rPr>
                <w:sz w:val="1"/>
                <w:szCs w:val="1"/>
                <w:color w:val="auto"/>
              </w:rPr>
            </w:pPr>
          </w:p>
        </w:tc>
        <w:tc>
          <w:tcPr>
            <w:tcW w:w="680" w:type="dxa"/>
            <w:vAlign w:val="bottom"/>
            <w:tcBorders>
              <w:top w:val="single" w:sz="8" w:color="009CCC"/>
              <w:bottom w:val="single" w:sz="8" w:color="7B7C80"/>
            </w:tcBorders>
          </w:tcPr>
          <w:p>
            <w:pPr>
              <w:spacing w:after="0" w:line="20" w:lineRule="exact"/>
              <w:rPr>
                <w:sz w:val="1"/>
                <w:szCs w:val="1"/>
                <w:color w:val="auto"/>
              </w:rPr>
            </w:pPr>
          </w:p>
        </w:tc>
        <w:tc>
          <w:tcPr>
            <w:tcW w:w="20" w:type="dxa"/>
            <w:vAlign w:val="bottom"/>
            <w:tcBorders>
              <w:top w:val="single" w:sz="8" w:color="009CCC"/>
              <w:bottom w:val="single" w:sz="8" w:color="7B7C80"/>
            </w:tcBorders>
          </w:tcPr>
          <w:p>
            <w:pPr>
              <w:spacing w:after="0" w:line="20" w:lineRule="exact"/>
              <w:rPr>
                <w:sz w:val="1"/>
                <w:szCs w:val="1"/>
                <w:color w:val="auto"/>
              </w:rPr>
            </w:pPr>
          </w:p>
        </w:tc>
        <w:tc>
          <w:tcPr>
            <w:tcW w:w="100" w:type="dxa"/>
            <w:vAlign w:val="bottom"/>
            <w:tcBorders>
              <w:top w:val="single" w:sz="8" w:color="009CCC"/>
              <w:bottom w:val="single" w:sz="8" w:color="7B7C80"/>
            </w:tcBorders>
          </w:tcPr>
          <w:p>
            <w:pPr>
              <w:spacing w:after="0" w:line="20" w:lineRule="exact"/>
              <w:rPr>
                <w:sz w:val="1"/>
                <w:szCs w:val="1"/>
                <w:color w:val="auto"/>
              </w:rPr>
            </w:pPr>
          </w:p>
        </w:tc>
        <w:tc>
          <w:tcPr>
            <w:tcW w:w="40" w:type="dxa"/>
            <w:vAlign w:val="bottom"/>
            <w:tcBorders>
              <w:top w:val="single" w:sz="8" w:color="009CCC"/>
              <w:bottom w:val="single" w:sz="8" w:color="7B7C80"/>
            </w:tcBorders>
          </w:tcPr>
          <w:p>
            <w:pPr>
              <w:spacing w:after="0" w:line="20" w:lineRule="exact"/>
              <w:rPr>
                <w:sz w:val="1"/>
                <w:szCs w:val="1"/>
                <w:color w:val="auto"/>
              </w:rPr>
            </w:pPr>
          </w:p>
        </w:tc>
        <w:tc>
          <w:tcPr>
            <w:tcW w:w="120" w:type="dxa"/>
            <w:vAlign w:val="bottom"/>
            <w:tcBorders>
              <w:top w:val="single" w:sz="8" w:color="009CCC"/>
              <w:bottom w:val="single" w:sz="8" w:color="7B7C80"/>
            </w:tcBorders>
          </w:tcPr>
          <w:p>
            <w:pPr>
              <w:spacing w:after="0" w:line="20" w:lineRule="exact"/>
              <w:rPr>
                <w:sz w:val="1"/>
                <w:szCs w:val="1"/>
                <w:color w:val="auto"/>
              </w:rPr>
            </w:pPr>
          </w:p>
        </w:tc>
        <w:tc>
          <w:tcPr>
            <w:tcW w:w="80" w:type="dxa"/>
            <w:vAlign w:val="bottom"/>
            <w:tcBorders>
              <w:top w:val="single" w:sz="8" w:color="009CCC"/>
              <w:bottom w:val="single" w:sz="8" w:color="7B7C80"/>
            </w:tcBorders>
          </w:tcPr>
          <w:p>
            <w:pPr>
              <w:spacing w:after="0" w:line="20" w:lineRule="exact"/>
              <w:rPr>
                <w:sz w:val="1"/>
                <w:szCs w:val="1"/>
                <w:color w:val="auto"/>
              </w:rPr>
            </w:pPr>
          </w:p>
        </w:tc>
        <w:tc>
          <w:tcPr>
            <w:tcW w:w="60" w:type="dxa"/>
            <w:vAlign w:val="bottom"/>
            <w:tcBorders>
              <w:top w:val="single" w:sz="8" w:color="009CCC"/>
              <w:bottom w:val="single" w:sz="8" w:color="7B7C80"/>
            </w:tcBorders>
          </w:tcPr>
          <w:p>
            <w:pPr>
              <w:spacing w:after="0" w:line="20" w:lineRule="exact"/>
              <w:rPr>
                <w:sz w:val="1"/>
                <w:szCs w:val="1"/>
                <w:color w:val="auto"/>
              </w:rPr>
            </w:pPr>
          </w:p>
        </w:tc>
        <w:tc>
          <w:tcPr>
            <w:tcW w:w="100" w:type="dxa"/>
            <w:vAlign w:val="bottom"/>
            <w:tcBorders>
              <w:top w:val="single" w:sz="8" w:color="009CCC"/>
              <w:bottom w:val="single" w:sz="8" w:color="7B7C80"/>
            </w:tcBorders>
          </w:tcPr>
          <w:p>
            <w:pPr>
              <w:spacing w:after="0" w:line="20" w:lineRule="exact"/>
              <w:rPr>
                <w:sz w:val="1"/>
                <w:szCs w:val="1"/>
                <w:color w:val="auto"/>
              </w:rPr>
            </w:pPr>
          </w:p>
        </w:tc>
        <w:tc>
          <w:tcPr>
            <w:tcW w:w="20" w:type="dxa"/>
            <w:vAlign w:val="bottom"/>
            <w:tcBorders>
              <w:top w:val="single" w:sz="8" w:color="009CCC"/>
              <w:bottom w:val="single" w:sz="8" w:color="7B7C80"/>
            </w:tcBorders>
          </w:tcPr>
          <w:p>
            <w:pPr>
              <w:spacing w:after="0" w:line="20" w:lineRule="exact"/>
              <w:rPr>
                <w:sz w:val="1"/>
                <w:szCs w:val="1"/>
                <w:color w:val="auto"/>
              </w:rPr>
            </w:pPr>
          </w:p>
        </w:tc>
        <w:tc>
          <w:tcPr>
            <w:tcW w:w="140" w:type="dxa"/>
            <w:vAlign w:val="bottom"/>
            <w:tcBorders>
              <w:top w:val="single" w:sz="8" w:color="009CCC"/>
              <w:bottom w:val="single" w:sz="8" w:color="7B7C80"/>
            </w:tcBorders>
          </w:tcPr>
          <w:p>
            <w:pPr>
              <w:spacing w:after="0" w:line="20" w:lineRule="exact"/>
              <w:rPr>
                <w:sz w:val="1"/>
                <w:szCs w:val="1"/>
                <w:color w:val="auto"/>
              </w:rPr>
            </w:pPr>
          </w:p>
        </w:tc>
        <w:tc>
          <w:tcPr>
            <w:tcW w:w="120" w:type="dxa"/>
            <w:vAlign w:val="bottom"/>
            <w:tcBorders>
              <w:top w:val="single" w:sz="8" w:color="009CCC"/>
              <w:bottom w:val="single" w:sz="8" w:color="7B7C80"/>
            </w:tcBorders>
          </w:tcPr>
          <w:p>
            <w:pPr>
              <w:spacing w:after="0" w:line="20" w:lineRule="exact"/>
              <w:rPr>
                <w:sz w:val="1"/>
                <w:szCs w:val="1"/>
                <w:color w:val="auto"/>
              </w:rPr>
            </w:pPr>
          </w:p>
        </w:tc>
        <w:tc>
          <w:tcPr>
            <w:tcW w:w="280" w:type="dxa"/>
            <w:vAlign w:val="bottom"/>
            <w:tcBorders>
              <w:top w:val="single" w:sz="8" w:color="009CCC"/>
              <w:bottom w:val="single" w:sz="8" w:color="7B7C80"/>
            </w:tcBorders>
          </w:tcPr>
          <w:p>
            <w:pPr>
              <w:spacing w:after="0" w:line="20" w:lineRule="exact"/>
              <w:rPr>
                <w:sz w:val="1"/>
                <w:szCs w:val="1"/>
                <w:color w:val="auto"/>
              </w:rPr>
            </w:pPr>
          </w:p>
        </w:tc>
        <w:tc>
          <w:tcPr>
            <w:tcW w:w="860" w:type="dxa"/>
            <w:vAlign w:val="bottom"/>
            <w:tcBorders>
              <w:top w:val="single" w:sz="8" w:color="009CCC"/>
              <w:bottom w:val="single" w:sz="8" w:color="7B7C80"/>
            </w:tcBorders>
          </w:tcPr>
          <w:p>
            <w:pPr>
              <w:spacing w:after="0" w:line="20" w:lineRule="exact"/>
              <w:rPr>
                <w:sz w:val="1"/>
                <w:szCs w:val="1"/>
                <w:color w:val="auto"/>
              </w:rPr>
            </w:pPr>
          </w:p>
        </w:tc>
        <w:tc>
          <w:tcPr>
            <w:tcW w:w="380" w:type="dxa"/>
            <w:vAlign w:val="bottom"/>
            <w:tcBorders>
              <w:top w:val="single" w:sz="8" w:color="009CCC"/>
              <w:bottom w:val="single" w:sz="8" w:color="7B7C80"/>
            </w:tcBorders>
          </w:tcPr>
          <w:p>
            <w:pPr>
              <w:spacing w:after="0" w:line="20" w:lineRule="exact"/>
              <w:rPr>
                <w:sz w:val="1"/>
                <w:szCs w:val="1"/>
                <w:color w:val="auto"/>
              </w:rPr>
            </w:pPr>
          </w:p>
        </w:tc>
        <w:tc>
          <w:tcPr>
            <w:tcW w:w="440" w:type="dxa"/>
            <w:vAlign w:val="bottom"/>
            <w:tcBorders>
              <w:top w:val="single" w:sz="8" w:color="009CCC"/>
              <w:bottom w:val="single" w:sz="8" w:color="7B7C80"/>
            </w:tcBorders>
          </w:tcPr>
          <w:p>
            <w:pPr>
              <w:spacing w:after="0" w:line="20" w:lineRule="exact"/>
              <w:rPr>
                <w:sz w:val="1"/>
                <w:szCs w:val="1"/>
                <w:color w:val="auto"/>
              </w:rPr>
            </w:pPr>
          </w:p>
        </w:tc>
        <w:tc>
          <w:tcPr>
            <w:tcW w:w="100" w:type="dxa"/>
            <w:vAlign w:val="bottom"/>
            <w:tcBorders>
              <w:top w:val="single" w:sz="8" w:color="7B7C80"/>
              <w:bottom w:val="single" w:sz="8" w:color="7B7C80"/>
            </w:tcBorders>
          </w:tcPr>
          <w:p>
            <w:pPr>
              <w:spacing w:after="0" w:line="20" w:lineRule="exact"/>
              <w:rPr>
                <w:sz w:val="1"/>
                <w:szCs w:val="1"/>
                <w:color w:val="auto"/>
              </w:rPr>
            </w:pPr>
          </w:p>
        </w:tc>
        <w:tc>
          <w:tcPr>
            <w:tcW w:w="380" w:type="dxa"/>
            <w:vAlign w:val="bottom"/>
            <w:tcBorders>
              <w:bottom w:val="single" w:sz="8" w:color="7B7C80"/>
            </w:tcBorders>
          </w:tcPr>
          <w:p>
            <w:pPr>
              <w:spacing w:after="0" w:line="20" w:lineRule="exact"/>
              <w:rPr>
                <w:sz w:val="1"/>
                <w:szCs w:val="1"/>
                <w:color w:val="auto"/>
              </w:rPr>
            </w:pPr>
          </w:p>
        </w:tc>
        <w:tc>
          <w:tcPr>
            <w:tcW w:w="140" w:type="dxa"/>
            <w:vAlign w:val="bottom"/>
            <w:tcBorders>
              <w:bottom w:val="single" w:sz="8" w:color="7B7C80"/>
            </w:tcBorders>
          </w:tcPr>
          <w:p>
            <w:pPr>
              <w:spacing w:after="0" w:line="20" w:lineRule="exact"/>
              <w:rPr>
                <w:sz w:val="1"/>
                <w:szCs w:val="1"/>
                <w:color w:val="auto"/>
              </w:rPr>
            </w:pPr>
          </w:p>
        </w:tc>
        <w:tc>
          <w:tcPr>
            <w:tcW w:w="54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20" w:type="dxa"/>
            <w:vAlign w:val="bottom"/>
            <w:tcBorders>
              <w:bottom w:val="single" w:sz="8" w:color="7B7C80"/>
            </w:tcBorders>
          </w:tcPr>
          <w:p>
            <w:pPr>
              <w:spacing w:after="0" w:line="20" w:lineRule="exact"/>
              <w:rPr>
                <w:sz w:val="1"/>
                <w:szCs w:val="1"/>
                <w:color w:val="auto"/>
              </w:rPr>
            </w:pPr>
          </w:p>
        </w:tc>
        <w:tc>
          <w:tcPr>
            <w:tcW w:w="300" w:type="dxa"/>
            <w:vAlign w:val="bottom"/>
            <w:tcBorders>
              <w:bottom w:val="single" w:sz="8" w:color="7B7C80"/>
            </w:tcBorders>
          </w:tcPr>
          <w:p>
            <w:pPr>
              <w:spacing w:after="0" w:line="20" w:lineRule="exact"/>
              <w:rPr>
                <w:sz w:val="1"/>
                <w:szCs w:val="1"/>
                <w:color w:val="auto"/>
              </w:rPr>
            </w:pPr>
          </w:p>
        </w:tc>
        <w:tc>
          <w:tcPr>
            <w:tcW w:w="1480" w:type="dxa"/>
            <w:vAlign w:val="bottom"/>
            <w:tcBorders>
              <w:bottom w:val="single" w:sz="8" w:color="7B7C80"/>
            </w:tcBorders>
          </w:tcPr>
          <w:p>
            <w:pPr>
              <w:spacing w:after="0" w:line="20" w:lineRule="exact"/>
              <w:rPr>
                <w:sz w:val="1"/>
                <w:szCs w:val="1"/>
                <w:color w:val="auto"/>
              </w:rPr>
            </w:pPr>
          </w:p>
        </w:tc>
        <w:tc>
          <w:tcPr>
            <w:tcW w:w="1720" w:type="dxa"/>
            <w:vAlign w:val="bottom"/>
            <w:tcBorders>
              <w:bottom w:val="single" w:sz="8" w:color="7B7C80"/>
            </w:tcBorders>
          </w:tcPr>
          <w:p>
            <w:pPr>
              <w:spacing w:after="0" w:line="20" w:lineRule="exact"/>
              <w:rPr>
                <w:sz w:val="1"/>
                <w:szCs w:val="1"/>
                <w:color w:val="auto"/>
              </w:rPr>
            </w:pPr>
          </w:p>
        </w:tc>
        <w:tc>
          <w:tcPr>
            <w:tcW w:w="80" w:type="dxa"/>
            <w:vAlign w:val="bottom"/>
            <w:tcBorders>
              <w:bottom w:val="single" w:sz="8" w:color="7B7C80"/>
            </w:tcBorders>
          </w:tcPr>
          <w:p>
            <w:pPr>
              <w:spacing w:after="0" w:line="20" w:lineRule="exact"/>
              <w:rPr>
                <w:sz w:val="1"/>
                <w:szCs w:val="1"/>
                <w:color w:val="auto"/>
              </w:rPr>
            </w:pPr>
          </w:p>
        </w:tc>
        <w:tc>
          <w:tcPr>
            <w:tcW w:w="160" w:type="dxa"/>
            <w:vAlign w:val="bottom"/>
            <w:tcBorders>
              <w:top w:val="single" w:sz="8" w:color="7B7C80"/>
              <w:bottom w:val="single" w:sz="8" w:color="7B7C80"/>
            </w:tcBorders>
          </w:tcPr>
          <w:p>
            <w:pPr>
              <w:spacing w:after="0" w:line="20" w:lineRule="exact"/>
              <w:rPr>
                <w:sz w:val="1"/>
                <w:szCs w:val="1"/>
                <w:color w:val="auto"/>
              </w:rPr>
            </w:pPr>
          </w:p>
        </w:tc>
        <w:tc>
          <w:tcPr>
            <w:tcW w:w="1240" w:type="dxa"/>
            <w:vAlign w:val="bottom"/>
            <w:vMerge w:val="restart"/>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3"/>
        </w:trPr>
        <w:tc>
          <w:tcPr>
            <w:tcW w:w="1360" w:type="dxa"/>
            <w:vAlign w:val="bottom"/>
          </w:tcPr>
          <w:p>
            <w:pPr>
              <w:spacing w:after="0"/>
              <w:rPr>
                <w:sz w:val="10"/>
                <w:szCs w:val="10"/>
                <w:color w:val="auto"/>
              </w:rPr>
            </w:pPr>
          </w:p>
        </w:tc>
        <w:tc>
          <w:tcPr>
            <w:tcW w:w="6620" w:type="dxa"/>
            <w:vAlign w:val="bottom"/>
            <w:gridSpan w:val="24"/>
          </w:tcPr>
          <w:p>
            <w:pPr>
              <w:spacing w:after="0" w:line="123" w:lineRule="exact"/>
              <w:rPr>
                <w:rFonts w:ascii="Arial" w:cs="Arial" w:eastAsia="Arial" w:hAnsi="Arial"/>
                <w:sz w:val="14"/>
                <w:szCs w:val="14"/>
                <w:b w:val="1"/>
                <w:bCs w:val="1"/>
                <w:color w:val="009CCC"/>
              </w:rPr>
            </w:pPr>
            <w:hyperlink w:anchor="page69">
              <w:r>
                <w:rPr>
                  <w:rFonts w:ascii="Arial" w:cs="Arial" w:eastAsia="Arial" w:hAnsi="Arial"/>
                  <w:sz w:val="14"/>
                  <w:szCs w:val="14"/>
                  <w:b w:val="1"/>
                  <w:bCs w:val="1"/>
                  <w:color w:val="009CCC"/>
                </w:rPr>
                <w:t xml:space="preserve">Appendix A </w:t>
              </w:r>
              <w:r>
                <w:rPr>
                  <w:rFonts w:ascii="Arial" w:cs="Arial" w:eastAsia="Arial" w:hAnsi="Arial"/>
                  <w:sz w:val="14"/>
                  <w:szCs w:val="14"/>
                  <w:b w:val="1"/>
                  <w:bCs w:val="1"/>
                  <w:color w:val="7B7C80"/>
                </w:rPr>
                <w:t>Executive Compensation Benchmarking Study Participants</w:t>
              </w:r>
            </w:hyperlink>
          </w:p>
        </w:tc>
        <w:tc>
          <w:tcPr>
            <w:tcW w:w="1720" w:type="dxa"/>
            <w:vAlign w:val="bottom"/>
          </w:tcPr>
          <w:p>
            <w:pPr>
              <w:spacing w:after="0"/>
              <w:rPr>
                <w:sz w:val="10"/>
                <w:szCs w:val="10"/>
                <w:color w:val="auto"/>
              </w:rPr>
            </w:pPr>
          </w:p>
        </w:tc>
        <w:tc>
          <w:tcPr>
            <w:tcW w:w="240" w:type="dxa"/>
            <w:vAlign w:val="bottom"/>
            <w:gridSpan w:val="2"/>
          </w:tcPr>
          <w:p>
            <w:pPr>
              <w:jc w:val="right"/>
              <w:spacing w:after="0" w:line="123" w:lineRule="exact"/>
              <w:rPr>
                <w:rFonts w:ascii="Arial" w:cs="Arial" w:eastAsia="Arial" w:hAnsi="Arial"/>
                <w:sz w:val="14"/>
                <w:szCs w:val="14"/>
                <w:b w:val="1"/>
                <w:bCs w:val="1"/>
                <w:color w:val="7B7C80"/>
                <w:w w:val="97"/>
              </w:rPr>
            </w:pPr>
            <w:hyperlink w:anchor="page69">
              <w:r>
                <w:rPr>
                  <w:rFonts w:ascii="Arial" w:cs="Arial" w:eastAsia="Arial" w:hAnsi="Arial"/>
                  <w:sz w:val="14"/>
                  <w:szCs w:val="14"/>
                  <w:b w:val="1"/>
                  <w:bCs w:val="1"/>
                  <w:color w:val="7B7C80"/>
                  <w:w w:val="97"/>
                </w:rPr>
                <w:t>A-1</w:t>
              </w:r>
            </w:hyperlink>
          </w:p>
        </w:tc>
        <w:tc>
          <w:tcPr>
            <w:tcW w:w="1240" w:type="dxa"/>
            <w:vAlign w:val="bottom"/>
            <w:vMerge w:val="continue"/>
          </w:tcPr>
          <w:p>
            <w:pPr>
              <w:spacing w:after="0"/>
              <w:rPr>
                <w:sz w:val="10"/>
                <w:szCs w:val="10"/>
                <w:color w:val="auto"/>
              </w:rPr>
            </w:pPr>
          </w:p>
        </w:tc>
        <w:tc>
          <w:tcPr>
            <w:tcW w:w="2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2"/>
        </w:trPr>
        <w:tc>
          <w:tcPr>
            <w:tcW w:w="1360" w:type="dxa"/>
            <w:vAlign w:val="bottom"/>
          </w:tcPr>
          <w:p>
            <w:pPr>
              <w:spacing w:after="0"/>
              <w:rPr>
                <w:sz w:val="13"/>
                <w:szCs w:val="13"/>
                <w:color w:val="auto"/>
              </w:rPr>
            </w:pPr>
          </w:p>
        </w:tc>
        <w:tc>
          <w:tcPr>
            <w:tcW w:w="820" w:type="dxa"/>
            <w:vAlign w:val="bottom"/>
            <w:tcBorders>
              <w:top w:val="single" w:sz="8" w:color="009CCC"/>
              <w:bottom w:val="single" w:sz="8" w:color="009CCC"/>
            </w:tcBorders>
            <w:gridSpan w:val="2"/>
          </w:tcPr>
          <w:p>
            <w:pPr>
              <w:spacing w:after="0" w:line="152" w:lineRule="exact"/>
              <w:rPr>
                <w:rFonts w:ascii="Arial" w:cs="Arial" w:eastAsia="Arial" w:hAnsi="Arial"/>
                <w:sz w:val="15"/>
                <w:szCs w:val="15"/>
                <w:b w:val="1"/>
                <w:bCs w:val="1"/>
                <w:color w:val="009CCC"/>
                <w:w w:val="95"/>
              </w:rPr>
            </w:pPr>
            <w:hyperlink w:anchor="page73">
              <w:r>
                <w:rPr>
                  <w:rFonts w:ascii="Arial" w:cs="Arial" w:eastAsia="Arial" w:hAnsi="Arial"/>
                  <w:sz w:val="15"/>
                  <w:szCs w:val="15"/>
                  <w:b w:val="1"/>
                  <w:bCs w:val="1"/>
                  <w:color w:val="009CCC"/>
                  <w:w w:val="95"/>
                </w:rPr>
                <w:t>Appendix B</w:t>
              </w:r>
            </w:hyperlink>
          </w:p>
        </w:tc>
        <w:tc>
          <w:tcPr>
            <w:tcW w:w="20" w:type="dxa"/>
            <w:vAlign w:val="bottom"/>
            <w:tcBorders>
              <w:top w:val="single" w:sz="8" w:color="7B7C80"/>
              <w:bottom w:val="single" w:sz="8" w:color="009CCC"/>
            </w:tcBorders>
          </w:tcPr>
          <w:p>
            <w:pPr>
              <w:spacing w:after="0"/>
              <w:rPr>
                <w:sz w:val="13"/>
                <w:szCs w:val="13"/>
                <w:color w:val="auto"/>
              </w:rPr>
            </w:pPr>
          </w:p>
        </w:tc>
        <w:tc>
          <w:tcPr>
            <w:tcW w:w="3360" w:type="dxa"/>
            <w:vAlign w:val="bottom"/>
            <w:tcBorders>
              <w:top w:val="single" w:sz="8" w:color="7B7C80"/>
              <w:bottom w:val="single" w:sz="8" w:color="7B7C80"/>
            </w:tcBorders>
            <w:gridSpan w:val="16"/>
          </w:tcPr>
          <w:p>
            <w:pPr>
              <w:ind w:left="40"/>
              <w:spacing w:after="0" w:line="152" w:lineRule="exact"/>
              <w:rPr>
                <w:rFonts w:ascii="Arial" w:cs="Arial" w:eastAsia="Arial" w:hAnsi="Arial"/>
                <w:sz w:val="15"/>
                <w:szCs w:val="15"/>
                <w:b w:val="1"/>
                <w:bCs w:val="1"/>
                <w:color w:val="7B7C80"/>
              </w:rPr>
            </w:pPr>
            <w:hyperlink w:anchor="page73">
              <w:r>
                <w:rPr>
                  <w:rFonts w:ascii="Arial" w:cs="Arial" w:eastAsia="Arial" w:hAnsi="Arial"/>
                  <w:sz w:val="15"/>
                  <w:szCs w:val="15"/>
                  <w:b w:val="1"/>
                  <w:bCs w:val="1"/>
                  <w:color w:val="7B7C80"/>
                </w:rPr>
                <w:t>Non GAAP Financial Measure Reconciliations</w:t>
              </w:r>
            </w:hyperlink>
          </w:p>
        </w:tc>
        <w:tc>
          <w:tcPr>
            <w:tcW w:w="940" w:type="dxa"/>
            <w:vAlign w:val="bottom"/>
            <w:tcBorders>
              <w:top w:val="single" w:sz="8" w:color="7B7C80"/>
            </w:tcBorders>
            <w:gridSpan w:val="4"/>
          </w:tcPr>
          <w:p>
            <w:pPr>
              <w:spacing w:after="0"/>
              <w:rPr>
                <w:sz w:val="13"/>
                <w:szCs w:val="13"/>
                <w:color w:val="auto"/>
              </w:rPr>
            </w:pPr>
          </w:p>
        </w:tc>
        <w:tc>
          <w:tcPr>
            <w:tcW w:w="1480" w:type="dxa"/>
            <w:vAlign w:val="bottom"/>
          </w:tcPr>
          <w:p>
            <w:pPr>
              <w:spacing w:after="0"/>
              <w:rPr>
                <w:sz w:val="13"/>
                <w:szCs w:val="13"/>
                <w:color w:val="auto"/>
              </w:rPr>
            </w:pPr>
          </w:p>
        </w:tc>
        <w:tc>
          <w:tcPr>
            <w:tcW w:w="1720" w:type="dxa"/>
            <w:vAlign w:val="bottom"/>
          </w:tcPr>
          <w:p>
            <w:pPr>
              <w:spacing w:after="0"/>
              <w:rPr>
                <w:sz w:val="13"/>
                <w:szCs w:val="13"/>
                <w:color w:val="auto"/>
              </w:rPr>
            </w:pPr>
          </w:p>
        </w:tc>
        <w:tc>
          <w:tcPr>
            <w:tcW w:w="240" w:type="dxa"/>
            <w:vAlign w:val="bottom"/>
            <w:tcBorders>
              <w:top w:val="single" w:sz="8" w:color="7B7C80"/>
              <w:bottom w:val="single" w:sz="8" w:color="7B7C80"/>
            </w:tcBorders>
            <w:gridSpan w:val="2"/>
          </w:tcPr>
          <w:p>
            <w:pPr>
              <w:jc w:val="right"/>
              <w:spacing w:after="0" w:line="152" w:lineRule="exact"/>
              <w:rPr>
                <w:rFonts w:ascii="Arial" w:cs="Arial" w:eastAsia="Arial" w:hAnsi="Arial"/>
                <w:sz w:val="15"/>
                <w:szCs w:val="15"/>
                <w:b w:val="1"/>
                <w:bCs w:val="1"/>
                <w:color w:val="7B7C80"/>
                <w:w w:val="90"/>
              </w:rPr>
            </w:pPr>
            <w:hyperlink w:anchor="page73">
              <w:r>
                <w:rPr>
                  <w:rFonts w:ascii="Arial" w:cs="Arial" w:eastAsia="Arial" w:hAnsi="Arial"/>
                  <w:sz w:val="15"/>
                  <w:szCs w:val="15"/>
                  <w:b w:val="1"/>
                  <w:bCs w:val="1"/>
                  <w:color w:val="7B7C80"/>
                  <w:w w:val="90"/>
                </w:rPr>
                <w:t>B-1</w:t>
              </w:r>
            </w:hyperlink>
          </w:p>
        </w:tc>
        <w:tc>
          <w:tcPr>
            <w:tcW w:w="12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505"/>
        </w:trPr>
        <w:tc>
          <w:tcPr>
            <w:tcW w:w="13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3200" w:type="dxa"/>
            <w:vAlign w:val="bottom"/>
            <w:gridSpan w:val="4"/>
          </w:tcPr>
          <w:p>
            <w:pPr>
              <w:ind w:left="1560"/>
              <w:spacing w:after="0"/>
              <w:rPr>
                <w:sz w:val="20"/>
                <w:szCs w:val="20"/>
                <w:color w:val="auto"/>
              </w:rPr>
            </w:pPr>
            <w:r>
              <w:rPr>
                <w:rFonts w:ascii="Arial" w:cs="Arial" w:eastAsia="Arial" w:hAnsi="Arial"/>
                <w:sz w:val="15"/>
                <w:szCs w:val="15"/>
                <w:color w:val="7B7C80"/>
              </w:rPr>
              <w:t>2018 Proxy Statement</w:t>
            </w:r>
          </w:p>
        </w:tc>
        <w:tc>
          <w:tcPr>
            <w:tcW w:w="260" w:type="dxa"/>
            <w:vAlign w:val="bottom"/>
          </w:tcPr>
          <w:p>
            <w:pPr>
              <w:jc w:val="right"/>
              <w:spacing w:after="0"/>
              <w:rPr>
                <w:sz w:val="20"/>
                <w:szCs w:val="20"/>
                <w:color w:val="auto"/>
              </w:rPr>
            </w:pPr>
            <w:r>
              <w:rPr>
                <w:rFonts w:ascii="Arial" w:cs="Arial" w:eastAsia="Arial" w:hAnsi="Arial"/>
                <w:sz w:val="15"/>
                <w:szCs w:val="15"/>
                <w:color w:val="009CCC"/>
              </w:rPr>
              <w:t>3</w:t>
            </w:r>
          </w:p>
        </w:tc>
        <w:tc>
          <w:tcPr>
            <w:tcW w:w="0" w:type="dxa"/>
            <w:vAlign w:val="bottom"/>
          </w:tcPr>
          <w:p>
            <w:pPr>
              <w:spacing w:after="0"/>
              <w:rPr>
                <w:sz w:val="1"/>
                <w:szCs w:val="1"/>
                <w:color w:val="auto"/>
              </w:rPr>
            </w:pPr>
          </w:p>
        </w:tc>
      </w:tr>
      <w:tr>
        <w:trPr>
          <w:trHeight w:val="318"/>
        </w:trPr>
        <w:tc>
          <w:tcPr>
            <w:tcW w:w="1360" w:type="dxa"/>
            <w:vAlign w:val="bottom"/>
            <w:tcBorders>
              <w:bottom w:val="single" w:sz="8" w:color="808080"/>
            </w:tcBorders>
          </w:tcPr>
          <w:p>
            <w:pPr>
              <w:spacing w:after="0"/>
              <w:rPr>
                <w:sz w:val="24"/>
                <w:szCs w:val="24"/>
                <w:color w:val="auto"/>
              </w:rPr>
            </w:pPr>
          </w:p>
        </w:tc>
        <w:tc>
          <w:tcPr>
            <w:tcW w:w="140" w:type="dxa"/>
            <w:vAlign w:val="bottom"/>
            <w:tcBorders>
              <w:bottom w:val="single" w:sz="8" w:color="808080"/>
            </w:tcBorders>
          </w:tcPr>
          <w:p>
            <w:pPr>
              <w:spacing w:after="0"/>
              <w:rPr>
                <w:sz w:val="24"/>
                <w:szCs w:val="24"/>
                <w:color w:val="auto"/>
              </w:rPr>
            </w:pPr>
          </w:p>
        </w:tc>
        <w:tc>
          <w:tcPr>
            <w:tcW w:w="68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100" w:type="dxa"/>
            <w:vAlign w:val="bottom"/>
            <w:tcBorders>
              <w:bottom w:val="single" w:sz="8" w:color="808080"/>
            </w:tcBorders>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c>
          <w:tcPr>
            <w:tcW w:w="120" w:type="dxa"/>
            <w:vAlign w:val="bottom"/>
            <w:tcBorders>
              <w:bottom w:val="single" w:sz="8" w:color="808080"/>
            </w:tcBorders>
          </w:tcPr>
          <w:p>
            <w:pPr>
              <w:spacing w:after="0"/>
              <w:rPr>
                <w:sz w:val="24"/>
                <w:szCs w:val="24"/>
                <w:color w:val="auto"/>
              </w:rPr>
            </w:pPr>
          </w:p>
        </w:tc>
        <w:tc>
          <w:tcPr>
            <w:tcW w:w="80" w:type="dxa"/>
            <w:vAlign w:val="bottom"/>
            <w:tcBorders>
              <w:bottom w:val="single" w:sz="8" w:color="808080"/>
            </w:tcBorders>
          </w:tcPr>
          <w:p>
            <w:pPr>
              <w:spacing w:after="0"/>
              <w:rPr>
                <w:sz w:val="24"/>
                <w:szCs w:val="24"/>
                <w:color w:val="auto"/>
              </w:rPr>
            </w:pPr>
          </w:p>
        </w:tc>
        <w:tc>
          <w:tcPr>
            <w:tcW w:w="60" w:type="dxa"/>
            <w:vAlign w:val="bottom"/>
            <w:tcBorders>
              <w:bottom w:val="single" w:sz="8" w:color="808080"/>
            </w:tcBorders>
          </w:tcPr>
          <w:p>
            <w:pPr>
              <w:spacing w:after="0"/>
              <w:rPr>
                <w:sz w:val="24"/>
                <w:szCs w:val="24"/>
                <w:color w:val="auto"/>
              </w:rPr>
            </w:pPr>
          </w:p>
        </w:tc>
        <w:tc>
          <w:tcPr>
            <w:tcW w:w="10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140" w:type="dxa"/>
            <w:vAlign w:val="bottom"/>
            <w:tcBorders>
              <w:bottom w:val="single" w:sz="8" w:color="808080"/>
            </w:tcBorders>
          </w:tcPr>
          <w:p>
            <w:pPr>
              <w:spacing w:after="0"/>
              <w:rPr>
                <w:sz w:val="24"/>
                <w:szCs w:val="24"/>
                <w:color w:val="auto"/>
              </w:rPr>
            </w:pPr>
          </w:p>
        </w:tc>
        <w:tc>
          <w:tcPr>
            <w:tcW w:w="120" w:type="dxa"/>
            <w:vAlign w:val="bottom"/>
            <w:tcBorders>
              <w:bottom w:val="single" w:sz="8" w:color="808080"/>
            </w:tcBorders>
          </w:tcPr>
          <w:p>
            <w:pPr>
              <w:spacing w:after="0"/>
              <w:rPr>
                <w:sz w:val="24"/>
                <w:szCs w:val="24"/>
                <w:color w:val="auto"/>
              </w:rPr>
            </w:pPr>
          </w:p>
        </w:tc>
        <w:tc>
          <w:tcPr>
            <w:tcW w:w="280" w:type="dxa"/>
            <w:vAlign w:val="bottom"/>
            <w:tcBorders>
              <w:bottom w:val="single" w:sz="8" w:color="808080"/>
            </w:tcBorders>
          </w:tcPr>
          <w:p>
            <w:pPr>
              <w:spacing w:after="0"/>
              <w:rPr>
                <w:sz w:val="24"/>
                <w:szCs w:val="24"/>
                <w:color w:val="auto"/>
              </w:rPr>
            </w:pPr>
          </w:p>
        </w:tc>
        <w:tc>
          <w:tcPr>
            <w:tcW w:w="86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c>
          <w:tcPr>
            <w:tcW w:w="440" w:type="dxa"/>
            <w:vAlign w:val="bottom"/>
            <w:tcBorders>
              <w:bottom w:val="single" w:sz="8" w:color="808080"/>
            </w:tcBorders>
          </w:tcPr>
          <w:p>
            <w:pPr>
              <w:spacing w:after="0"/>
              <w:rPr>
                <w:sz w:val="24"/>
                <w:szCs w:val="24"/>
                <w:color w:val="auto"/>
              </w:rPr>
            </w:pPr>
          </w:p>
        </w:tc>
        <w:tc>
          <w:tcPr>
            <w:tcW w:w="10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c>
          <w:tcPr>
            <w:tcW w:w="140" w:type="dxa"/>
            <w:vAlign w:val="bottom"/>
            <w:tcBorders>
              <w:bottom w:val="single" w:sz="8" w:color="808080"/>
            </w:tcBorders>
          </w:tcPr>
          <w:p>
            <w:pPr>
              <w:spacing w:after="0"/>
              <w:rPr>
                <w:sz w:val="24"/>
                <w:szCs w:val="24"/>
                <w:color w:val="auto"/>
              </w:rPr>
            </w:pPr>
          </w:p>
        </w:tc>
        <w:tc>
          <w:tcPr>
            <w:tcW w:w="540" w:type="dxa"/>
            <w:vAlign w:val="bottom"/>
            <w:tcBorders>
              <w:bottom w:val="single" w:sz="8" w:color="808080"/>
            </w:tcBorders>
          </w:tcPr>
          <w:p>
            <w:pPr>
              <w:spacing w:after="0"/>
              <w:rPr>
                <w:sz w:val="24"/>
                <w:szCs w:val="24"/>
                <w:color w:val="auto"/>
              </w:rPr>
            </w:pPr>
          </w:p>
        </w:tc>
        <w:tc>
          <w:tcPr>
            <w:tcW w:w="8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300" w:type="dxa"/>
            <w:vAlign w:val="bottom"/>
            <w:tcBorders>
              <w:bottom w:val="single" w:sz="8" w:color="808080"/>
            </w:tcBorders>
          </w:tcPr>
          <w:p>
            <w:pPr>
              <w:spacing w:after="0"/>
              <w:rPr>
                <w:sz w:val="24"/>
                <w:szCs w:val="24"/>
                <w:color w:val="auto"/>
              </w:rPr>
            </w:pPr>
          </w:p>
        </w:tc>
        <w:tc>
          <w:tcPr>
            <w:tcW w:w="1480" w:type="dxa"/>
            <w:vAlign w:val="bottom"/>
            <w:tcBorders>
              <w:bottom w:val="single" w:sz="8" w:color="808080"/>
            </w:tcBorders>
          </w:tcPr>
          <w:p>
            <w:pPr>
              <w:spacing w:after="0"/>
              <w:rPr>
                <w:sz w:val="24"/>
                <w:szCs w:val="24"/>
                <w:color w:val="auto"/>
              </w:rPr>
            </w:pPr>
          </w:p>
        </w:tc>
        <w:tc>
          <w:tcPr>
            <w:tcW w:w="1720" w:type="dxa"/>
            <w:vAlign w:val="bottom"/>
            <w:tcBorders>
              <w:bottom w:val="single" w:sz="8" w:color="808080"/>
            </w:tcBorders>
          </w:tcPr>
          <w:p>
            <w:pPr>
              <w:spacing w:after="0"/>
              <w:rPr>
                <w:sz w:val="24"/>
                <w:szCs w:val="24"/>
                <w:color w:val="auto"/>
              </w:rPr>
            </w:pPr>
          </w:p>
        </w:tc>
        <w:tc>
          <w:tcPr>
            <w:tcW w:w="80" w:type="dxa"/>
            <w:vAlign w:val="bottom"/>
            <w:tcBorders>
              <w:bottom w:val="single" w:sz="8" w:color="808080"/>
            </w:tcBorders>
          </w:tcPr>
          <w:p>
            <w:pPr>
              <w:spacing w:after="0"/>
              <w:rPr>
                <w:sz w:val="24"/>
                <w:szCs w:val="24"/>
                <w:color w:val="auto"/>
              </w:rPr>
            </w:pPr>
          </w:p>
        </w:tc>
        <w:tc>
          <w:tcPr>
            <w:tcW w:w="160" w:type="dxa"/>
            <w:vAlign w:val="bottom"/>
            <w:tcBorders>
              <w:bottom w:val="single" w:sz="8" w:color="808080"/>
            </w:tcBorders>
          </w:tcPr>
          <w:p>
            <w:pPr>
              <w:spacing w:after="0"/>
              <w:rPr>
                <w:sz w:val="24"/>
                <w:szCs w:val="24"/>
                <w:color w:val="auto"/>
              </w:rPr>
            </w:pPr>
          </w:p>
        </w:tc>
        <w:tc>
          <w:tcPr>
            <w:tcW w:w="1240" w:type="dxa"/>
            <w:vAlign w:val="bottom"/>
            <w:tcBorders>
              <w:bottom w:val="single" w:sz="8" w:color="808080"/>
            </w:tcBorders>
          </w:tcPr>
          <w:p>
            <w:pPr>
              <w:spacing w:after="0"/>
              <w:rPr>
                <w:sz w:val="24"/>
                <w:szCs w:val="24"/>
                <w:color w:val="auto"/>
              </w:rPr>
            </w:pPr>
          </w:p>
        </w:tc>
        <w:tc>
          <w:tcPr>
            <w:tcW w:w="26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3079115</wp:posOffset>
            </wp:positionH>
            <wp:positionV relativeFrom="paragraph">
              <wp:posOffset>-416560</wp:posOffset>
            </wp:positionV>
            <wp:extent cx="960120" cy="2838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6" w:name="page7"/>
    <w:bookmarkEnd w:id="6"/>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Director Qualifications, Director Tenure, Process for Identifying and Evaluating Director Candidates and Diversity of the Board</w:t>
      </w:r>
    </w:p>
    <w:p>
      <w:pPr>
        <w:spacing w:after="0" w:line="201" w:lineRule="exact"/>
        <w:rPr>
          <w:sz w:val="20"/>
          <w:szCs w:val="20"/>
          <w:color w:val="auto"/>
        </w:rPr>
      </w:pPr>
    </w:p>
    <w:p>
      <w:pPr>
        <w:jc w:val="both"/>
        <w:ind w:left="8"/>
        <w:spacing w:after="0" w:line="239" w:lineRule="auto"/>
        <w:rPr>
          <w:sz w:val="20"/>
          <w:szCs w:val="20"/>
          <w:color w:val="auto"/>
        </w:rPr>
      </w:pPr>
      <w:r>
        <w:rPr>
          <w:rFonts w:ascii="Arial" w:cs="Arial" w:eastAsia="Arial" w:hAnsi="Arial"/>
          <w:sz w:val="15"/>
          <w:szCs w:val="15"/>
          <w:color w:val="7B7C80"/>
        </w:rPr>
        <w:t>The Nominating and Governance Committee regularly assesses the expertise, skills, backgrounds, competencies and other characteristics of Directors and candidates for Board vacancies considering the current Board makeup and the Company's strategic initiatives, risk factors, and other relevant circumstances. The Committee also assesses Directors' and candidates' personal and professional ethics, integrity, values and ability to contribute to the Board, including current employment responsibilities. In addition to personal attributes, the Board values experience as a current or former senior executive in financial services, in international business and with financial management or accounting responsibilities. Competencies valued by the Board include strategic and results orientation, comprehensive decision making, risk management and an understanding of current technology issues. The Committee periodically uses an outside consultant to assist with this responsibility, and these assessments provide direction in searches for Board candidates and in the evaluation of current Directors. The Committee reviews the performance of each Director whose term is expiring as part of the determination of whether to recommend his or her nomination for reelection to the Board. Input to this process is also received from the other Directors and management and an outside consultant may be engaged to assist with these reviews. Director performance and capabilities are evaluated against the characteristics and considerations noted above. Following the Committee's discussion, the outside consultant, if any, or the Committee Chair provides feedback to the Directors who were evaluated. The Board annually conducts a self-evaluation regarding its effectiveness, and the Audit, Finance, Human Resources and Nominating and Governance Committees also annually evaluate their respective committee's performance.</w:t>
      </w:r>
    </w:p>
    <w:p>
      <w:pPr>
        <w:spacing w:after="0" w:line="184" w:lineRule="exact"/>
        <w:rPr>
          <w:sz w:val="20"/>
          <w:szCs w:val="20"/>
          <w:color w:val="auto"/>
        </w:rPr>
      </w:pPr>
    </w:p>
    <w:p>
      <w:pPr>
        <w:ind w:left="8"/>
        <w:spacing w:after="0"/>
        <w:rPr>
          <w:sz w:val="20"/>
          <w:szCs w:val="20"/>
          <w:color w:val="auto"/>
        </w:rPr>
      </w:pPr>
      <w:r>
        <w:rPr>
          <w:rFonts w:ascii="Arial" w:cs="Arial" w:eastAsia="Arial" w:hAnsi="Arial"/>
          <w:sz w:val="15"/>
          <w:szCs w:val="15"/>
          <w:color w:val="7B7C80"/>
        </w:rPr>
        <w:t>All Board members have:</w:t>
      </w:r>
    </w:p>
    <w:p>
      <w:pPr>
        <w:spacing w:after="0" w:line="183" w:lineRule="exact"/>
        <w:rPr>
          <w:sz w:val="20"/>
          <w:szCs w:val="20"/>
          <w:color w:val="auto"/>
        </w:rPr>
      </w:pPr>
    </w:p>
    <w:p>
      <w:pPr>
        <w:ind w:left="448" w:hanging="448"/>
        <w:spacing w:after="0"/>
        <w:tabs>
          <w:tab w:leader="none" w:pos="448" w:val="left"/>
        </w:tabs>
        <w:numPr>
          <w:ilvl w:val="0"/>
          <w:numId w:val="4"/>
        </w:numPr>
        <w:rPr>
          <w:rFonts w:ascii="Arial" w:cs="Arial" w:eastAsia="Arial" w:hAnsi="Arial"/>
          <w:sz w:val="15"/>
          <w:szCs w:val="15"/>
          <w:color w:val="7B7C80"/>
        </w:rPr>
      </w:pPr>
      <w:r>
        <w:rPr>
          <w:rFonts w:ascii="Arial" w:cs="Arial" w:eastAsia="Arial" w:hAnsi="Arial"/>
          <w:sz w:val="15"/>
          <w:szCs w:val="15"/>
          <w:color w:val="7B7C80"/>
        </w:rPr>
        <w:t>Personal character that supports the Company's core value of integrity;</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4"/>
        </w:numPr>
        <w:rPr>
          <w:rFonts w:ascii="Arial" w:cs="Arial" w:eastAsia="Arial" w:hAnsi="Arial"/>
          <w:sz w:val="15"/>
          <w:szCs w:val="15"/>
          <w:color w:val="7B7C80"/>
        </w:rPr>
      </w:pPr>
      <w:r>
        <w:rPr>
          <w:rFonts w:ascii="Arial" w:cs="Arial" w:eastAsia="Arial" w:hAnsi="Arial"/>
          <w:sz w:val="15"/>
          <w:szCs w:val="15"/>
          <w:color w:val="7B7C80"/>
        </w:rPr>
        <w:t>Training or experience that is useful to Principal in light of its strategy, initiatives and risk factors; and</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4"/>
        </w:numPr>
        <w:rPr>
          <w:rFonts w:ascii="Arial" w:cs="Arial" w:eastAsia="Arial" w:hAnsi="Arial"/>
          <w:sz w:val="15"/>
          <w:szCs w:val="15"/>
          <w:color w:val="7B7C80"/>
        </w:rPr>
      </w:pPr>
      <w:r>
        <w:rPr>
          <w:rFonts w:ascii="Arial" w:cs="Arial" w:eastAsia="Arial" w:hAnsi="Arial"/>
          <w:sz w:val="15"/>
          <w:szCs w:val="15"/>
          <w:color w:val="7B7C80"/>
        </w:rPr>
        <w:t>A demonstrated willingness and ability to prepare for, attend and participate effectively in Board and Committee meetings.</w:t>
      </w:r>
    </w:p>
    <w:p>
      <w:pPr>
        <w:spacing w:after="0" w:line="183"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Several current independent Directors have led businesses or major business divisions as CEO or President (Ms. Bernard, Mr. Dan, Mr. Ferro, Dr. Gelatt, Mr. Hochschild, Mr. Mills, Ms. Nordin, Mr. Pickerell and Ms. Tallett). The following chart shows areas central to the Company's strategy, initiatives and operations for which independent Directors have specific training and executive level experience that assists them in their responsibilities.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1265555</wp:posOffset>
            </wp:positionH>
            <wp:positionV relativeFrom="paragraph">
              <wp:posOffset>109220</wp:posOffset>
            </wp:positionV>
            <wp:extent cx="4735830" cy="35718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4735830" cy="3571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8"/>
        <w:spacing w:after="0"/>
        <w:tabs>
          <w:tab w:leader="none" w:pos="388" w:val="left"/>
        </w:tabs>
        <w:rPr>
          <w:sz w:val="20"/>
          <w:szCs w:val="20"/>
          <w:color w:val="auto"/>
        </w:rPr>
      </w:pPr>
      <w:r>
        <w:rPr>
          <w:rFonts w:ascii="Arial" w:cs="Arial" w:eastAsia="Arial" w:hAnsi="Arial"/>
          <w:sz w:val="15"/>
          <w:szCs w:val="15"/>
          <w:color w:val="009CCC"/>
        </w:rPr>
        <w:t>4</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7" w:name="page8"/>
    <w:bookmarkEnd w:id="7"/>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Though the Board does not have a formal diversity policy, diversity of the Board is a valued objective. Therefore, the Nominating and Governance Committee reviews the Board's needs and diversity in terms of race, gender, national origin, backgrounds, experiences and areas of expertise when recruiting new Directors. The current Board reflects these values, for example, in the gender (45% female) and racial (18% African American) composition of independent directors.</w:t>
      </w:r>
    </w:p>
    <w:p>
      <w:pPr>
        <w:spacing w:after="0" w:line="175"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The Board's diversity objective reflects the values of the Company as well. Principal has been recognized as one of the National Association of Female Executives' Top Companies for Executive Women 16 times, and for the third year in a row, earned a perfect score on the Human Rights Campaign Foundation's 2018 Corporate Equality Index. We were also recognized as one of Ethisphere Institute World's Most Ethical Companies for the seventh time. Only seven companies in the financial services industry earned this distinction for 2017, emphasizing their commitment to leading ethical business standards and practices. Other recognition includes Forbes' America's Best Employers for the third consecutive year and Working Mother magazine's 100 Best Companies—and we joined the prestigious Hall of Fame this year in celebration of our 15th appearance on the list. We were also named a Best Places for Giving Back, by Great Place to Work, in recognition of our policies regarding paid time off for volunteering and contributions to community and charitable causes through corporate donations and employee fund-matching programs.</w:t>
      </w:r>
    </w:p>
    <w:p>
      <w:pPr>
        <w:spacing w:after="0" w:line="179"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The Board's effectiveness benefits from Directors who have the skills, backgrounds and qualifications needed by the Board and who also increase the Board's diversity. Director tenure and Board refreshment are important topics that receive considerable Board focus. The Board believes that its thorough Director performance reviews and healthy Board refreshment processes better serve Principal and its stakeholders than would mandatory term limits. Strict term limits would require that Principal lose the continuing contribution of Directors who have invaluable insight into Principal and its industry, strategies and operations because of their experience. Nevertheless, Directors' terms must not extend past the annual meeting following their 72nd birthday. The tenure of the independent Directors is listed below. The average tenure of Principal's independent Directors is 13 years.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2213610</wp:posOffset>
            </wp:positionH>
            <wp:positionV relativeFrom="paragraph">
              <wp:posOffset>112395</wp:posOffset>
            </wp:positionV>
            <wp:extent cx="2837180" cy="16878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2837180" cy="16878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Diane Nordin, a new independent Director, was added to the Board in 2017. Ms. Nordin has executive level experience in accounting and finance, asset and investment management, executive compensation, financial services, marketing, product development, strategic planning and technology. This addition was the result of a lengthy search that included consideration of numerous highly qualified candidates. The search was conducted by the Nominating and Governance Committee, with the assistance of a search firm, and included Ms. Nordin meeting in-person with Dennis Ferro, then Chair of the Nominating and Governance Committee, Lead Director Elizabeth Tallett, Mr. Houston and other members of senior management. The Nominating and Governance Committee then unanimously recommended Ms. Nordin to the full Board of Directors, which appointed Ms. Nordin in October. We anticipate that four additional tenured Directors will be replaced over the next five years, continuing our process of regularly refreshing the talents and perspectives reflected on our Board. The tenure of the Directors, as reflected in the chart above, balances deep knowledge of the Company, its industry and relevant issues, with fresh perspectives and additional expertise, while providing the oversight and independence needed to meet the interests of our shareholders.</w:t>
      </w:r>
    </w:p>
    <w:p>
      <w:pPr>
        <w:spacing w:after="0" w:line="178" w:lineRule="exact"/>
        <w:rPr>
          <w:sz w:val="20"/>
          <w:szCs w:val="20"/>
          <w:color w:val="auto"/>
        </w:rPr>
      </w:pPr>
    </w:p>
    <w:p>
      <w:pPr>
        <w:jc w:val="both"/>
        <w:ind w:right="20"/>
        <w:spacing w:after="0" w:line="242" w:lineRule="auto"/>
        <w:rPr>
          <w:sz w:val="20"/>
          <w:szCs w:val="20"/>
          <w:color w:val="auto"/>
        </w:rPr>
      </w:pPr>
      <w:r>
        <w:rPr>
          <w:rFonts w:ascii="Arial" w:cs="Arial" w:eastAsia="Arial" w:hAnsi="Arial"/>
          <w:sz w:val="15"/>
          <w:szCs w:val="15"/>
          <w:color w:val="7B7C80"/>
        </w:rPr>
        <w:t>Communicating with stakeholders including clients, customers, employees, and investors, has always been an important part of how Principal conducts its business. Principal has had in place for some time a formal engagement process with shareholders around matters of corporate governance. These discussions provide us with helpful insight into shareholders' views on current governance topics, which are then discussed with the Nominating and Governance Committee and the full Board. This continuing process regularly supplements relevant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3079115</wp:posOffset>
            </wp:positionH>
            <wp:positionV relativeFrom="paragraph">
              <wp:posOffset>109220</wp:posOffset>
            </wp:positionV>
            <wp:extent cx="960120" cy="2838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2"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80" w:type="dxa"/>
            <w:vAlign w:val="bottom"/>
          </w:tcPr>
          <w:p>
            <w:pPr>
              <w:ind w:left="9540"/>
              <w:spacing w:after="0"/>
              <w:rPr>
                <w:sz w:val="20"/>
                <w:szCs w:val="20"/>
                <w:color w:val="auto"/>
              </w:rPr>
            </w:pPr>
            <w:r>
              <w:rPr>
                <w:rFonts w:ascii="Arial" w:cs="Arial" w:eastAsia="Arial" w:hAnsi="Arial"/>
                <w:sz w:val="15"/>
                <w:szCs w:val="15"/>
                <w:color w:val="7B7C80"/>
              </w:rPr>
              <w:t>2018 Proxy Statement</w:t>
            </w:r>
          </w:p>
        </w:tc>
        <w:tc>
          <w:tcPr>
            <w:tcW w:w="260" w:type="dxa"/>
            <w:vAlign w:val="bottom"/>
          </w:tcPr>
          <w:p>
            <w:pPr>
              <w:jc w:val="right"/>
              <w:spacing w:after="0"/>
              <w:rPr>
                <w:sz w:val="20"/>
                <w:szCs w:val="20"/>
                <w:color w:val="auto"/>
              </w:rPr>
            </w:pPr>
            <w:r>
              <w:rPr>
                <w:rFonts w:ascii="Arial" w:cs="Arial" w:eastAsia="Arial" w:hAnsi="Arial"/>
                <w:sz w:val="15"/>
                <w:szCs w:val="15"/>
                <w:color w:val="009CCC"/>
              </w:rPr>
              <w:t>5</w:t>
            </w:r>
          </w:p>
        </w:tc>
      </w:tr>
      <w:tr>
        <w:trPr>
          <w:trHeight w:val="318"/>
        </w:trPr>
        <w:tc>
          <w:tcPr>
            <w:tcW w:w="11180" w:type="dxa"/>
            <w:vAlign w:val="bottom"/>
            <w:tcBorders>
              <w:bottom w:val="single" w:sz="8" w:color="808080"/>
            </w:tcBorders>
          </w:tcPr>
          <w:p>
            <w:pPr>
              <w:spacing w:after="0"/>
              <w:rPr>
                <w:sz w:val="24"/>
                <w:szCs w:val="24"/>
                <w:color w:val="auto"/>
              </w:rPr>
            </w:pPr>
          </w:p>
        </w:tc>
        <w:tc>
          <w:tcPr>
            <w:tcW w:w="26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8" w:name="page9"/>
    <w:bookmarkEnd w:id="8"/>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spacing w:after="0"/>
        <w:rPr>
          <w:sz w:val="20"/>
          <w:szCs w:val="20"/>
          <w:color w:val="auto"/>
        </w:rPr>
      </w:pPr>
      <w:r>
        <w:rPr>
          <w:rFonts w:ascii="Arial" w:cs="Arial" w:eastAsia="Arial" w:hAnsi="Arial"/>
          <w:sz w:val="15"/>
          <w:szCs w:val="15"/>
          <w:color w:val="7B7C80"/>
        </w:rPr>
        <w:t>communications regarding corporate governance made through the Company's website and by the Investor Relations staff.</w:t>
      </w:r>
    </w:p>
    <w:p>
      <w:pPr>
        <w:spacing w:after="0" w:line="183"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The Nominating and Governance Committee will consider shareholder recommendations for Director candidates sent to it c/o the Company Secretary. Director candidates nominated by shareholders are evaluated in the same manner as Director candidates identified by the Committee and search firms it retains. Beginning earlier this year, a stockholder or group of up to 20 stockholders, owning 3% or more of the Company's outstanding Common Stock continuously for at least three years, can nominate director candidates, constituting up to 20% of the Board, in the Company's annual meeting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3188335</wp:posOffset>
            </wp:positionH>
            <wp:positionV relativeFrom="paragraph">
              <wp:posOffset>109220</wp:posOffset>
            </wp:positionV>
            <wp:extent cx="960120" cy="2838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2" w:lineRule="exact"/>
        <w:rPr>
          <w:sz w:val="20"/>
          <w:szCs w:val="20"/>
          <w:color w:val="auto"/>
        </w:rPr>
      </w:pPr>
    </w:p>
    <w:p>
      <w:pPr>
        <w:spacing w:after="0"/>
        <w:tabs>
          <w:tab w:leader="none" w:pos="380" w:val="left"/>
        </w:tabs>
        <w:rPr>
          <w:sz w:val="20"/>
          <w:szCs w:val="20"/>
          <w:color w:val="auto"/>
        </w:rPr>
      </w:pPr>
      <w:r>
        <w:rPr>
          <w:rFonts w:ascii="Arial" w:cs="Arial" w:eastAsia="Arial" w:hAnsi="Arial"/>
          <w:sz w:val="15"/>
          <w:szCs w:val="15"/>
          <w:color w:val="009CCC"/>
        </w:rPr>
        <w:t>6</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9" w:name="page10"/>
    <w:bookmarkEnd w:id="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Proposal One—Election of Directors</w:t>
      </w:r>
    </w:p>
    <w:p>
      <w:pPr>
        <w:spacing w:after="0" w:line="227"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The Board has three classes, each having a three-year term. All of the nominees are currently Directors of Principal. We expect that all the nominees will be able and willing to serve if elected. However, if, prior to the annual meeting of shareholders, any nominee should become unable for any reason or unwilling for good cause to serve, proxies may be voted at the 2018 Annual Meeting for another person nominated as a substitute by the Board, or the Board may reduce the number of directors.</w:t>
      </w:r>
    </w:p>
    <w:p>
      <w:pPr>
        <w:spacing w:after="0" w:line="175" w:lineRule="exact"/>
        <w:rPr>
          <w:sz w:val="20"/>
          <w:szCs w:val="20"/>
          <w:color w:val="auto"/>
        </w:rPr>
      </w:pPr>
    </w:p>
    <w:p>
      <w:pPr>
        <w:spacing w:after="0"/>
        <w:rPr>
          <w:sz w:val="20"/>
          <w:szCs w:val="20"/>
          <w:color w:val="auto"/>
        </w:rPr>
      </w:pPr>
      <w:r>
        <w:rPr>
          <w:rFonts w:ascii="Arial" w:cs="Arial" w:eastAsia="Arial" w:hAnsi="Arial"/>
          <w:sz w:val="15"/>
          <w:szCs w:val="15"/>
          <w:color w:val="7B7C80"/>
        </w:rPr>
        <w:t>Mr. Ferro is not seeking reelection as he has reached Principal's mandatory retirement age for Directors.</w:t>
      </w:r>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The Board of Directors recommends that shareholders vote "For" all the nominees for election at the Annual Meeting.</w:t>
      </w:r>
    </w:p>
    <w:p>
      <w:pPr>
        <w:spacing w:after="0" w:line="183"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Nominees for Class II Directors With Terms Expiring in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125730</wp:posOffset>
            </wp:positionV>
            <wp:extent cx="7267575" cy="20294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67575" cy="2029460"/>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p>
      <w:pPr>
        <w:spacing w:after="0" w:line="200" w:lineRule="exact"/>
        <w:rPr>
          <w:sz w:val="20"/>
          <w:szCs w:val="20"/>
          <w:color w:val="auto"/>
        </w:rPr>
      </w:pPr>
    </w:p>
    <w:p>
      <w:pPr>
        <w:spacing w:after="0" w:line="223" w:lineRule="exact"/>
        <w:rPr>
          <w:sz w:val="20"/>
          <w:szCs w:val="20"/>
          <w:color w:val="auto"/>
        </w:rPr>
      </w:pPr>
    </w:p>
    <w:p>
      <w:pPr>
        <w:ind w:left="120"/>
        <w:spacing w:after="0"/>
        <w:rPr>
          <w:sz w:val="20"/>
          <w:szCs w:val="20"/>
          <w:color w:val="auto"/>
        </w:rPr>
      </w:pPr>
      <w:r>
        <w:rPr>
          <w:rFonts w:ascii="Arial" w:cs="Arial" w:eastAsia="Arial" w:hAnsi="Arial"/>
          <w:sz w:val="14"/>
          <w:szCs w:val="14"/>
          <w:b w:val="1"/>
          <w:bCs w:val="1"/>
          <w:color w:val="009CCC"/>
        </w:rPr>
        <w:t>Diane C. Nordin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58</w:t>
      </w:r>
    </w:p>
    <w:p>
      <w:pPr>
        <w:ind w:left="120"/>
        <w:spacing w:after="0"/>
        <w:rPr>
          <w:sz w:val="20"/>
          <w:szCs w:val="20"/>
          <w:color w:val="auto"/>
        </w:rPr>
      </w:pPr>
      <w:r>
        <w:rPr>
          <w:rFonts w:ascii="Arial" w:cs="Arial" w:eastAsia="Arial" w:hAnsi="Arial"/>
          <w:sz w:val="12"/>
          <w:szCs w:val="12"/>
          <w:color w:val="7B7C80"/>
        </w:rPr>
        <w:t>Director Since: 2017</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00"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Audit (effective October 25, 2017)</w:t>
      </w:r>
    </w:p>
    <w:p>
      <w:pPr>
        <w:spacing w:after="0" w:line="13" w:lineRule="exact"/>
        <w:rPr>
          <w:sz w:val="20"/>
          <w:szCs w:val="20"/>
          <w:color w:val="auto"/>
        </w:rPr>
      </w:pPr>
    </w:p>
    <w:p>
      <w:pPr>
        <w:spacing w:after="0"/>
        <w:rPr>
          <w:sz w:val="20"/>
          <w:szCs w:val="20"/>
          <w:color w:val="auto"/>
        </w:rPr>
      </w:pPr>
      <w:r>
        <w:rPr>
          <w:rFonts w:ascii="Arial" w:cs="Arial" w:eastAsia="Arial" w:hAnsi="Arial"/>
          <w:sz w:val="12"/>
          <w:szCs w:val="12"/>
          <w:color w:val="7B7C80"/>
        </w:rPr>
        <w:t>Human Resources (effective October 25, 2017)</w:t>
      </w:r>
    </w:p>
    <w:p>
      <w:pPr>
        <w:spacing w:after="0"/>
        <w:rPr>
          <w:sz w:val="20"/>
          <w:szCs w:val="20"/>
          <w:color w:val="auto"/>
        </w:rPr>
      </w:pPr>
      <w:r>
        <w:rPr>
          <w:rFonts w:ascii="Arial" w:cs="Arial" w:eastAsia="Arial" w:hAnsi="Arial"/>
          <w:sz w:val="12"/>
          <w:szCs w:val="12"/>
          <w:color w:val="7B7C80"/>
        </w:rPr>
        <w:t>Strategic Issues (effective November 28, 2017)</w:t>
      </w:r>
    </w:p>
    <w:p>
      <w:pPr>
        <w:spacing w:after="0" w:line="169"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Public Directorships/Past 5 Years: </w:t>
      </w:r>
      <w:r>
        <w:rPr>
          <w:rFonts w:ascii="Arial" w:cs="Arial" w:eastAsia="Arial" w:hAnsi="Arial"/>
          <w:sz w:val="12"/>
          <w:szCs w:val="12"/>
          <w:color w:val="7B7C80"/>
        </w:rPr>
        <w:t>Fannie Mae (Audit and Executive Committees, Chair of the Compensation Committee).</w:t>
      </w:r>
    </w:p>
    <w:p>
      <w:pPr>
        <w:spacing w:after="0" w:line="197" w:lineRule="exact"/>
        <w:rPr>
          <w:sz w:val="20"/>
          <w:szCs w:val="20"/>
          <w:color w:val="auto"/>
        </w:rPr>
      </w:pPr>
    </w:p>
    <w:p>
      <w:pPr>
        <w:jc w:val="both"/>
        <w:spacing w:after="0" w:line="241" w:lineRule="auto"/>
        <w:rPr>
          <w:sz w:val="20"/>
          <w:szCs w:val="20"/>
          <w:color w:val="auto"/>
        </w:rPr>
      </w:pPr>
      <w:r>
        <w:rPr>
          <w:rFonts w:ascii="Arial" w:cs="Arial" w:eastAsia="Arial" w:hAnsi="Arial"/>
          <w:sz w:val="12"/>
          <w:szCs w:val="12"/>
          <w:color w:val="7B7C80"/>
        </w:rPr>
        <w:t>Ms. Nordin was a partner of Wellington Management Company, LLP, a private asset management company, from December 1995 to December 2011, and originally joined Wellington in 1991. Throughout her tenure, Ms. Nordin's responsibilities spanned product management, client relationship management and ultimately the oversight of Wellington's Fixed Income group where she presided over roughly 20 investment approaches and 130 investors globally. During her time at Wellington, Ms. Nordin served as Vice Chair of the Compensation Committee and Audit Chair of the Wellington Management Trust Company. Prior to joining Wellington, she worked at Fidelity Investments and Putnam Advisory. Ms. Nordin is a Director of Fannie Mae (since 2013) where she serves on the Audit Committee and chairs the Compensation Committee. Also, she is a Director of Antares Capital, where she is Chair of the Compensation Committee (since 2016). She is a governor of the CFA Institute (2016—present) where she chairs the Audit and Risk Committee, a Trustee of Wheaton College (since 2010) where she chairs the Investment Committee, and Board member of the Appalachian Mountain Club where she chairs the Investment Committee (2012).</w:t>
      </w:r>
    </w:p>
    <w:p>
      <w:pPr>
        <w:spacing w:after="0" w:line="161" w:lineRule="exact"/>
        <w:rPr>
          <w:sz w:val="20"/>
          <w:szCs w:val="20"/>
          <w:color w:val="auto"/>
        </w:rPr>
      </w:pPr>
    </w:p>
    <w:p>
      <w:pPr>
        <w:jc w:val="both"/>
        <w:spacing w:after="0" w:line="278"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In addition to her extensive experience in the asset management business, Ms. Nordin has executive level experience in accounting and</w:t>
      </w:r>
      <w:r>
        <w:rPr>
          <w:rFonts w:ascii="Arial" w:cs="Arial" w:eastAsia="Arial" w:hAnsi="Arial"/>
          <w:sz w:val="12"/>
          <w:szCs w:val="12"/>
          <w:b w:val="1"/>
          <w:bCs w:val="1"/>
          <w:color w:val="7B7C80"/>
        </w:rPr>
        <w:t xml:space="preserve"> </w:t>
      </w:r>
      <w:r>
        <w:rPr>
          <w:rFonts w:ascii="Arial" w:cs="Arial" w:eastAsia="Arial" w:hAnsi="Arial"/>
          <w:sz w:val="12"/>
          <w:szCs w:val="12"/>
          <w:color w:val="7B7C80"/>
        </w:rPr>
        <w:t>finance, executive compensation, financial services, international operations, product development, risk management and strategic planning.</w:t>
      </w:r>
    </w:p>
    <w:p>
      <w:pPr>
        <w:spacing w:after="0" w:line="139"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degree from Wheaton College. Ms. Nordin is a Chartered Financial Analyst.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-1566545</wp:posOffset>
            </wp:positionH>
            <wp:positionV relativeFrom="paragraph">
              <wp:posOffset>137160</wp:posOffset>
            </wp:positionV>
            <wp:extent cx="7267575" cy="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67575" cy="6985"/>
                    </a:xfrm>
                    <a:prstGeom prst="rect">
                      <a:avLst/>
                    </a:prstGeom>
                    <a:noFill/>
                  </pic:spPr>
                </pic:pic>
              </a:graphicData>
            </a:graphic>
          </wp:anchor>
        </w:drawing>
        <w:drawing>
          <wp:anchor simplePos="0" relativeHeight="251657728" behindDoc="1" locked="0" layoutInCell="0" allowOverlap="1">
            <wp:simplePos x="0" y="0"/>
            <wp:positionH relativeFrom="column">
              <wp:posOffset>1517015</wp:posOffset>
            </wp:positionH>
            <wp:positionV relativeFrom="paragraph">
              <wp:posOffset>260350</wp:posOffset>
            </wp:positionV>
            <wp:extent cx="960120" cy="2838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2" w:lineRule="exact"/>
        <w:rPr>
          <w:sz w:val="20"/>
          <w:szCs w:val="20"/>
          <w:color w:val="auto"/>
        </w:rPr>
      </w:pPr>
    </w:p>
    <w:p>
      <w:pPr>
        <w:sectPr>
          <w:pgSz w:w="11900" w:h="16838" w:orient="portrait"/>
          <w:cols w:equalWidth="0" w:num="2">
            <w:col w:w="1740" w:space="720"/>
            <w:col w:w="8980"/>
          </w:cols>
          <w:pgMar w:left="240" w:top="142" w:right="219" w:bottom="1440" w:gutter="0" w:footer="0" w:header="0"/>
          <w:type w:val="continuous"/>
        </w:sectPr>
      </w:pPr>
    </w:p>
    <w:p>
      <w:pPr>
        <w:spacing w:after="0" w:line="268"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80" w:type="dxa"/>
            <w:vAlign w:val="bottom"/>
          </w:tcPr>
          <w:p>
            <w:pPr>
              <w:ind w:left="9540"/>
              <w:spacing w:after="0"/>
              <w:rPr>
                <w:sz w:val="20"/>
                <w:szCs w:val="20"/>
                <w:color w:val="auto"/>
              </w:rPr>
            </w:pPr>
            <w:r>
              <w:rPr>
                <w:rFonts w:ascii="Arial" w:cs="Arial" w:eastAsia="Arial" w:hAnsi="Arial"/>
                <w:sz w:val="15"/>
                <w:szCs w:val="15"/>
                <w:color w:val="7B7C80"/>
              </w:rPr>
              <w:t>2018 Proxy Statement</w:t>
            </w:r>
          </w:p>
        </w:tc>
        <w:tc>
          <w:tcPr>
            <w:tcW w:w="260" w:type="dxa"/>
            <w:vAlign w:val="bottom"/>
          </w:tcPr>
          <w:p>
            <w:pPr>
              <w:jc w:val="right"/>
              <w:spacing w:after="0"/>
              <w:rPr>
                <w:sz w:val="20"/>
                <w:szCs w:val="20"/>
                <w:color w:val="auto"/>
              </w:rPr>
            </w:pPr>
            <w:r>
              <w:rPr>
                <w:rFonts w:ascii="Arial" w:cs="Arial" w:eastAsia="Arial" w:hAnsi="Arial"/>
                <w:sz w:val="15"/>
                <w:szCs w:val="15"/>
                <w:color w:val="009CCC"/>
              </w:rPr>
              <w:t>7</w:t>
            </w:r>
          </w:p>
        </w:tc>
      </w:tr>
      <w:tr>
        <w:trPr>
          <w:trHeight w:val="318"/>
        </w:trPr>
        <w:tc>
          <w:tcPr>
            <w:tcW w:w="11180" w:type="dxa"/>
            <w:vAlign w:val="bottom"/>
            <w:tcBorders>
              <w:bottom w:val="single" w:sz="8" w:color="808080"/>
            </w:tcBorders>
          </w:tcPr>
          <w:p>
            <w:pPr>
              <w:spacing w:after="0"/>
              <w:rPr>
                <w:sz w:val="24"/>
                <w:szCs w:val="24"/>
                <w:color w:val="auto"/>
              </w:rPr>
            </w:pPr>
          </w:p>
        </w:tc>
        <w:tc>
          <w:tcPr>
            <w:tcW w:w="26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type w:val="continuous"/>
        </w:sectPr>
      </w:pPr>
    </w:p>
    <w:bookmarkStart w:id="10" w:name="page11"/>
    <w:bookmarkEnd w:id="10"/>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114300</wp:posOffset>
            </wp:positionV>
            <wp:extent cx="7267575" cy="202946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67575" cy="2029460"/>
                    </a:xfrm>
                    <a:prstGeom prst="rect">
                      <a:avLst/>
                    </a:prstGeom>
                    <a:noFill/>
                  </pic:spPr>
                </pic:pic>
              </a:graphicData>
            </a:graphic>
          </wp:anchor>
        </w:drawing>
      </w:r>
    </w:p>
    <w:p>
      <w:pPr>
        <w:spacing w:after="0" w:line="385" w:lineRule="exact"/>
        <w:rPr>
          <w:sz w:val="20"/>
          <w:szCs w:val="20"/>
          <w:color w:val="auto"/>
        </w:rPr>
      </w:pPr>
    </w:p>
    <w:tbl>
      <w:tblPr>
        <w:tblLayout w:type="fixed"/>
        <w:tblInd w:w="128" w:type="dxa"/>
        <w:tblCellMar>
          <w:top w:w="0" w:type="dxa"/>
          <w:left w:w="0" w:type="dxa"/>
          <w:bottom w:w="0" w:type="dxa"/>
          <w:right w:w="0" w:type="dxa"/>
        </w:tblCellMar>
      </w:tblPr>
      <w:tr>
        <w:trPr>
          <w:trHeight w:val="197"/>
        </w:trPr>
        <w:tc>
          <w:tcPr>
            <w:tcW w:w="1900" w:type="dxa"/>
            <w:vAlign w:val="bottom"/>
          </w:tcPr>
          <w:p>
            <w:pPr>
              <w:spacing w:after="0"/>
              <w:rPr>
                <w:sz w:val="20"/>
                <w:szCs w:val="20"/>
                <w:color w:val="auto"/>
              </w:rPr>
            </w:pPr>
            <w:r>
              <w:rPr>
                <w:rFonts w:ascii="Arial" w:cs="Arial" w:eastAsia="Arial" w:hAnsi="Arial"/>
                <w:sz w:val="15"/>
                <w:szCs w:val="15"/>
                <w:b w:val="1"/>
                <w:bCs w:val="1"/>
                <w:color w:val="009CCC"/>
              </w:rPr>
              <w:t>Roger C. Hochschild</w:t>
            </w:r>
          </w:p>
        </w:tc>
        <w:tc>
          <w:tcPr>
            <w:tcW w:w="9420" w:type="dxa"/>
            <w:vAlign w:val="bottom"/>
            <w:vMerge w:val="restart"/>
          </w:tcPr>
          <w:p>
            <w:pPr>
              <w:ind w:left="440"/>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Strategic Issues</w:t>
            </w:r>
          </w:p>
        </w:tc>
        <w:tc>
          <w:tcPr>
            <w:tcW w:w="0" w:type="dxa"/>
            <w:vAlign w:val="bottom"/>
          </w:tcPr>
          <w:p>
            <w:pPr>
              <w:spacing w:after="0"/>
              <w:rPr>
                <w:sz w:val="1"/>
                <w:szCs w:val="1"/>
                <w:color w:val="auto"/>
              </w:rPr>
            </w:pPr>
          </w:p>
        </w:tc>
      </w:tr>
      <w:tr>
        <w:trPr>
          <w:trHeight w:val="52"/>
        </w:trPr>
        <w:tc>
          <w:tcPr>
            <w:tcW w:w="1900" w:type="dxa"/>
            <w:vAlign w:val="bottom"/>
          </w:tcPr>
          <w:p>
            <w:pPr>
              <w:spacing w:after="0"/>
              <w:rPr>
                <w:sz w:val="4"/>
                <w:szCs w:val="4"/>
                <w:color w:val="auto"/>
              </w:rPr>
            </w:pPr>
          </w:p>
        </w:tc>
        <w:tc>
          <w:tcPr>
            <w:tcW w:w="942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37"/>
        </w:trPr>
        <w:tc>
          <w:tcPr>
            <w:tcW w:w="1900" w:type="dxa"/>
            <w:vAlign w:val="bottom"/>
          </w:tcPr>
          <w:p>
            <w:pPr>
              <w:spacing w:after="0"/>
              <w:rPr>
                <w:sz w:val="11"/>
                <w:szCs w:val="11"/>
                <w:color w:val="auto"/>
              </w:rPr>
            </w:pPr>
          </w:p>
        </w:tc>
        <w:tc>
          <w:tcPr>
            <w:tcW w:w="9420" w:type="dxa"/>
            <w:vAlign w:val="bottom"/>
          </w:tcPr>
          <w:p>
            <w:pPr>
              <w:ind w:left="440"/>
              <w:spacing w:after="0"/>
              <w:rPr>
                <w:sz w:val="20"/>
                <w:szCs w:val="20"/>
                <w:color w:val="auto"/>
              </w:rPr>
            </w:pPr>
            <w:r>
              <w:rPr>
                <w:rFonts w:ascii="Arial" w:cs="Arial" w:eastAsia="Arial" w:hAnsi="Arial"/>
                <w:sz w:val="12"/>
                <w:szCs w:val="12"/>
                <w:color w:val="7B7C80"/>
              </w:rPr>
              <w:t>Audit</w:t>
            </w:r>
          </w:p>
        </w:tc>
        <w:tc>
          <w:tcPr>
            <w:tcW w:w="0" w:type="dxa"/>
            <w:vAlign w:val="bottom"/>
          </w:tcPr>
          <w:p>
            <w:pPr>
              <w:spacing w:after="0"/>
              <w:rPr>
                <w:sz w:val="1"/>
                <w:szCs w:val="1"/>
                <w:color w:val="auto"/>
              </w:rPr>
            </w:pPr>
          </w:p>
        </w:tc>
      </w:tr>
      <w:tr>
        <w:trPr>
          <w:trHeight w:val="147"/>
        </w:trPr>
        <w:tc>
          <w:tcPr>
            <w:tcW w:w="1900" w:type="dxa"/>
            <w:vAlign w:val="bottom"/>
          </w:tcPr>
          <w:p>
            <w:pPr>
              <w:spacing w:after="0"/>
              <w:rPr>
                <w:sz w:val="12"/>
                <w:szCs w:val="12"/>
                <w:color w:val="auto"/>
              </w:rPr>
            </w:pPr>
          </w:p>
        </w:tc>
        <w:tc>
          <w:tcPr>
            <w:tcW w:w="9420" w:type="dxa"/>
            <w:vAlign w:val="bottom"/>
          </w:tcPr>
          <w:p>
            <w:pPr>
              <w:ind w:left="440"/>
              <w:spacing w:after="0"/>
              <w:rPr>
                <w:sz w:val="20"/>
                <w:szCs w:val="20"/>
                <w:color w:val="auto"/>
              </w:rPr>
            </w:pPr>
            <w:r>
              <w:rPr>
                <w:rFonts w:ascii="Arial" w:cs="Arial" w:eastAsia="Arial" w:hAnsi="Arial"/>
                <w:sz w:val="12"/>
                <w:szCs w:val="12"/>
                <w:color w:val="7B7C80"/>
              </w:rPr>
              <w:t>Human Resources</w:t>
            </w:r>
          </w:p>
        </w:tc>
        <w:tc>
          <w:tcPr>
            <w:tcW w:w="0" w:type="dxa"/>
            <w:vAlign w:val="bottom"/>
          </w:tcPr>
          <w:p>
            <w:pPr>
              <w:spacing w:after="0"/>
              <w:rPr>
                <w:sz w:val="1"/>
                <w:szCs w:val="1"/>
                <w:color w:val="auto"/>
              </w:rPr>
            </w:pPr>
          </w:p>
        </w:tc>
      </w:tr>
      <w:tr>
        <w:trPr>
          <w:trHeight w:val="312"/>
        </w:trPr>
        <w:tc>
          <w:tcPr>
            <w:tcW w:w="1900" w:type="dxa"/>
            <w:vAlign w:val="bottom"/>
          </w:tcPr>
          <w:p>
            <w:pPr>
              <w:spacing w:after="0"/>
              <w:rPr>
                <w:sz w:val="24"/>
                <w:szCs w:val="24"/>
                <w:color w:val="auto"/>
              </w:rPr>
            </w:pPr>
          </w:p>
        </w:tc>
        <w:tc>
          <w:tcPr>
            <w:tcW w:w="9420" w:type="dxa"/>
            <w:vAlign w:val="bottom"/>
          </w:tcPr>
          <w:p>
            <w:pPr>
              <w:ind w:left="440"/>
              <w:spacing w:after="0"/>
              <w:rPr>
                <w:sz w:val="20"/>
                <w:szCs w:val="20"/>
                <w:color w:val="auto"/>
              </w:rPr>
            </w:pPr>
            <w:r>
              <w:rPr>
                <w:rFonts w:ascii="Arial" w:cs="Arial" w:eastAsia="Arial" w:hAnsi="Arial"/>
                <w:sz w:val="12"/>
                <w:szCs w:val="12"/>
                <w:color w:val="7B7C80"/>
              </w:rPr>
              <w:t>Mr. Hochschild has been the President and Chief Operating Officer of Discover Financial Services since 2004. He served as the Chief Administrative Officer,</w:t>
            </w:r>
          </w:p>
        </w:tc>
        <w:tc>
          <w:tcPr>
            <w:tcW w:w="0" w:type="dxa"/>
            <w:vAlign w:val="bottom"/>
          </w:tcPr>
          <w:p>
            <w:pPr>
              <w:spacing w:after="0"/>
              <w:rPr>
                <w:sz w:val="1"/>
                <w:szCs w:val="1"/>
                <w:color w:val="auto"/>
              </w:rPr>
            </w:pPr>
          </w:p>
        </w:tc>
      </w:tr>
      <w:tr>
        <w:trPr>
          <w:trHeight w:val="137"/>
        </w:trPr>
        <w:tc>
          <w:tcPr>
            <w:tcW w:w="1900" w:type="dxa"/>
            <w:vAlign w:val="bottom"/>
          </w:tcPr>
          <w:p>
            <w:pPr>
              <w:spacing w:after="0"/>
              <w:rPr>
                <w:sz w:val="11"/>
                <w:szCs w:val="11"/>
                <w:color w:val="auto"/>
              </w:rPr>
            </w:pPr>
          </w:p>
        </w:tc>
        <w:tc>
          <w:tcPr>
            <w:tcW w:w="9420" w:type="dxa"/>
            <w:vAlign w:val="bottom"/>
          </w:tcPr>
          <w:p>
            <w:pPr>
              <w:ind w:left="440"/>
              <w:spacing w:after="0"/>
              <w:rPr>
                <w:sz w:val="20"/>
                <w:szCs w:val="20"/>
                <w:color w:val="auto"/>
              </w:rPr>
            </w:pPr>
            <w:r>
              <w:rPr>
                <w:rFonts w:ascii="Arial" w:cs="Arial" w:eastAsia="Arial" w:hAnsi="Arial"/>
                <w:sz w:val="12"/>
                <w:szCs w:val="12"/>
                <w:color w:val="7B7C80"/>
              </w:rPr>
              <w:t>Executive Vice President and Chief Strategy Officer of Morgan Stanley from 2001 to 2004, Chief Marketing Officer of Discover Financial Services from 1998 to 2001</w:t>
            </w:r>
          </w:p>
        </w:tc>
        <w:tc>
          <w:tcPr>
            <w:tcW w:w="0" w:type="dxa"/>
            <w:vAlign w:val="bottom"/>
          </w:tcPr>
          <w:p>
            <w:pPr>
              <w:spacing w:after="0"/>
              <w:rPr>
                <w:sz w:val="1"/>
                <w:szCs w:val="1"/>
                <w:color w:val="auto"/>
              </w:rPr>
            </w:pPr>
          </w:p>
        </w:tc>
      </w:tr>
      <w:tr>
        <w:trPr>
          <w:trHeight w:val="147"/>
        </w:trPr>
        <w:tc>
          <w:tcPr>
            <w:tcW w:w="1900" w:type="dxa"/>
            <w:vAlign w:val="bottom"/>
          </w:tcPr>
          <w:p>
            <w:pPr>
              <w:spacing w:after="0"/>
              <w:rPr>
                <w:sz w:val="12"/>
                <w:szCs w:val="12"/>
                <w:color w:val="auto"/>
              </w:rPr>
            </w:pPr>
          </w:p>
        </w:tc>
        <w:tc>
          <w:tcPr>
            <w:tcW w:w="9420" w:type="dxa"/>
            <w:vAlign w:val="bottom"/>
          </w:tcPr>
          <w:p>
            <w:pPr>
              <w:ind w:left="440"/>
              <w:spacing w:after="0"/>
              <w:rPr>
                <w:sz w:val="20"/>
                <w:szCs w:val="20"/>
                <w:color w:val="auto"/>
              </w:rPr>
            </w:pPr>
            <w:r>
              <w:rPr>
                <w:rFonts w:ascii="Arial" w:cs="Arial" w:eastAsia="Arial" w:hAnsi="Arial"/>
                <w:sz w:val="12"/>
                <w:szCs w:val="12"/>
                <w:color w:val="7B7C80"/>
              </w:rPr>
              <w:t>and a Senior Executive Vice President of MBNA America Bank from 1994 to 1998. He has been a Director for Chicago Public Media since October of 2016.</w:t>
            </w:r>
          </w:p>
        </w:tc>
        <w:tc>
          <w:tcPr>
            <w:tcW w:w="0" w:type="dxa"/>
            <w:vAlign w:val="bottom"/>
          </w:tcPr>
          <w:p>
            <w:pPr>
              <w:spacing w:after="0"/>
              <w:rPr>
                <w:sz w:val="1"/>
                <w:szCs w:val="1"/>
                <w:color w:val="auto"/>
              </w:rPr>
            </w:pPr>
          </w:p>
        </w:tc>
      </w:tr>
      <w:tr>
        <w:trPr>
          <w:trHeight w:val="312"/>
        </w:trPr>
        <w:tc>
          <w:tcPr>
            <w:tcW w:w="1900" w:type="dxa"/>
            <w:vAlign w:val="bottom"/>
          </w:tcPr>
          <w:p>
            <w:pPr>
              <w:spacing w:after="0"/>
              <w:rPr>
                <w:sz w:val="24"/>
                <w:szCs w:val="24"/>
                <w:color w:val="auto"/>
              </w:rPr>
            </w:pPr>
          </w:p>
        </w:tc>
        <w:tc>
          <w:tcPr>
            <w:tcW w:w="9420" w:type="dxa"/>
            <w:vAlign w:val="bottom"/>
          </w:tcPr>
          <w:p>
            <w:pPr>
              <w:ind w:left="440"/>
              <w:spacing w:after="0"/>
              <w:rPr>
                <w:sz w:val="20"/>
                <w:szCs w:val="20"/>
                <w:color w:val="auto"/>
              </w:rPr>
            </w:pPr>
            <w:r>
              <w:rPr>
                <w:rFonts w:ascii="Arial" w:cs="Arial" w:eastAsia="Arial" w:hAnsi="Arial"/>
                <w:sz w:val="12"/>
                <w:szCs w:val="12"/>
                <w:b w:val="1"/>
                <w:bCs w:val="1"/>
                <w:color w:val="7B7C80"/>
              </w:rPr>
              <w:t>Skills and Qualifications</w:t>
            </w:r>
            <w:r>
              <w:rPr>
                <w:rFonts w:ascii="Arial" w:cs="Arial" w:eastAsia="Arial" w:hAnsi="Arial"/>
                <w:sz w:val="12"/>
                <w:szCs w:val="12"/>
                <w:color w:val="7B7C80"/>
              </w:rPr>
              <w:t>: Mr. Hochschild has executive level experience in asset and investment management, retail consumer services, executive compensation,</w:t>
            </w:r>
          </w:p>
        </w:tc>
        <w:tc>
          <w:tcPr>
            <w:tcW w:w="0" w:type="dxa"/>
            <w:vAlign w:val="bottom"/>
          </w:tcPr>
          <w:p>
            <w:pPr>
              <w:spacing w:after="0"/>
              <w:rPr>
                <w:sz w:val="1"/>
                <w:szCs w:val="1"/>
                <w:color w:val="auto"/>
              </w:rPr>
            </w:pPr>
          </w:p>
        </w:tc>
      </w:tr>
      <w:tr>
        <w:trPr>
          <w:trHeight w:val="147"/>
        </w:trPr>
        <w:tc>
          <w:tcPr>
            <w:tcW w:w="1900" w:type="dxa"/>
            <w:vAlign w:val="bottom"/>
          </w:tcPr>
          <w:p>
            <w:pPr>
              <w:spacing w:after="0"/>
              <w:rPr>
                <w:sz w:val="12"/>
                <w:szCs w:val="12"/>
                <w:color w:val="auto"/>
              </w:rPr>
            </w:pPr>
          </w:p>
        </w:tc>
        <w:tc>
          <w:tcPr>
            <w:tcW w:w="9420" w:type="dxa"/>
            <w:vAlign w:val="bottom"/>
          </w:tcPr>
          <w:p>
            <w:pPr>
              <w:ind w:left="440"/>
              <w:spacing w:after="0"/>
              <w:rPr>
                <w:sz w:val="20"/>
                <w:szCs w:val="20"/>
                <w:color w:val="auto"/>
              </w:rPr>
            </w:pPr>
            <w:r>
              <w:rPr>
                <w:rFonts w:ascii="Arial" w:cs="Arial" w:eastAsia="Arial" w:hAnsi="Arial"/>
                <w:sz w:val="12"/>
                <w:szCs w:val="12"/>
                <w:color w:val="7B7C80"/>
              </w:rPr>
              <w:t>financial services, marketing, mergers &amp; acquisitions, product development, risk management and strategic planning.</w:t>
            </w:r>
          </w:p>
        </w:tc>
        <w:tc>
          <w:tcPr>
            <w:tcW w:w="0" w:type="dxa"/>
            <w:vAlign w:val="bottom"/>
          </w:tcPr>
          <w:p>
            <w:pPr>
              <w:spacing w:after="0"/>
              <w:rPr>
                <w:sz w:val="1"/>
                <w:szCs w:val="1"/>
                <w:color w:val="auto"/>
              </w:rPr>
            </w:pPr>
          </w:p>
        </w:tc>
      </w:tr>
      <w:tr>
        <w:trPr>
          <w:trHeight w:val="321"/>
        </w:trPr>
        <w:tc>
          <w:tcPr>
            <w:tcW w:w="1900" w:type="dxa"/>
            <w:vAlign w:val="bottom"/>
          </w:tcPr>
          <w:p>
            <w:pPr>
              <w:spacing w:after="0"/>
              <w:rPr>
                <w:sz w:val="24"/>
                <w:szCs w:val="24"/>
                <w:color w:val="auto"/>
              </w:rPr>
            </w:pPr>
          </w:p>
        </w:tc>
        <w:tc>
          <w:tcPr>
            <w:tcW w:w="9420" w:type="dxa"/>
            <w:vAlign w:val="bottom"/>
          </w:tcPr>
          <w:p>
            <w:pPr>
              <w:ind w:left="440"/>
              <w:spacing w:after="0"/>
              <w:rPr>
                <w:sz w:val="20"/>
                <w:szCs w:val="20"/>
                <w:color w:val="auto"/>
              </w:rPr>
            </w:pPr>
            <w:r>
              <w:rPr>
                <w:rFonts w:ascii="Arial" w:cs="Arial" w:eastAsia="Arial" w:hAnsi="Arial"/>
                <w:sz w:val="12"/>
                <w:szCs w:val="12"/>
                <w:b w:val="1"/>
                <w:bCs w:val="1"/>
                <w:color w:val="7B7C80"/>
              </w:rPr>
              <w:t>Education</w:t>
            </w:r>
            <w:r>
              <w:rPr>
                <w:rFonts w:ascii="Arial" w:cs="Arial" w:eastAsia="Arial" w:hAnsi="Arial"/>
                <w:sz w:val="12"/>
                <w:szCs w:val="12"/>
                <w:color w:val="7B7C80"/>
              </w:rPr>
              <w:t>: Bachelor's degree in economics from Georgetown University, M.B.A. from the Amos Tuck School at Dartmouth College.</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128"/>
        <w:spacing w:after="0"/>
        <w:rPr>
          <w:sz w:val="20"/>
          <w:szCs w:val="20"/>
          <w:color w:val="auto"/>
        </w:rPr>
      </w:pPr>
      <w:r>
        <w:rPr>
          <w:rFonts w:ascii="Arial" w:cs="Arial" w:eastAsia="Arial" w:hAnsi="Arial"/>
          <w:sz w:val="12"/>
          <w:szCs w:val="12"/>
          <w:color w:val="7B7C80"/>
        </w:rPr>
        <w:t>Age: 53</w:t>
      </w:r>
    </w:p>
    <w:p>
      <w:pPr>
        <w:ind w:left="128"/>
        <w:spacing w:after="0"/>
        <w:rPr>
          <w:sz w:val="20"/>
          <w:szCs w:val="20"/>
          <w:color w:val="auto"/>
        </w:rPr>
      </w:pPr>
      <w:r>
        <w:rPr>
          <w:rFonts w:ascii="Arial" w:cs="Arial" w:eastAsia="Arial" w:hAnsi="Arial"/>
          <w:sz w:val="12"/>
          <w:szCs w:val="12"/>
          <w:color w:val="7B7C80"/>
        </w:rPr>
        <w:t>Director Since: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84455</wp:posOffset>
            </wp:positionV>
            <wp:extent cx="7267575" cy="202946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67575" cy="2029460"/>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p>
      <w:pPr>
        <w:spacing w:after="0" w:line="358" w:lineRule="exact"/>
        <w:rPr>
          <w:sz w:val="20"/>
          <w:szCs w:val="20"/>
          <w:color w:val="auto"/>
        </w:rPr>
      </w:pPr>
    </w:p>
    <w:p>
      <w:pPr>
        <w:ind w:left="128"/>
        <w:spacing w:after="0"/>
        <w:rPr>
          <w:sz w:val="20"/>
          <w:szCs w:val="20"/>
          <w:color w:val="auto"/>
        </w:rPr>
      </w:pPr>
      <w:r>
        <w:rPr>
          <w:rFonts w:ascii="Arial" w:cs="Arial" w:eastAsia="Arial" w:hAnsi="Arial"/>
          <w:sz w:val="14"/>
          <w:szCs w:val="14"/>
          <w:b w:val="1"/>
          <w:bCs w:val="1"/>
          <w:color w:val="009CCC"/>
        </w:rPr>
        <w:t>Daniel J. Houston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128"/>
        <w:spacing w:after="0"/>
        <w:rPr>
          <w:sz w:val="20"/>
          <w:szCs w:val="20"/>
          <w:color w:val="auto"/>
        </w:rPr>
      </w:pPr>
      <w:r>
        <w:rPr>
          <w:rFonts w:ascii="Arial" w:cs="Arial" w:eastAsia="Arial" w:hAnsi="Arial"/>
          <w:sz w:val="12"/>
          <w:szCs w:val="12"/>
          <w:color w:val="7B7C80"/>
        </w:rPr>
        <w:t>Age: 56</w:t>
      </w:r>
    </w:p>
    <w:p>
      <w:pPr>
        <w:ind w:left="128"/>
        <w:spacing w:after="0"/>
        <w:rPr>
          <w:sz w:val="20"/>
          <w:szCs w:val="20"/>
          <w:color w:val="auto"/>
        </w:rPr>
      </w:pPr>
      <w:r>
        <w:rPr>
          <w:rFonts w:ascii="Arial" w:cs="Arial" w:eastAsia="Arial" w:hAnsi="Arial"/>
          <w:sz w:val="12"/>
          <w:szCs w:val="12"/>
          <w:color w:val="7B7C80"/>
        </w:rPr>
        <w:t>Director Since: 2014</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5"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Executive</w:t>
      </w:r>
    </w:p>
    <w:p>
      <w:pPr>
        <w:spacing w:after="0" w:line="183"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Former Public Directorships/Past 5 Years: </w:t>
      </w:r>
      <w:r>
        <w:rPr>
          <w:rFonts w:ascii="Arial" w:cs="Arial" w:eastAsia="Arial" w:hAnsi="Arial"/>
          <w:sz w:val="12"/>
          <w:szCs w:val="12"/>
          <w:color w:val="7B7C80"/>
        </w:rPr>
        <w:t>Catalyst Health Solutions, Inc.</w:t>
      </w:r>
    </w:p>
    <w:p>
      <w:pPr>
        <w:spacing w:after="0" w:line="197" w:lineRule="exact"/>
        <w:rPr>
          <w:sz w:val="20"/>
          <w:szCs w:val="20"/>
          <w:color w:val="auto"/>
        </w:rPr>
      </w:pPr>
    </w:p>
    <w:p>
      <w:pPr>
        <w:jc w:val="both"/>
        <w:spacing w:after="0" w:line="242" w:lineRule="auto"/>
        <w:rPr>
          <w:sz w:val="20"/>
          <w:szCs w:val="20"/>
          <w:color w:val="auto"/>
        </w:rPr>
      </w:pPr>
      <w:r>
        <w:rPr>
          <w:rFonts w:ascii="Arial" w:cs="Arial" w:eastAsia="Arial" w:hAnsi="Arial"/>
          <w:sz w:val="12"/>
          <w:szCs w:val="12"/>
          <w:color w:val="7B7C80"/>
        </w:rPr>
        <w:t>Mr. Houston has been Chairman, President and Chief Executive Officer of the Company and Principal Life Insurance Company ("Principal Life") since 2016. Prior to that, he was President and Chief Executive Officer from August 2015—May 2016. He served as President and Chief Operating Officer from November 25, 2014— August 17, 2015. He joined Principal Life in 1984 and had several management positions, being named Senior Vice President in 2006 and President of Retirement and Income Solutions in 2008. He is a member of the boards of directors of the American Council of Life Insurers, Business Roundtable, Iowa Business Council, Greater Des Moines Partnership, Employee Benefits Research Institute, Iowa State University Business School Dean's Advisory Council, Partnership for a Healthier America and Community Foundation of Greater Des Moines.</w:t>
      </w:r>
    </w:p>
    <w:p>
      <w:pPr>
        <w:spacing w:after="0" w:line="159" w:lineRule="exact"/>
        <w:rPr>
          <w:sz w:val="20"/>
          <w:szCs w:val="20"/>
          <w:color w:val="auto"/>
        </w:rPr>
      </w:pPr>
    </w:p>
    <w:p>
      <w:pPr>
        <w:jc w:val="both"/>
        <w:spacing w:after="0" w:line="258"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Mr. Houston has operational expertise, global awareness, and deep talent leadership skills. During his career with the Company, he has</w:t>
      </w:r>
      <w:r>
        <w:rPr>
          <w:rFonts w:ascii="Arial" w:cs="Arial" w:eastAsia="Arial" w:hAnsi="Arial"/>
          <w:sz w:val="12"/>
          <w:szCs w:val="12"/>
          <w:b w:val="1"/>
          <w:bCs w:val="1"/>
          <w:color w:val="7B7C80"/>
        </w:rPr>
        <w:t xml:space="preserve"> </w:t>
      </w:r>
      <w:r>
        <w:rPr>
          <w:rFonts w:ascii="Arial" w:cs="Arial" w:eastAsia="Arial" w:hAnsi="Arial"/>
          <w:sz w:val="12"/>
          <w:szCs w:val="12"/>
          <w:color w:val="7B7C80"/>
        </w:rPr>
        <w:t>worked in sales, managed numerous businesses and helped lead the transformation of the Company to a global investment management leader. He has extensive operational experience, as well as expertise in risk management, executive compensation, marketing and sales, and mergers and acquisitions.</w:t>
      </w:r>
    </w:p>
    <w:p>
      <w:pPr>
        <w:spacing w:after="0" w:line="151"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of science degree from Iowa State University.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-1566545</wp:posOffset>
            </wp:positionH>
            <wp:positionV relativeFrom="paragraph">
              <wp:posOffset>398780</wp:posOffset>
            </wp:positionV>
            <wp:extent cx="7267575" cy="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67575" cy="6985"/>
                    </a:xfrm>
                    <a:prstGeom prst="rect">
                      <a:avLst/>
                    </a:prstGeom>
                    <a:noFill/>
                  </pic:spPr>
                </pic:pic>
              </a:graphicData>
            </a:graphic>
          </wp:anchor>
        </w:drawing>
        <w:drawing>
          <wp:anchor simplePos="0" relativeHeight="251657728" behindDoc="1" locked="0" layoutInCell="0" allowOverlap="1">
            <wp:simplePos x="0" y="0"/>
            <wp:positionH relativeFrom="column">
              <wp:posOffset>1626235</wp:posOffset>
            </wp:positionH>
            <wp:positionV relativeFrom="paragraph">
              <wp:posOffset>522605</wp:posOffset>
            </wp:positionV>
            <wp:extent cx="960120" cy="2838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695" w:lineRule="exact"/>
        <w:rPr>
          <w:sz w:val="20"/>
          <w:szCs w:val="20"/>
          <w:color w:val="auto"/>
        </w:rPr>
      </w:pPr>
    </w:p>
    <w:p>
      <w:pPr>
        <w:sectPr>
          <w:pgSz w:w="11900" w:h="16838" w:orient="portrait"/>
          <w:cols w:equalWidth="0" w:num="2">
            <w:col w:w="1748" w:space="720"/>
            <w:col w:w="8980"/>
          </w:cols>
          <w:pgMar w:left="232" w:top="142" w:right="219" w:bottom="1440" w:gutter="0" w:footer="0" w:header="0"/>
          <w:type w:val="continuous"/>
        </w:sectPr>
      </w:pPr>
    </w:p>
    <w:p>
      <w:pPr>
        <w:spacing w:after="0" w:line="268" w:lineRule="exact"/>
        <w:rPr>
          <w:sz w:val="20"/>
          <w:szCs w:val="20"/>
          <w:color w:val="auto"/>
        </w:rPr>
      </w:pPr>
    </w:p>
    <w:p>
      <w:pPr>
        <w:ind w:left="408" w:hanging="408"/>
        <w:spacing w:after="0"/>
        <w:tabs>
          <w:tab w:leader="none" w:pos="408" w:val="left"/>
        </w:tabs>
        <w:numPr>
          <w:ilvl w:val="0"/>
          <w:numId w:val="5"/>
        </w:numPr>
        <w:rPr>
          <w:rFonts w:ascii="Arial" w:cs="Arial" w:eastAsia="Arial" w:hAnsi="Arial"/>
          <w:sz w:val="14"/>
          <w:szCs w:val="14"/>
          <w:color w:val="009CCC"/>
        </w:rPr>
      </w:pPr>
      <w:r>
        <w:rPr>
          <w:rFonts w:ascii="Arial" w:cs="Arial" w:eastAsia="Arial" w:hAnsi="Arial"/>
          <w:sz w:val="14"/>
          <w:szCs w:val="14"/>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206375</wp:posOffset>
            </wp:positionV>
            <wp:extent cx="7272655" cy="196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type w:val="continuous"/>
        </w:sectPr>
      </w:pPr>
    </w:p>
    <w:bookmarkStart w:id="11" w:name="page12"/>
    <w:bookmarkEnd w:id="11"/>
    <w:p>
      <w:pPr>
        <w:spacing w:after="0"/>
        <w:rPr>
          <w:rFonts w:ascii="Arial" w:cs="Arial" w:eastAsia="Arial" w:hAnsi="Arial"/>
          <w:sz w:val="14"/>
          <w:szCs w:val="14"/>
          <w:u w:val="single" w:color="auto"/>
          <w:color w:val="0000EE"/>
        </w:rPr>
      </w:pPr>
      <w:hyperlink w:anchor="page5">
        <w:r>
          <w:rPr>
            <w:rFonts w:ascii="Arial" w:cs="Arial" w:eastAsia="Arial" w:hAnsi="Arial"/>
            <w:sz w:val="14"/>
            <w:szCs w:val="14"/>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121285</wp:posOffset>
            </wp:positionV>
            <wp:extent cx="7267575" cy="22186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67575" cy="2218690"/>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p>
      <w:pPr>
        <w:spacing w:after="0" w:line="200" w:lineRule="exact"/>
        <w:rPr>
          <w:sz w:val="20"/>
          <w:szCs w:val="20"/>
          <w:color w:val="auto"/>
        </w:rPr>
      </w:pPr>
    </w:p>
    <w:p>
      <w:pPr>
        <w:spacing w:after="0" w:line="217" w:lineRule="exact"/>
        <w:rPr>
          <w:sz w:val="20"/>
          <w:szCs w:val="20"/>
          <w:color w:val="auto"/>
        </w:rPr>
      </w:pPr>
    </w:p>
    <w:p>
      <w:pPr>
        <w:ind w:left="120"/>
        <w:spacing w:after="0"/>
        <w:rPr>
          <w:sz w:val="20"/>
          <w:szCs w:val="20"/>
          <w:color w:val="auto"/>
        </w:rPr>
      </w:pPr>
      <w:r>
        <w:rPr>
          <w:rFonts w:ascii="Arial" w:cs="Arial" w:eastAsia="Arial" w:hAnsi="Arial"/>
          <w:sz w:val="15"/>
          <w:szCs w:val="15"/>
          <w:b w:val="1"/>
          <w:bCs w:val="1"/>
          <w:color w:val="009CCC"/>
        </w:rPr>
        <w:t>Elizabeth E. Tallett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69</w:t>
      </w:r>
    </w:p>
    <w:p>
      <w:pPr>
        <w:ind w:left="120"/>
        <w:spacing w:after="0"/>
        <w:rPr>
          <w:sz w:val="20"/>
          <w:szCs w:val="20"/>
          <w:color w:val="auto"/>
        </w:rPr>
      </w:pPr>
      <w:r>
        <w:rPr>
          <w:rFonts w:ascii="Arial" w:cs="Arial" w:eastAsia="Arial" w:hAnsi="Arial"/>
          <w:sz w:val="12"/>
          <w:szCs w:val="12"/>
          <w:color w:val="7B7C80"/>
        </w:rPr>
        <w:t>Director Since: 1992 (Principal Life),</w:t>
      </w:r>
    </w:p>
    <w:p>
      <w:pPr>
        <w:ind w:left="120"/>
        <w:spacing w:after="0"/>
        <w:rPr>
          <w:sz w:val="20"/>
          <w:szCs w:val="20"/>
          <w:color w:val="auto"/>
        </w:rPr>
      </w:pPr>
      <w:r>
        <w:rPr>
          <w:rFonts w:ascii="Arial" w:cs="Arial" w:eastAsia="Arial" w:hAnsi="Arial"/>
          <w:sz w:val="12"/>
          <w:szCs w:val="12"/>
          <w:color w:val="7B7C80"/>
        </w:rPr>
        <w:t>2001 (the Company)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4"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Human Resources</w:t>
      </w:r>
    </w:p>
    <w:p>
      <w:pPr>
        <w:spacing w:after="0" w:line="13" w:lineRule="exact"/>
        <w:rPr>
          <w:sz w:val="20"/>
          <w:szCs w:val="20"/>
          <w:color w:val="auto"/>
        </w:rPr>
      </w:pPr>
    </w:p>
    <w:p>
      <w:pPr>
        <w:spacing w:after="0"/>
        <w:rPr>
          <w:sz w:val="20"/>
          <w:szCs w:val="20"/>
          <w:color w:val="auto"/>
        </w:rPr>
      </w:pPr>
      <w:r>
        <w:rPr>
          <w:rFonts w:ascii="Arial" w:cs="Arial" w:eastAsia="Arial" w:hAnsi="Arial"/>
          <w:sz w:val="12"/>
          <w:szCs w:val="12"/>
          <w:color w:val="7B7C80"/>
        </w:rPr>
        <w:t>Nominating and Governance</w:t>
      </w:r>
    </w:p>
    <w:p>
      <w:pPr>
        <w:spacing w:after="0"/>
        <w:rPr>
          <w:sz w:val="20"/>
          <w:szCs w:val="20"/>
          <w:color w:val="auto"/>
        </w:rPr>
      </w:pPr>
      <w:r>
        <w:rPr>
          <w:rFonts w:ascii="Arial" w:cs="Arial" w:eastAsia="Arial" w:hAnsi="Arial"/>
          <w:sz w:val="12"/>
          <w:szCs w:val="12"/>
          <w:color w:val="7B7C80"/>
        </w:rPr>
        <w:t>Executive</w:t>
      </w:r>
    </w:p>
    <w:p>
      <w:pPr>
        <w:spacing w:after="0" w:line="169" w:lineRule="exact"/>
        <w:rPr>
          <w:sz w:val="20"/>
          <w:szCs w:val="20"/>
          <w:color w:val="auto"/>
        </w:rPr>
      </w:pPr>
    </w:p>
    <w:p>
      <w:pPr>
        <w:jc w:val="both"/>
        <w:spacing w:after="0" w:line="278" w:lineRule="auto"/>
        <w:rPr>
          <w:sz w:val="20"/>
          <w:szCs w:val="20"/>
          <w:color w:val="auto"/>
        </w:rPr>
      </w:pPr>
      <w:r>
        <w:rPr>
          <w:rFonts w:ascii="Arial" w:cs="Arial" w:eastAsia="Arial" w:hAnsi="Arial"/>
          <w:sz w:val="12"/>
          <w:szCs w:val="12"/>
          <w:b w:val="1"/>
          <w:bCs w:val="1"/>
          <w:color w:val="7B7C80"/>
        </w:rPr>
        <w:t xml:space="preserve">Public Directorships/Past 5 Years (all current): </w:t>
      </w:r>
      <w:r>
        <w:rPr>
          <w:rFonts w:ascii="Arial" w:cs="Arial" w:eastAsia="Arial" w:hAnsi="Arial"/>
          <w:sz w:val="12"/>
          <w:szCs w:val="12"/>
          <w:color w:val="7B7C80"/>
        </w:rPr>
        <w:t>Meredith Corporation (Chair of Compensation and Nominating and Governance Committees), Qiagen, N. V. (Audit</w:t>
      </w:r>
      <w:r>
        <w:rPr>
          <w:rFonts w:ascii="Arial" w:cs="Arial" w:eastAsia="Arial" w:hAnsi="Arial"/>
          <w:sz w:val="12"/>
          <w:szCs w:val="12"/>
          <w:b w:val="1"/>
          <w:bCs w:val="1"/>
          <w:color w:val="7B7C80"/>
        </w:rPr>
        <w:t xml:space="preserve"> </w:t>
      </w:r>
      <w:r>
        <w:rPr>
          <w:rFonts w:ascii="Arial" w:cs="Arial" w:eastAsia="Arial" w:hAnsi="Arial"/>
          <w:sz w:val="12"/>
          <w:szCs w:val="12"/>
          <w:color w:val="7B7C80"/>
        </w:rPr>
        <w:t>and Chair of Compensation Committees), Anthem, Inc. (Compensation and Chair of Nominating and Governance Committee)</w:t>
      </w:r>
    </w:p>
    <w:p>
      <w:pPr>
        <w:spacing w:after="0" w:line="139"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Former Public Directorships/Past 5 Years: </w:t>
      </w:r>
      <w:r>
        <w:rPr>
          <w:rFonts w:ascii="Arial" w:cs="Arial" w:eastAsia="Arial" w:hAnsi="Arial"/>
          <w:sz w:val="12"/>
          <w:szCs w:val="12"/>
          <w:color w:val="7B7C80"/>
        </w:rPr>
        <w:t>Coventry Health Care, Inc.</w:t>
      </w:r>
    </w:p>
    <w:p>
      <w:pPr>
        <w:spacing w:after="0" w:line="197" w:lineRule="exact"/>
        <w:rPr>
          <w:sz w:val="20"/>
          <w:szCs w:val="20"/>
          <w:color w:val="auto"/>
        </w:rPr>
      </w:pPr>
    </w:p>
    <w:p>
      <w:pPr>
        <w:spacing w:after="0"/>
        <w:rPr>
          <w:sz w:val="20"/>
          <w:szCs w:val="20"/>
          <w:color w:val="auto"/>
        </w:rPr>
      </w:pPr>
      <w:r>
        <w:rPr>
          <w:rFonts w:ascii="Arial" w:cs="Arial" w:eastAsia="Arial" w:hAnsi="Arial"/>
          <w:sz w:val="12"/>
          <w:szCs w:val="12"/>
          <w:color w:val="7B7C80"/>
        </w:rPr>
        <w:t>Ms. Tallett has been Lead Director since 2007.</w:t>
      </w:r>
    </w:p>
    <w:p>
      <w:pPr>
        <w:spacing w:after="0" w:line="183" w:lineRule="exact"/>
        <w:rPr>
          <w:sz w:val="20"/>
          <w:szCs w:val="20"/>
          <w:color w:val="auto"/>
        </w:rPr>
      </w:pPr>
    </w:p>
    <w:p>
      <w:pPr>
        <w:jc w:val="both"/>
        <w:spacing w:after="0" w:line="246" w:lineRule="auto"/>
        <w:rPr>
          <w:sz w:val="20"/>
          <w:szCs w:val="20"/>
          <w:color w:val="auto"/>
        </w:rPr>
      </w:pPr>
      <w:r>
        <w:rPr>
          <w:rFonts w:ascii="Arial" w:cs="Arial" w:eastAsia="Arial" w:hAnsi="Arial"/>
          <w:sz w:val="12"/>
          <w:szCs w:val="12"/>
          <w:color w:val="7B7C80"/>
        </w:rPr>
        <w:t>Ms. Tallett was Principal of Hunter Partners, LLC, a management company for early to mid stage pharmaceutical, biotech and medical device companies, from July 2002 to Feb 2015. She continues to operate as a consultant to early stage pharmaceutical and healthcare companies. She has more than 30 years' experience in the biopharmaceutical and consumer industries. Ms. Tallett is Chair of the Finance Committee and Treasurer for Solebury School, PA (not for profit).</w:t>
      </w:r>
    </w:p>
    <w:p>
      <w:pPr>
        <w:spacing w:after="0" w:line="157" w:lineRule="exact"/>
        <w:rPr>
          <w:sz w:val="20"/>
          <w:szCs w:val="20"/>
          <w:color w:val="auto"/>
        </w:rPr>
      </w:pPr>
    </w:p>
    <w:p>
      <w:pPr>
        <w:jc w:val="both"/>
        <w:spacing w:after="0" w:line="252"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Ms. Tallett's senior management experience includes being President and Chief Executive Officer of Transcell Technologies, Inc.,</w:t>
      </w:r>
      <w:r>
        <w:rPr>
          <w:rFonts w:ascii="Arial" w:cs="Arial" w:eastAsia="Arial" w:hAnsi="Arial"/>
          <w:sz w:val="12"/>
          <w:szCs w:val="12"/>
          <w:b w:val="1"/>
          <w:bCs w:val="1"/>
          <w:color w:val="7B7C80"/>
        </w:rPr>
        <w:t xml:space="preserve"> </w:t>
      </w:r>
      <w:r>
        <w:rPr>
          <w:rFonts w:ascii="Arial" w:cs="Arial" w:eastAsia="Arial" w:hAnsi="Arial"/>
          <w:sz w:val="12"/>
          <w:szCs w:val="12"/>
          <w:color w:val="7B7C80"/>
        </w:rPr>
        <w:t>President of Centocor Pharmaceuticals, member of the Parke-Davis Executive Committee, and Director of Worldwide Strategic Planning for Warner-Lambert. In addition to her leadership and financial management in pharmaceutical and biotechnology firms, she has executive level experience in multinational companies, international operations, economics, strategic planning, marketing, product development, technology, executive compensation and mergers and acquisitions.</w:t>
      </w:r>
    </w:p>
    <w:p>
      <w:pPr>
        <w:spacing w:after="0" w:line="154"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degree with honors in mathematics and economics from the University of Nottingham in England.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-1566545</wp:posOffset>
            </wp:positionH>
            <wp:positionV relativeFrom="paragraph">
              <wp:posOffset>93345</wp:posOffset>
            </wp:positionV>
            <wp:extent cx="7267575" cy="69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2060" w:space="400"/>
            <w:col w:w="8980"/>
          </w:cols>
          <w:pgMar w:left="240" w:top="142" w:right="219" w:bottom="1440" w:gutter="0" w:footer="0" w:header="0"/>
          <w:type w:val="continuous"/>
        </w:sectPr>
      </w:pPr>
    </w:p>
    <w:p>
      <w:pPr>
        <w:spacing w:after="0" w:line="126"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Continuing Class III Directors With Terms Expiring in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125730</wp:posOffset>
            </wp:positionV>
            <wp:extent cx="7267575" cy="20294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67575" cy="2029460"/>
                    </a:xfrm>
                    <a:prstGeom prst="rect">
                      <a:avLst/>
                    </a:prstGeom>
                    <a:noFill/>
                  </pic:spPr>
                </pic:pic>
              </a:graphicData>
            </a:graphic>
          </wp:anchor>
        </w:drawing>
      </w:r>
    </w:p>
    <w:p>
      <w:pPr>
        <w:spacing w:after="0" w:line="200" w:lineRule="exact"/>
        <w:rPr>
          <w:sz w:val="20"/>
          <w:szCs w:val="20"/>
          <w:color w:val="auto"/>
        </w:rPr>
      </w:pPr>
    </w:p>
    <w:p>
      <w:pPr>
        <w:spacing w:after="0" w:line="203" w:lineRule="exact"/>
        <w:rPr>
          <w:sz w:val="20"/>
          <w:szCs w:val="20"/>
          <w:color w:val="auto"/>
        </w:rPr>
      </w:pPr>
    </w:p>
    <w:tbl>
      <w:tblPr>
        <w:tblLayout w:type="fixed"/>
        <w:tblInd w:w="120" w:type="dxa"/>
        <w:tblCellMar>
          <w:top w:w="0" w:type="dxa"/>
          <w:left w:w="0" w:type="dxa"/>
          <w:bottom w:w="0" w:type="dxa"/>
          <w:right w:w="0" w:type="dxa"/>
        </w:tblCellMar>
      </w:tblPr>
      <w:tr>
        <w:trPr>
          <w:trHeight w:val="197"/>
        </w:trPr>
        <w:tc>
          <w:tcPr>
            <w:tcW w:w="1680" w:type="dxa"/>
            <w:vAlign w:val="bottom"/>
          </w:tcPr>
          <w:p>
            <w:pPr>
              <w:spacing w:after="0"/>
              <w:rPr>
                <w:sz w:val="20"/>
                <w:szCs w:val="20"/>
                <w:color w:val="auto"/>
              </w:rPr>
            </w:pPr>
            <w:r>
              <w:rPr>
                <w:rFonts w:ascii="Arial" w:cs="Arial" w:eastAsia="Arial" w:hAnsi="Arial"/>
                <w:sz w:val="15"/>
                <w:szCs w:val="15"/>
                <w:b w:val="1"/>
                <w:bCs w:val="1"/>
                <w:color w:val="009CCC"/>
              </w:rPr>
              <w:t>Michael T. Dan</w:t>
            </w:r>
          </w:p>
        </w:tc>
        <w:tc>
          <w:tcPr>
            <w:tcW w:w="9640" w:type="dxa"/>
            <w:vAlign w:val="bottom"/>
            <w:vMerge w:val="restart"/>
          </w:tcPr>
          <w:p>
            <w:pPr>
              <w:ind w:left="660"/>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Human Resources (Chair)</w:t>
            </w:r>
          </w:p>
        </w:tc>
        <w:tc>
          <w:tcPr>
            <w:tcW w:w="0" w:type="dxa"/>
            <w:vAlign w:val="bottom"/>
          </w:tcPr>
          <w:p>
            <w:pPr>
              <w:spacing w:after="0"/>
              <w:rPr>
                <w:sz w:val="1"/>
                <w:szCs w:val="1"/>
                <w:color w:val="auto"/>
              </w:rPr>
            </w:pPr>
          </w:p>
        </w:tc>
      </w:tr>
      <w:tr>
        <w:trPr>
          <w:trHeight w:val="52"/>
        </w:trPr>
        <w:tc>
          <w:tcPr>
            <w:tcW w:w="1680" w:type="dxa"/>
            <w:vAlign w:val="bottom"/>
          </w:tcPr>
          <w:p>
            <w:pPr>
              <w:spacing w:after="0"/>
              <w:rPr>
                <w:sz w:val="4"/>
                <w:szCs w:val="4"/>
                <w:color w:val="auto"/>
              </w:rPr>
            </w:pPr>
          </w:p>
        </w:tc>
        <w:tc>
          <w:tcPr>
            <w:tcW w:w="964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47"/>
        </w:trPr>
        <w:tc>
          <w:tcPr>
            <w:tcW w:w="1680" w:type="dxa"/>
            <w:vAlign w:val="bottom"/>
          </w:tcPr>
          <w:p>
            <w:pPr>
              <w:spacing w:after="0"/>
              <w:rPr>
                <w:sz w:val="12"/>
                <w:szCs w:val="12"/>
                <w:color w:val="auto"/>
              </w:rPr>
            </w:pPr>
          </w:p>
        </w:tc>
        <w:tc>
          <w:tcPr>
            <w:tcW w:w="9640" w:type="dxa"/>
            <w:vAlign w:val="bottom"/>
          </w:tcPr>
          <w:p>
            <w:pPr>
              <w:ind w:left="660"/>
              <w:spacing w:after="0"/>
              <w:rPr>
                <w:sz w:val="20"/>
                <w:szCs w:val="20"/>
                <w:color w:val="auto"/>
              </w:rPr>
            </w:pPr>
            <w:r>
              <w:rPr>
                <w:rFonts w:ascii="Arial" w:cs="Arial" w:eastAsia="Arial" w:hAnsi="Arial"/>
                <w:sz w:val="12"/>
                <w:szCs w:val="12"/>
                <w:color w:val="7B7C80"/>
              </w:rPr>
              <w:t>Nominating and Governance</w:t>
            </w:r>
          </w:p>
        </w:tc>
        <w:tc>
          <w:tcPr>
            <w:tcW w:w="0" w:type="dxa"/>
            <w:vAlign w:val="bottom"/>
          </w:tcPr>
          <w:p>
            <w:pPr>
              <w:spacing w:after="0"/>
              <w:rPr>
                <w:sz w:val="1"/>
                <w:szCs w:val="1"/>
                <w:color w:val="auto"/>
              </w:rPr>
            </w:pPr>
          </w:p>
        </w:tc>
      </w:tr>
      <w:tr>
        <w:trPr>
          <w:trHeight w:val="312"/>
        </w:trPr>
        <w:tc>
          <w:tcPr>
            <w:tcW w:w="1680" w:type="dxa"/>
            <w:vAlign w:val="bottom"/>
          </w:tcPr>
          <w:p>
            <w:pPr>
              <w:spacing w:after="0"/>
              <w:rPr>
                <w:sz w:val="24"/>
                <w:szCs w:val="24"/>
                <w:color w:val="auto"/>
              </w:rPr>
            </w:pPr>
          </w:p>
        </w:tc>
        <w:tc>
          <w:tcPr>
            <w:tcW w:w="9640" w:type="dxa"/>
            <w:vAlign w:val="bottom"/>
          </w:tcPr>
          <w:p>
            <w:pPr>
              <w:ind w:left="660"/>
              <w:spacing w:after="0"/>
              <w:rPr>
                <w:sz w:val="20"/>
                <w:szCs w:val="20"/>
                <w:color w:val="auto"/>
              </w:rPr>
            </w:pPr>
            <w:r>
              <w:rPr>
                <w:rFonts w:ascii="Arial" w:cs="Arial" w:eastAsia="Arial" w:hAnsi="Arial"/>
                <w:sz w:val="12"/>
                <w:szCs w:val="12"/>
                <w:color w:val="7B7C80"/>
              </w:rPr>
              <w:t>Mr. Dan was Chairman, President and Chief Executive Officer of The Brink's Company, a global provider of secure transportation and cash management services,</w:t>
            </w:r>
          </w:p>
        </w:tc>
        <w:tc>
          <w:tcPr>
            <w:tcW w:w="0" w:type="dxa"/>
            <w:vAlign w:val="bottom"/>
          </w:tcPr>
          <w:p>
            <w:pPr>
              <w:spacing w:after="0"/>
              <w:rPr>
                <w:sz w:val="1"/>
                <w:szCs w:val="1"/>
                <w:color w:val="auto"/>
              </w:rPr>
            </w:pPr>
          </w:p>
        </w:tc>
      </w:tr>
      <w:tr>
        <w:trPr>
          <w:trHeight w:val="137"/>
        </w:trPr>
        <w:tc>
          <w:tcPr>
            <w:tcW w:w="1680" w:type="dxa"/>
            <w:vAlign w:val="bottom"/>
          </w:tcPr>
          <w:p>
            <w:pPr>
              <w:spacing w:after="0"/>
              <w:rPr>
                <w:sz w:val="11"/>
                <w:szCs w:val="11"/>
                <w:color w:val="auto"/>
              </w:rPr>
            </w:pPr>
          </w:p>
        </w:tc>
        <w:tc>
          <w:tcPr>
            <w:tcW w:w="9640" w:type="dxa"/>
            <w:vAlign w:val="bottom"/>
          </w:tcPr>
          <w:p>
            <w:pPr>
              <w:ind w:left="660"/>
              <w:spacing w:after="0"/>
              <w:rPr>
                <w:sz w:val="20"/>
                <w:szCs w:val="20"/>
                <w:color w:val="auto"/>
              </w:rPr>
            </w:pPr>
            <w:r>
              <w:rPr>
                <w:rFonts w:ascii="Arial" w:cs="Arial" w:eastAsia="Arial" w:hAnsi="Arial"/>
                <w:sz w:val="12"/>
                <w:szCs w:val="12"/>
                <w:color w:val="7B7C80"/>
              </w:rPr>
              <w:t>from 1999-2011. The Brink's Company had 70,000 employees worldwide, operations in over 100 countries and $3.8 billion in revenue in 2011. Prior to joining Brink's,</w:t>
            </w:r>
          </w:p>
        </w:tc>
        <w:tc>
          <w:tcPr>
            <w:tcW w:w="0" w:type="dxa"/>
            <w:vAlign w:val="bottom"/>
          </w:tcPr>
          <w:p>
            <w:pPr>
              <w:spacing w:after="0"/>
              <w:rPr>
                <w:sz w:val="1"/>
                <w:szCs w:val="1"/>
                <w:color w:val="auto"/>
              </w:rPr>
            </w:pPr>
          </w:p>
        </w:tc>
      </w:tr>
      <w:tr>
        <w:trPr>
          <w:trHeight w:val="147"/>
        </w:trPr>
        <w:tc>
          <w:tcPr>
            <w:tcW w:w="1680" w:type="dxa"/>
            <w:vAlign w:val="bottom"/>
          </w:tcPr>
          <w:p>
            <w:pPr>
              <w:spacing w:after="0"/>
              <w:rPr>
                <w:sz w:val="12"/>
                <w:szCs w:val="12"/>
                <w:color w:val="auto"/>
              </w:rPr>
            </w:pPr>
          </w:p>
        </w:tc>
        <w:tc>
          <w:tcPr>
            <w:tcW w:w="9640" w:type="dxa"/>
            <w:vAlign w:val="bottom"/>
          </w:tcPr>
          <w:p>
            <w:pPr>
              <w:ind w:left="660"/>
              <w:spacing w:after="0"/>
              <w:rPr>
                <w:sz w:val="20"/>
                <w:szCs w:val="20"/>
                <w:color w:val="auto"/>
              </w:rPr>
            </w:pPr>
            <w:r>
              <w:rPr>
                <w:rFonts w:ascii="Arial" w:cs="Arial" w:eastAsia="Arial" w:hAnsi="Arial"/>
                <w:sz w:val="12"/>
                <w:szCs w:val="12"/>
                <w:color w:val="7B7C80"/>
              </w:rPr>
              <w:t>Mr. Dan served as President of Armored Vehicle Builder, Inc.</w:t>
            </w:r>
          </w:p>
        </w:tc>
        <w:tc>
          <w:tcPr>
            <w:tcW w:w="0" w:type="dxa"/>
            <w:vAlign w:val="bottom"/>
          </w:tcPr>
          <w:p>
            <w:pPr>
              <w:spacing w:after="0"/>
              <w:rPr>
                <w:sz w:val="1"/>
                <w:szCs w:val="1"/>
                <w:color w:val="auto"/>
              </w:rPr>
            </w:pPr>
          </w:p>
        </w:tc>
      </w:tr>
      <w:tr>
        <w:trPr>
          <w:trHeight w:val="312"/>
        </w:trPr>
        <w:tc>
          <w:tcPr>
            <w:tcW w:w="1680" w:type="dxa"/>
            <w:vAlign w:val="bottom"/>
          </w:tcPr>
          <w:p>
            <w:pPr>
              <w:spacing w:after="0"/>
              <w:rPr>
                <w:sz w:val="24"/>
                <w:szCs w:val="24"/>
                <w:color w:val="auto"/>
              </w:rPr>
            </w:pPr>
          </w:p>
        </w:tc>
        <w:tc>
          <w:tcPr>
            <w:tcW w:w="9640" w:type="dxa"/>
            <w:vAlign w:val="bottom"/>
          </w:tcPr>
          <w:p>
            <w:pPr>
              <w:ind w:left="660"/>
              <w:spacing w:after="0"/>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In addition to leading and being responsible for financial management of Brink's, Mr. Dan has executive level experience in international</w:t>
            </w:r>
          </w:p>
        </w:tc>
        <w:tc>
          <w:tcPr>
            <w:tcW w:w="0" w:type="dxa"/>
            <w:vAlign w:val="bottom"/>
          </w:tcPr>
          <w:p>
            <w:pPr>
              <w:spacing w:after="0"/>
              <w:rPr>
                <w:sz w:val="1"/>
                <w:szCs w:val="1"/>
                <w:color w:val="auto"/>
              </w:rPr>
            </w:pPr>
          </w:p>
        </w:tc>
      </w:tr>
      <w:tr>
        <w:trPr>
          <w:trHeight w:val="147"/>
        </w:trPr>
        <w:tc>
          <w:tcPr>
            <w:tcW w:w="1680" w:type="dxa"/>
            <w:vAlign w:val="bottom"/>
          </w:tcPr>
          <w:p>
            <w:pPr>
              <w:spacing w:after="0"/>
              <w:rPr>
                <w:sz w:val="12"/>
                <w:szCs w:val="12"/>
                <w:color w:val="auto"/>
              </w:rPr>
            </w:pPr>
          </w:p>
        </w:tc>
        <w:tc>
          <w:tcPr>
            <w:tcW w:w="9640" w:type="dxa"/>
            <w:vAlign w:val="bottom"/>
          </w:tcPr>
          <w:p>
            <w:pPr>
              <w:ind w:left="660"/>
              <w:spacing w:after="0"/>
              <w:rPr>
                <w:sz w:val="20"/>
                <w:szCs w:val="20"/>
                <w:color w:val="auto"/>
              </w:rPr>
            </w:pPr>
            <w:r>
              <w:rPr>
                <w:rFonts w:ascii="Arial" w:cs="Arial" w:eastAsia="Arial" w:hAnsi="Arial"/>
                <w:sz w:val="12"/>
                <w:szCs w:val="12"/>
                <w:color w:val="7B7C80"/>
              </w:rPr>
              <w:t>operations, risk management, strategic planning, brand management, executive compensation, customer service, marketing and mergers and acquisitions.</w:t>
            </w:r>
          </w:p>
        </w:tc>
        <w:tc>
          <w:tcPr>
            <w:tcW w:w="0" w:type="dxa"/>
            <w:vAlign w:val="bottom"/>
          </w:tcPr>
          <w:p>
            <w:pPr>
              <w:spacing w:after="0"/>
              <w:rPr>
                <w:sz w:val="1"/>
                <w:szCs w:val="1"/>
                <w:color w:val="auto"/>
              </w:rPr>
            </w:pPr>
          </w:p>
        </w:tc>
      </w:tr>
      <w:tr>
        <w:trPr>
          <w:trHeight w:val="321"/>
        </w:trPr>
        <w:tc>
          <w:tcPr>
            <w:tcW w:w="1680" w:type="dxa"/>
            <w:vAlign w:val="bottom"/>
          </w:tcPr>
          <w:p>
            <w:pPr>
              <w:spacing w:after="0"/>
              <w:rPr>
                <w:sz w:val="24"/>
                <w:szCs w:val="24"/>
                <w:color w:val="auto"/>
              </w:rPr>
            </w:pPr>
          </w:p>
        </w:tc>
        <w:tc>
          <w:tcPr>
            <w:tcW w:w="9640" w:type="dxa"/>
            <w:vAlign w:val="bottom"/>
          </w:tcPr>
          <w:p>
            <w:pPr>
              <w:ind w:left="660"/>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Studied business and accounting at Morton College in Cicero, Illinois, and completed the advanced management program at Harvard Business School.</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67</w:t>
      </w:r>
    </w:p>
    <w:p>
      <w:pPr>
        <w:ind w:left="120"/>
        <w:spacing w:after="0"/>
        <w:rPr>
          <w:sz w:val="20"/>
          <w:szCs w:val="20"/>
          <w:color w:val="auto"/>
        </w:rPr>
      </w:pPr>
      <w:r>
        <w:rPr>
          <w:rFonts w:ascii="Arial" w:cs="Arial" w:eastAsia="Arial" w:hAnsi="Arial"/>
          <w:sz w:val="12"/>
          <w:szCs w:val="12"/>
          <w:color w:val="7B7C80"/>
        </w:rPr>
        <w:t>Director Since: 2006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84455</wp:posOffset>
            </wp:positionV>
            <wp:extent cx="7267575" cy="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67575" cy="6985"/>
                    </a:xfrm>
                    <a:prstGeom prst="rect">
                      <a:avLst/>
                    </a:prstGeom>
                    <a:noFill/>
                  </pic:spPr>
                </pic:pic>
              </a:graphicData>
            </a:graphic>
          </wp:anchor>
        </w:drawing>
        <w:drawing>
          <wp:anchor simplePos="0" relativeHeight="251657728" behindDoc="1" locked="0" layoutInCell="0" allowOverlap="1">
            <wp:simplePos x="0" y="0"/>
            <wp:positionH relativeFrom="column">
              <wp:posOffset>3079115</wp:posOffset>
            </wp:positionH>
            <wp:positionV relativeFrom="paragraph">
              <wp:posOffset>208280</wp:posOffset>
            </wp:positionV>
            <wp:extent cx="960120" cy="2838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80" w:type="dxa"/>
            <w:vAlign w:val="bottom"/>
          </w:tcPr>
          <w:p>
            <w:pPr>
              <w:ind w:left="9540"/>
              <w:spacing w:after="0"/>
              <w:rPr>
                <w:sz w:val="20"/>
                <w:szCs w:val="20"/>
                <w:color w:val="auto"/>
              </w:rPr>
            </w:pPr>
            <w:r>
              <w:rPr>
                <w:rFonts w:ascii="Arial" w:cs="Arial" w:eastAsia="Arial" w:hAnsi="Arial"/>
                <w:sz w:val="15"/>
                <w:szCs w:val="15"/>
                <w:color w:val="7B7C80"/>
              </w:rPr>
              <w:t>2018 Proxy Statement</w:t>
            </w:r>
          </w:p>
        </w:tc>
        <w:tc>
          <w:tcPr>
            <w:tcW w:w="260" w:type="dxa"/>
            <w:vAlign w:val="bottom"/>
          </w:tcPr>
          <w:p>
            <w:pPr>
              <w:jc w:val="right"/>
              <w:spacing w:after="0"/>
              <w:rPr>
                <w:sz w:val="20"/>
                <w:szCs w:val="20"/>
                <w:color w:val="auto"/>
              </w:rPr>
            </w:pPr>
            <w:r>
              <w:rPr>
                <w:rFonts w:ascii="Arial" w:cs="Arial" w:eastAsia="Arial" w:hAnsi="Arial"/>
                <w:sz w:val="15"/>
                <w:szCs w:val="15"/>
                <w:color w:val="009CCC"/>
              </w:rPr>
              <w:t>9</w:t>
            </w:r>
          </w:p>
        </w:tc>
      </w:tr>
      <w:tr>
        <w:trPr>
          <w:trHeight w:val="318"/>
        </w:trPr>
        <w:tc>
          <w:tcPr>
            <w:tcW w:w="11180" w:type="dxa"/>
            <w:vAlign w:val="bottom"/>
            <w:tcBorders>
              <w:bottom w:val="single" w:sz="8" w:color="808080"/>
            </w:tcBorders>
          </w:tcPr>
          <w:p>
            <w:pPr>
              <w:spacing w:after="0"/>
              <w:rPr>
                <w:sz w:val="24"/>
                <w:szCs w:val="24"/>
                <w:color w:val="auto"/>
              </w:rPr>
            </w:pPr>
          </w:p>
        </w:tc>
        <w:tc>
          <w:tcPr>
            <w:tcW w:w="26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type w:val="continuous"/>
        </w:sectPr>
      </w:pPr>
    </w:p>
    <w:bookmarkStart w:id="12" w:name="page13"/>
    <w:bookmarkEnd w:id="12"/>
    <w:p>
      <w:pPr>
        <w:ind w:left="8"/>
        <w:spacing w:after="0"/>
        <w:rPr>
          <w:rFonts w:ascii="Arial" w:cs="Arial" w:eastAsia="Arial" w:hAnsi="Arial"/>
          <w:sz w:val="14"/>
          <w:szCs w:val="14"/>
          <w:u w:val="single" w:color="auto"/>
          <w:color w:val="0000EE"/>
        </w:rPr>
      </w:pPr>
      <w:hyperlink w:anchor="page5">
        <w:r>
          <w:rPr>
            <w:rFonts w:ascii="Arial" w:cs="Arial" w:eastAsia="Arial" w:hAnsi="Arial"/>
            <w:sz w:val="14"/>
            <w:szCs w:val="14"/>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121285</wp:posOffset>
            </wp:positionV>
            <wp:extent cx="7267575" cy="21170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67575" cy="2117090"/>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p>
      <w:pPr>
        <w:spacing w:after="0" w:line="200" w:lineRule="exact"/>
        <w:rPr>
          <w:sz w:val="20"/>
          <w:szCs w:val="20"/>
          <w:color w:val="auto"/>
        </w:rPr>
      </w:pPr>
    </w:p>
    <w:p>
      <w:pPr>
        <w:spacing w:after="0" w:line="217" w:lineRule="exact"/>
        <w:rPr>
          <w:sz w:val="20"/>
          <w:szCs w:val="20"/>
          <w:color w:val="auto"/>
        </w:rPr>
      </w:pPr>
    </w:p>
    <w:p>
      <w:pPr>
        <w:ind w:left="128"/>
        <w:spacing w:after="0"/>
        <w:rPr>
          <w:sz w:val="20"/>
          <w:szCs w:val="20"/>
          <w:color w:val="auto"/>
        </w:rPr>
      </w:pPr>
      <w:r>
        <w:rPr>
          <w:rFonts w:ascii="Arial" w:cs="Arial" w:eastAsia="Arial" w:hAnsi="Arial"/>
          <w:sz w:val="15"/>
          <w:szCs w:val="15"/>
          <w:b w:val="1"/>
          <w:bCs w:val="1"/>
          <w:color w:val="009CCC"/>
        </w:rPr>
        <w:t>C. Daniel Gelatt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128"/>
        <w:spacing w:after="0"/>
        <w:rPr>
          <w:sz w:val="20"/>
          <w:szCs w:val="20"/>
          <w:color w:val="auto"/>
        </w:rPr>
      </w:pPr>
      <w:r>
        <w:rPr>
          <w:rFonts w:ascii="Arial" w:cs="Arial" w:eastAsia="Arial" w:hAnsi="Arial"/>
          <w:sz w:val="12"/>
          <w:szCs w:val="12"/>
          <w:color w:val="7B7C80"/>
        </w:rPr>
        <w:t>Age: 70</w:t>
      </w:r>
    </w:p>
    <w:p>
      <w:pPr>
        <w:ind w:left="128"/>
        <w:spacing w:after="0"/>
        <w:rPr>
          <w:sz w:val="20"/>
          <w:szCs w:val="20"/>
          <w:color w:val="auto"/>
        </w:rPr>
      </w:pPr>
      <w:r>
        <w:rPr>
          <w:rFonts w:ascii="Arial" w:cs="Arial" w:eastAsia="Arial" w:hAnsi="Arial"/>
          <w:sz w:val="12"/>
          <w:szCs w:val="12"/>
          <w:color w:val="7B7C80"/>
        </w:rPr>
        <w:t>Director Since: 1988 (Principal Life),</w:t>
      </w:r>
    </w:p>
    <w:p>
      <w:pPr>
        <w:ind w:left="128"/>
        <w:spacing w:after="0"/>
        <w:rPr>
          <w:sz w:val="20"/>
          <w:szCs w:val="20"/>
          <w:color w:val="auto"/>
        </w:rPr>
      </w:pPr>
      <w:r>
        <w:rPr>
          <w:rFonts w:ascii="Arial" w:cs="Arial" w:eastAsia="Arial" w:hAnsi="Arial"/>
          <w:sz w:val="12"/>
          <w:szCs w:val="12"/>
          <w:color w:val="7B7C80"/>
        </w:rPr>
        <w:t>2001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179070</wp:posOffset>
            </wp:positionV>
            <wp:extent cx="1454785" cy="19348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1454785" cy="19348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4"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Audit</w:t>
      </w:r>
    </w:p>
    <w:p>
      <w:pPr>
        <w:spacing w:after="0" w:line="13" w:lineRule="exact"/>
        <w:rPr>
          <w:sz w:val="20"/>
          <w:szCs w:val="20"/>
          <w:color w:val="auto"/>
        </w:rPr>
      </w:pPr>
    </w:p>
    <w:p>
      <w:pPr>
        <w:spacing w:after="0"/>
        <w:rPr>
          <w:sz w:val="20"/>
          <w:szCs w:val="20"/>
          <w:color w:val="auto"/>
        </w:rPr>
      </w:pPr>
      <w:r>
        <w:rPr>
          <w:rFonts w:ascii="Arial" w:cs="Arial" w:eastAsia="Arial" w:hAnsi="Arial"/>
          <w:sz w:val="12"/>
          <w:szCs w:val="12"/>
          <w:color w:val="7B7C80"/>
        </w:rPr>
        <w:t>Human Resources</w:t>
      </w:r>
    </w:p>
    <w:p>
      <w:pPr>
        <w:spacing w:after="0" w:line="183" w:lineRule="exact"/>
        <w:rPr>
          <w:sz w:val="20"/>
          <w:szCs w:val="20"/>
          <w:color w:val="auto"/>
        </w:rPr>
      </w:pPr>
    </w:p>
    <w:p>
      <w:pPr>
        <w:jc w:val="both"/>
        <w:spacing w:after="0" w:line="244" w:lineRule="auto"/>
        <w:rPr>
          <w:sz w:val="20"/>
          <w:szCs w:val="20"/>
          <w:color w:val="auto"/>
        </w:rPr>
      </w:pPr>
      <w:r>
        <w:rPr>
          <w:rFonts w:ascii="Arial" w:cs="Arial" w:eastAsia="Arial" w:hAnsi="Arial"/>
          <w:sz w:val="12"/>
          <w:szCs w:val="12"/>
          <w:color w:val="7B7C80"/>
        </w:rPr>
        <w:t>Dr. Gelatt has been President of NMT Corporation since 1987. NMT is an industry leader in mobile mapping and workforce automation software and has been providing analog and digital imaging services to clients worldwide for more than 40 years. He was an Assistant Professor in the Physics Department at Harvard University, where he earned his Ph.D., and was a research manager at the IBM T.J. Watson Research Center before joining the Gelatt Companies in 1982. He is a director of TPI Holdings, Inc., nPoint Inc., Trust Point Inc., NMT Corporation and Elmwood Corporation and a Trustee of Viterbo University.</w:t>
      </w:r>
    </w:p>
    <w:p>
      <w:pPr>
        <w:spacing w:after="0" w:line="158" w:lineRule="exact"/>
        <w:rPr>
          <w:sz w:val="20"/>
          <w:szCs w:val="20"/>
          <w:color w:val="auto"/>
        </w:rPr>
      </w:pPr>
    </w:p>
    <w:p>
      <w:pPr>
        <w:jc w:val="both"/>
        <w:spacing w:after="0" w:line="258"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In addition to leading and having financial responsibility for NMT and other Gelatt privately owned companies, Dr. Gelatt has an extensive</w:t>
      </w:r>
      <w:r>
        <w:rPr>
          <w:rFonts w:ascii="Arial" w:cs="Arial" w:eastAsia="Arial" w:hAnsi="Arial"/>
          <w:sz w:val="12"/>
          <w:szCs w:val="12"/>
          <w:b w:val="1"/>
          <w:bCs w:val="1"/>
          <w:color w:val="7B7C80"/>
        </w:rPr>
        <w:t xml:space="preserve"> </w:t>
      </w:r>
      <w:r>
        <w:rPr>
          <w:rFonts w:ascii="Arial" w:cs="Arial" w:eastAsia="Arial" w:hAnsi="Arial"/>
          <w:sz w:val="12"/>
          <w:szCs w:val="12"/>
          <w:color w:val="7B7C80"/>
        </w:rPr>
        <w:t>background in software and nonlinear optimization and executive level experience in product development, marketing and strategic planning. He is a member of the Association for Computing Machinery and the IEEE.</w:t>
      </w:r>
    </w:p>
    <w:p>
      <w:pPr>
        <w:spacing w:after="0" w:line="151"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and master's degrees from the University of Wisconsin and MA and Ph.D. from Harvard University.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-1566545</wp:posOffset>
            </wp:positionH>
            <wp:positionV relativeFrom="paragraph">
              <wp:posOffset>777240</wp:posOffset>
            </wp:positionV>
            <wp:extent cx="7267575" cy="6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1290" w:lineRule="exact"/>
        <w:rPr>
          <w:sz w:val="20"/>
          <w:szCs w:val="20"/>
          <w:color w:val="auto"/>
        </w:rPr>
      </w:pPr>
    </w:p>
    <w:p>
      <w:pPr>
        <w:sectPr>
          <w:pgSz w:w="11900" w:h="16838" w:orient="portrait"/>
          <w:cols w:equalWidth="0" w:num="2">
            <w:col w:w="2068" w:space="400"/>
            <w:col w:w="8980"/>
          </w:cols>
          <w:pgMar w:left="232" w:top="142" w:right="219" w:bottom="1440" w:gutter="0" w:footer="0" w:header="0"/>
          <w:type w:val="continuous"/>
        </w:sectPr>
      </w:pPr>
    </w:p>
    <w:p>
      <w:pPr>
        <w:spacing w:after="0" w:line="158" w:lineRule="exact"/>
        <w:rPr>
          <w:sz w:val="20"/>
          <w:szCs w:val="20"/>
          <w:color w:val="auto"/>
        </w:rPr>
      </w:pPr>
    </w:p>
    <w:p>
      <w:pPr>
        <w:ind w:left="128"/>
        <w:spacing w:after="0"/>
        <w:rPr>
          <w:sz w:val="20"/>
          <w:szCs w:val="20"/>
          <w:color w:val="auto"/>
        </w:rPr>
      </w:pPr>
      <w:r>
        <w:rPr>
          <w:rFonts w:ascii="Arial" w:cs="Arial" w:eastAsia="Arial" w:hAnsi="Arial"/>
          <w:sz w:val="14"/>
          <w:szCs w:val="14"/>
          <w:b w:val="1"/>
          <w:bCs w:val="1"/>
          <w:color w:val="009CCC"/>
        </w:rPr>
        <w:t>Sandra L. Helton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128"/>
        <w:spacing w:after="0"/>
        <w:rPr>
          <w:sz w:val="20"/>
          <w:szCs w:val="20"/>
          <w:color w:val="auto"/>
        </w:rPr>
      </w:pPr>
      <w:r>
        <w:rPr>
          <w:rFonts w:ascii="Arial" w:cs="Arial" w:eastAsia="Arial" w:hAnsi="Arial"/>
          <w:sz w:val="12"/>
          <w:szCs w:val="12"/>
          <w:color w:val="7B7C80"/>
        </w:rPr>
        <w:t>Age: 68</w:t>
      </w:r>
    </w:p>
    <w:p>
      <w:pPr>
        <w:ind w:left="128"/>
        <w:spacing w:after="0"/>
        <w:rPr>
          <w:sz w:val="20"/>
          <w:szCs w:val="20"/>
          <w:color w:val="auto"/>
        </w:rPr>
      </w:pPr>
      <w:r>
        <w:rPr>
          <w:rFonts w:ascii="Arial" w:cs="Arial" w:eastAsia="Arial" w:hAnsi="Arial"/>
          <w:sz w:val="12"/>
          <w:szCs w:val="12"/>
          <w:color w:val="7B7C80"/>
        </w:rPr>
        <w:t>Director Since: 2001</w:t>
      </w:r>
    </w:p>
    <w:p>
      <w:pPr>
        <w:spacing w:after="0" w:line="20" w:lineRule="exact"/>
        <w:rPr>
          <w:sz w:val="20"/>
          <w:szCs w:val="20"/>
          <w:color w:val="auto"/>
        </w:rPr>
      </w:pPr>
      <w:r>
        <w:rPr>
          <w:sz w:val="20"/>
          <w:szCs w:val="20"/>
          <w:color w:val="auto"/>
        </w:rPr>
        <w:br w:type="column"/>
      </w:r>
    </w:p>
    <w:p>
      <w:pPr>
        <w:spacing w:after="0" w:line="235"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Audit (Chair)</w:t>
      </w:r>
    </w:p>
    <w:p>
      <w:pPr>
        <w:spacing w:after="0" w:line="13" w:lineRule="exact"/>
        <w:rPr>
          <w:sz w:val="20"/>
          <w:szCs w:val="20"/>
          <w:color w:val="auto"/>
        </w:rPr>
      </w:pPr>
    </w:p>
    <w:p>
      <w:pPr>
        <w:spacing w:after="0"/>
        <w:rPr>
          <w:sz w:val="20"/>
          <w:szCs w:val="20"/>
          <w:color w:val="auto"/>
        </w:rPr>
      </w:pPr>
      <w:r>
        <w:rPr>
          <w:rFonts w:ascii="Arial" w:cs="Arial" w:eastAsia="Arial" w:hAnsi="Arial"/>
          <w:sz w:val="12"/>
          <w:szCs w:val="12"/>
          <w:color w:val="7B7C80"/>
        </w:rPr>
        <w:t>Finance</w:t>
      </w:r>
    </w:p>
    <w:p>
      <w:pPr>
        <w:spacing w:after="0"/>
        <w:rPr>
          <w:sz w:val="20"/>
          <w:szCs w:val="20"/>
          <w:color w:val="auto"/>
        </w:rPr>
      </w:pPr>
      <w:r>
        <w:rPr>
          <w:rFonts w:ascii="Arial" w:cs="Arial" w:eastAsia="Arial" w:hAnsi="Arial"/>
          <w:sz w:val="12"/>
          <w:szCs w:val="12"/>
          <w:color w:val="7B7C80"/>
        </w:rPr>
        <w:t>Executive</w:t>
      </w:r>
    </w:p>
    <w:p>
      <w:pPr>
        <w:spacing w:after="0" w:line="169"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Former Public Directorships/Past 5 Years</w:t>
      </w:r>
      <w:r>
        <w:rPr>
          <w:rFonts w:ascii="Arial" w:cs="Arial" w:eastAsia="Arial" w:hAnsi="Arial"/>
          <w:sz w:val="12"/>
          <w:szCs w:val="12"/>
          <w:color w:val="7B7C80"/>
        </w:rPr>
        <w:t>: Covance, Inc.; Lexmark International, Inc.; OptiNose, Inc.</w:t>
      </w:r>
    </w:p>
    <w:p>
      <w:pPr>
        <w:spacing w:after="0" w:line="197" w:lineRule="exact"/>
        <w:rPr>
          <w:sz w:val="20"/>
          <w:szCs w:val="20"/>
          <w:color w:val="auto"/>
        </w:rPr>
      </w:pPr>
    </w:p>
    <w:p>
      <w:pPr>
        <w:jc w:val="both"/>
        <w:spacing w:after="0" w:line="244" w:lineRule="auto"/>
        <w:rPr>
          <w:sz w:val="20"/>
          <w:szCs w:val="20"/>
          <w:color w:val="auto"/>
        </w:rPr>
      </w:pPr>
      <w:r>
        <w:rPr>
          <w:rFonts w:ascii="Arial" w:cs="Arial" w:eastAsia="Arial" w:hAnsi="Arial"/>
          <w:sz w:val="12"/>
          <w:szCs w:val="12"/>
          <w:color w:val="7B7C80"/>
        </w:rPr>
        <w:t>Ms. Helton was Executive Vice President and Chief Financial Officer—Telephone and Data Systems, Inc. ("TDS"), a diversified telecommunications organization that includes United States Cellular Corporation, from 1998 through 2006. In her role, Ms. Helton had responsibility for the Finance, Information Technology, and other corporate functions. Prior to joining TDS, Ms. Helton spent 26 years with Corning Incorporated, where she held engineering, strategy and finance positions, including Senior Vice President and Treasurer from 1991-1997. She also served as Vice President and Corporate Controller of Compaq Computer Corporation from 1997-1998.</w:t>
      </w:r>
    </w:p>
    <w:p>
      <w:pPr>
        <w:spacing w:after="0" w:line="158" w:lineRule="exact"/>
        <w:rPr>
          <w:sz w:val="20"/>
          <w:szCs w:val="20"/>
          <w:color w:val="auto"/>
        </w:rPr>
      </w:pPr>
    </w:p>
    <w:p>
      <w:pPr>
        <w:jc w:val="both"/>
        <w:spacing w:after="0" w:line="278"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Ms. Helton has global executive level experience in corporate strategy, finance, accounting and control, treasury, investments, information</w:t>
      </w:r>
      <w:r>
        <w:rPr>
          <w:rFonts w:ascii="Arial" w:cs="Arial" w:eastAsia="Arial" w:hAnsi="Arial"/>
          <w:sz w:val="12"/>
          <w:szCs w:val="12"/>
          <w:b w:val="1"/>
          <w:bCs w:val="1"/>
          <w:color w:val="7B7C80"/>
        </w:rPr>
        <w:t xml:space="preserve"> </w:t>
      </w:r>
      <w:r>
        <w:rPr>
          <w:rFonts w:ascii="Arial" w:cs="Arial" w:eastAsia="Arial" w:hAnsi="Arial"/>
          <w:sz w:val="12"/>
          <w:szCs w:val="12"/>
          <w:color w:val="7B7C80"/>
        </w:rPr>
        <w:t>technology and other corporate administrative functions, as well as extensive corporate governance experience.</w:t>
      </w:r>
    </w:p>
    <w:p>
      <w:pPr>
        <w:spacing w:after="0" w:line="139" w:lineRule="exact"/>
        <w:rPr>
          <w:sz w:val="20"/>
          <w:szCs w:val="20"/>
          <w:color w:val="auto"/>
        </w:rPr>
      </w:pPr>
    </w:p>
    <w:p>
      <w:pPr>
        <w:jc w:val="both"/>
        <w:ind w:right="20"/>
        <w:spacing w:after="0" w:line="278" w:lineRule="auto"/>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 S. in mathematics, summa cum laude, from the University of Kentucky, S.M. from Massachusetts Institute of Technology's Sloan School with double</w:t>
      </w:r>
      <w:r>
        <w:rPr>
          <w:rFonts w:ascii="Arial" w:cs="Arial" w:eastAsia="Arial" w:hAnsi="Arial"/>
          <w:sz w:val="12"/>
          <w:szCs w:val="12"/>
          <w:b w:val="1"/>
          <w:bCs w:val="1"/>
          <w:color w:val="7B7C80"/>
        </w:rPr>
        <w:t xml:space="preserve"> </w:t>
      </w:r>
      <w:r>
        <w:rPr>
          <w:rFonts w:ascii="Arial" w:cs="Arial" w:eastAsia="Arial" w:hAnsi="Arial"/>
          <w:sz w:val="12"/>
          <w:szCs w:val="12"/>
          <w:color w:val="7B7C80"/>
        </w:rPr>
        <w:t>majors in Finance and Planning &amp; 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-1566545</wp:posOffset>
            </wp:positionH>
            <wp:positionV relativeFrom="paragraph">
              <wp:posOffset>370840</wp:posOffset>
            </wp:positionV>
            <wp:extent cx="7267575" cy="69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67575" cy="6985"/>
                    </a:xfrm>
                    <a:prstGeom prst="rect">
                      <a:avLst/>
                    </a:prstGeom>
                    <a:noFill/>
                  </pic:spPr>
                </pic:pic>
              </a:graphicData>
            </a:graphic>
          </wp:anchor>
        </w:drawing>
        <w:drawing>
          <wp:anchor simplePos="0" relativeHeight="251657728" behindDoc="1" locked="0" layoutInCell="0" allowOverlap="1">
            <wp:simplePos x="0" y="0"/>
            <wp:positionH relativeFrom="column">
              <wp:posOffset>1633220</wp:posOffset>
            </wp:positionH>
            <wp:positionV relativeFrom="paragraph">
              <wp:posOffset>494665</wp:posOffset>
            </wp:positionV>
            <wp:extent cx="960120" cy="2838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650" w:lineRule="exact"/>
        <w:rPr>
          <w:sz w:val="20"/>
          <w:szCs w:val="20"/>
          <w:color w:val="auto"/>
        </w:rPr>
      </w:pPr>
    </w:p>
    <w:p>
      <w:pPr>
        <w:sectPr>
          <w:pgSz w:w="11900" w:h="16838" w:orient="portrait"/>
          <w:cols w:equalWidth="0" w:num="2">
            <w:col w:w="1748" w:space="720"/>
            <w:col w:w="8980"/>
          </w:cols>
          <w:pgMar w:left="232" w:top="142" w:right="219" w:bottom="1440" w:gutter="0" w:footer="0" w:header="0"/>
          <w:type w:val="continuous"/>
        </w:sectPr>
      </w:pPr>
    </w:p>
    <w:p>
      <w:pPr>
        <w:spacing w:after="0" w:line="268" w:lineRule="exact"/>
        <w:rPr>
          <w:sz w:val="20"/>
          <w:szCs w:val="20"/>
          <w:color w:val="auto"/>
        </w:rPr>
      </w:pPr>
    </w:p>
    <w:p>
      <w:pPr>
        <w:ind w:left="488" w:hanging="488"/>
        <w:spacing w:after="0"/>
        <w:tabs>
          <w:tab w:leader="none" w:pos="488" w:val="left"/>
        </w:tabs>
        <w:numPr>
          <w:ilvl w:val="0"/>
          <w:numId w:val="6"/>
        </w:numPr>
        <w:rPr>
          <w:rFonts w:ascii="Arial" w:cs="Arial" w:eastAsia="Arial" w:hAnsi="Arial"/>
          <w:sz w:val="14"/>
          <w:szCs w:val="14"/>
          <w:color w:val="009CCC"/>
        </w:rPr>
      </w:pPr>
      <w:r>
        <w:rPr>
          <w:rFonts w:ascii="Arial" w:cs="Arial" w:eastAsia="Arial" w:hAnsi="Arial"/>
          <w:sz w:val="14"/>
          <w:szCs w:val="14"/>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206375</wp:posOffset>
            </wp:positionV>
            <wp:extent cx="7272655" cy="196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type w:val="continuous"/>
        </w:sectPr>
      </w:pPr>
    </w:p>
    <w:bookmarkStart w:id="13" w:name="page14"/>
    <w:bookmarkEnd w:id="13"/>
    <w:p>
      <w:pPr>
        <w:spacing w:after="0"/>
        <w:rPr>
          <w:rFonts w:ascii="Arial" w:cs="Arial" w:eastAsia="Arial" w:hAnsi="Arial"/>
          <w:sz w:val="14"/>
          <w:szCs w:val="14"/>
          <w:u w:val="single" w:color="auto"/>
          <w:color w:val="0000EE"/>
        </w:rPr>
      </w:pPr>
      <w:hyperlink w:anchor="page5">
        <w:r>
          <w:rPr>
            <w:rFonts w:ascii="Arial" w:cs="Arial" w:eastAsia="Arial" w:hAnsi="Arial"/>
            <w:sz w:val="14"/>
            <w:szCs w:val="14"/>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121285</wp:posOffset>
            </wp:positionV>
            <wp:extent cx="7267575" cy="22186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67575" cy="2218690"/>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p>
      <w:pPr>
        <w:spacing w:after="0" w:line="200" w:lineRule="exact"/>
        <w:rPr>
          <w:sz w:val="20"/>
          <w:szCs w:val="20"/>
          <w:color w:val="auto"/>
        </w:rPr>
      </w:pPr>
    </w:p>
    <w:p>
      <w:pPr>
        <w:spacing w:after="0" w:line="217" w:lineRule="exact"/>
        <w:rPr>
          <w:sz w:val="20"/>
          <w:szCs w:val="20"/>
          <w:color w:val="auto"/>
        </w:rPr>
      </w:pPr>
    </w:p>
    <w:p>
      <w:pPr>
        <w:ind w:left="120"/>
        <w:spacing w:after="0"/>
        <w:rPr>
          <w:sz w:val="20"/>
          <w:szCs w:val="20"/>
          <w:color w:val="auto"/>
        </w:rPr>
      </w:pPr>
      <w:r>
        <w:rPr>
          <w:rFonts w:ascii="Arial" w:cs="Arial" w:eastAsia="Arial" w:hAnsi="Arial"/>
          <w:sz w:val="14"/>
          <w:szCs w:val="14"/>
          <w:b w:val="1"/>
          <w:bCs w:val="1"/>
          <w:color w:val="009CCC"/>
        </w:rPr>
        <w:t>Blair C. Pickerell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61</w:t>
      </w:r>
    </w:p>
    <w:p>
      <w:pPr>
        <w:ind w:left="120"/>
        <w:spacing w:after="0"/>
        <w:rPr>
          <w:sz w:val="20"/>
          <w:szCs w:val="20"/>
          <w:color w:val="auto"/>
        </w:rPr>
      </w:pPr>
      <w:r>
        <w:rPr>
          <w:rFonts w:ascii="Arial" w:cs="Arial" w:eastAsia="Arial" w:hAnsi="Arial"/>
          <w:sz w:val="12"/>
          <w:szCs w:val="12"/>
          <w:color w:val="7B7C80"/>
        </w:rPr>
        <w:t>Director Since: 2015</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4"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Finance</w:t>
      </w:r>
    </w:p>
    <w:p>
      <w:pPr>
        <w:spacing w:after="0" w:line="13" w:lineRule="exact"/>
        <w:rPr>
          <w:sz w:val="20"/>
          <w:szCs w:val="20"/>
          <w:color w:val="auto"/>
        </w:rPr>
      </w:pPr>
    </w:p>
    <w:p>
      <w:pPr>
        <w:spacing w:after="0"/>
        <w:rPr>
          <w:sz w:val="20"/>
          <w:szCs w:val="20"/>
          <w:color w:val="auto"/>
        </w:rPr>
      </w:pPr>
      <w:r>
        <w:rPr>
          <w:rFonts w:ascii="Arial" w:cs="Arial" w:eastAsia="Arial" w:hAnsi="Arial"/>
          <w:sz w:val="12"/>
          <w:szCs w:val="12"/>
          <w:color w:val="7B7C80"/>
        </w:rPr>
        <w:t>Nominating and Governance</w:t>
      </w:r>
    </w:p>
    <w:p>
      <w:pPr>
        <w:spacing w:after="0"/>
        <w:rPr>
          <w:sz w:val="20"/>
          <w:szCs w:val="20"/>
          <w:color w:val="auto"/>
        </w:rPr>
      </w:pPr>
      <w:r>
        <w:rPr>
          <w:rFonts w:ascii="Arial" w:cs="Arial" w:eastAsia="Arial" w:hAnsi="Arial"/>
          <w:sz w:val="12"/>
          <w:szCs w:val="12"/>
          <w:color w:val="7B7C80"/>
        </w:rPr>
        <w:t>Strategic Issues</w:t>
      </w:r>
    </w:p>
    <w:p>
      <w:pPr>
        <w:spacing w:after="0" w:line="169"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Public Directorships/Past 5 Years (all current): </w:t>
      </w:r>
      <w:r>
        <w:rPr>
          <w:rFonts w:ascii="Arial" w:cs="Arial" w:eastAsia="Arial" w:hAnsi="Arial"/>
          <w:sz w:val="12"/>
          <w:szCs w:val="12"/>
          <w:color w:val="7B7C80"/>
        </w:rPr>
        <w:t>Link Real Estate Investment Trust (Nomination and Remuneration Committees) (current);</w:t>
      </w:r>
    </w:p>
    <w:p>
      <w:pPr>
        <w:spacing w:after="0" w:line="183"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Former Public Directorships/Past 5 Years: </w:t>
      </w:r>
      <w:r>
        <w:rPr>
          <w:rFonts w:ascii="Arial" w:cs="Arial" w:eastAsia="Arial" w:hAnsi="Arial"/>
          <w:sz w:val="12"/>
          <w:szCs w:val="12"/>
          <w:color w:val="7B7C80"/>
        </w:rPr>
        <w:t>Dah Sing Financial Holdings Limited.</w:t>
      </w:r>
    </w:p>
    <w:p>
      <w:pPr>
        <w:spacing w:after="0" w:line="197" w:lineRule="exact"/>
        <w:rPr>
          <w:sz w:val="20"/>
          <w:szCs w:val="20"/>
          <w:color w:val="auto"/>
        </w:rPr>
      </w:pPr>
    </w:p>
    <w:p>
      <w:pPr>
        <w:jc w:val="both"/>
        <w:ind w:right="20"/>
        <w:spacing w:after="0" w:line="248" w:lineRule="auto"/>
        <w:rPr>
          <w:sz w:val="20"/>
          <w:szCs w:val="20"/>
          <w:color w:val="auto"/>
        </w:rPr>
      </w:pPr>
      <w:r>
        <w:rPr>
          <w:rFonts w:ascii="Arial" w:cs="Arial" w:eastAsia="Arial" w:hAnsi="Arial"/>
          <w:sz w:val="12"/>
          <w:szCs w:val="12"/>
          <w:color w:val="7B7C80"/>
        </w:rPr>
        <w:t>Mr. Pickerell served as Head of Asia of Nikko Asset Management from 2010-2014 and Chairman Asia from 2014-2015. From 2007-2010, he was CEO, Asia, at Morgan Stanley Investment Management. He has also served as Chief Executive, Asia Pacific, of HSBC Asset Management and as Chairman of Jardine Fleming Funds.</w:t>
      </w:r>
    </w:p>
    <w:p>
      <w:pPr>
        <w:spacing w:after="0" w:line="311" w:lineRule="exact"/>
        <w:rPr>
          <w:sz w:val="20"/>
          <w:szCs w:val="20"/>
          <w:color w:val="auto"/>
        </w:rPr>
      </w:pPr>
    </w:p>
    <w:p>
      <w:pPr>
        <w:jc w:val="both"/>
        <w:spacing w:after="0" w:line="246" w:lineRule="auto"/>
        <w:rPr>
          <w:sz w:val="20"/>
          <w:szCs w:val="20"/>
          <w:color w:val="auto"/>
        </w:rPr>
      </w:pPr>
      <w:r>
        <w:rPr>
          <w:rFonts w:ascii="Arial" w:cs="Arial" w:eastAsia="Arial" w:hAnsi="Arial"/>
          <w:sz w:val="12"/>
          <w:szCs w:val="12"/>
          <w:color w:val="7B7C80"/>
        </w:rPr>
        <w:t>Mr. Pickerell's current international service includes memberships on the Supervisory Committee for the Tracker Fund of Hong Kong; on the International Advisory Board of the Securities and Exchange Board of India; on the Listing Committee of The Stock Exchange of Hong Kong; and as member of the International Advisory Council of Business and Economics of The University of Hong Kong.</w:t>
      </w:r>
    </w:p>
    <w:p>
      <w:pPr>
        <w:spacing w:after="0" w:line="157" w:lineRule="exact"/>
        <w:rPr>
          <w:sz w:val="20"/>
          <w:szCs w:val="20"/>
          <w:color w:val="auto"/>
        </w:rPr>
      </w:pPr>
    </w:p>
    <w:p>
      <w:pPr>
        <w:jc w:val="both"/>
        <w:spacing w:after="0" w:line="258"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In addition to his extensive leadership record in the investment and asset management and financial services industries, Mr. Pickerell has</w:t>
      </w:r>
      <w:r>
        <w:rPr>
          <w:rFonts w:ascii="Arial" w:cs="Arial" w:eastAsia="Arial" w:hAnsi="Arial"/>
          <w:sz w:val="12"/>
          <w:szCs w:val="12"/>
          <w:b w:val="1"/>
          <w:bCs w:val="1"/>
          <w:color w:val="7B7C80"/>
        </w:rPr>
        <w:t xml:space="preserve"> </w:t>
      </w:r>
      <w:r>
        <w:rPr>
          <w:rFonts w:ascii="Arial" w:cs="Arial" w:eastAsia="Arial" w:hAnsi="Arial"/>
          <w:sz w:val="12"/>
          <w:szCs w:val="12"/>
          <w:color w:val="7B7C80"/>
        </w:rPr>
        <w:t>executive level experience in the retail consumer, international, marketing, mergers &amp; acquisitions, product development and strategic planning. He is fluent in Mandarin Chinese.</w:t>
      </w:r>
    </w:p>
    <w:p>
      <w:pPr>
        <w:spacing w:after="0" w:line="151"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and M. A. degrees from Stanford University, MBA from Harvard Business School.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-1566545</wp:posOffset>
            </wp:positionH>
            <wp:positionV relativeFrom="paragraph">
              <wp:posOffset>93345</wp:posOffset>
            </wp:positionV>
            <wp:extent cx="7267575" cy="69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40" w:space="720"/>
            <w:col w:w="8980"/>
          </w:cols>
          <w:pgMar w:left="240" w:top="142" w:right="219" w:bottom="1440" w:gutter="0" w:footer="0" w:header="0"/>
          <w:type w:val="continuous"/>
        </w:sectPr>
      </w:pPr>
    </w:p>
    <w:p>
      <w:pPr>
        <w:spacing w:after="0" w:line="126" w:lineRule="exact"/>
        <w:rPr>
          <w:sz w:val="20"/>
          <w:szCs w:val="20"/>
          <w:color w:val="auto"/>
        </w:rPr>
      </w:pPr>
    </w:p>
    <w:p>
      <w:pPr>
        <w:spacing w:after="0"/>
        <w:rPr>
          <w:sz w:val="20"/>
          <w:szCs w:val="20"/>
          <w:color w:val="auto"/>
        </w:rPr>
      </w:pPr>
      <w:r>
        <w:rPr>
          <w:rFonts w:ascii="Arial" w:cs="Arial" w:eastAsia="Arial" w:hAnsi="Arial"/>
          <w:sz w:val="14"/>
          <w:szCs w:val="14"/>
          <w:b w:val="1"/>
          <w:bCs w:val="1"/>
          <w:color w:val="009CCC"/>
        </w:rPr>
        <w:t>Continuing Class I Directors With Terms Expiring in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132715</wp:posOffset>
            </wp:positionV>
            <wp:extent cx="7267575" cy="22771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67575" cy="2277110"/>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type w:val="continuous"/>
        </w:sectPr>
      </w:pPr>
    </w:p>
    <w:p>
      <w:pPr>
        <w:spacing w:after="0" w:line="200" w:lineRule="exact"/>
        <w:rPr>
          <w:sz w:val="20"/>
          <w:szCs w:val="20"/>
          <w:color w:val="auto"/>
        </w:rPr>
      </w:pPr>
    </w:p>
    <w:p>
      <w:pPr>
        <w:spacing w:after="0" w:line="235" w:lineRule="exact"/>
        <w:rPr>
          <w:sz w:val="20"/>
          <w:szCs w:val="20"/>
          <w:color w:val="auto"/>
        </w:rPr>
      </w:pPr>
    </w:p>
    <w:p>
      <w:pPr>
        <w:ind w:left="120"/>
        <w:spacing w:after="0"/>
        <w:rPr>
          <w:sz w:val="20"/>
          <w:szCs w:val="20"/>
          <w:color w:val="auto"/>
        </w:rPr>
      </w:pPr>
      <w:r>
        <w:rPr>
          <w:rFonts w:ascii="Arial" w:cs="Arial" w:eastAsia="Arial" w:hAnsi="Arial"/>
          <w:sz w:val="15"/>
          <w:szCs w:val="15"/>
          <w:b w:val="1"/>
          <w:bCs w:val="1"/>
          <w:color w:val="009CCC"/>
        </w:rPr>
        <w:t>Betsy J. Bernard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62</w:t>
      </w:r>
    </w:p>
    <w:p>
      <w:pPr>
        <w:ind w:left="120"/>
        <w:spacing w:after="0"/>
        <w:rPr>
          <w:sz w:val="20"/>
          <w:szCs w:val="20"/>
          <w:color w:val="auto"/>
        </w:rPr>
      </w:pPr>
      <w:r>
        <w:rPr>
          <w:rFonts w:ascii="Arial" w:cs="Arial" w:eastAsia="Arial" w:hAnsi="Arial"/>
          <w:sz w:val="12"/>
          <w:szCs w:val="12"/>
          <w:color w:val="7B7C80"/>
        </w:rPr>
        <w:t>Director Since: 1999 (Principal Life),</w:t>
      </w:r>
    </w:p>
    <w:p>
      <w:pPr>
        <w:ind w:left="120"/>
        <w:spacing w:after="0"/>
        <w:rPr>
          <w:sz w:val="20"/>
          <w:szCs w:val="20"/>
          <w:color w:val="auto"/>
        </w:rPr>
      </w:pPr>
      <w:r>
        <w:rPr>
          <w:rFonts w:ascii="Arial" w:cs="Arial" w:eastAsia="Arial" w:hAnsi="Arial"/>
          <w:sz w:val="12"/>
          <w:szCs w:val="12"/>
          <w:color w:val="7B7C80"/>
        </w:rPr>
        <w:t>2001 (the Company)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12"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Audit</w:t>
      </w:r>
    </w:p>
    <w:p>
      <w:pPr>
        <w:spacing w:after="0" w:line="13" w:lineRule="exact"/>
        <w:rPr>
          <w:sz w:val="20"/>
          <w:szCs w:val="20"/>
          <w:color w:val="auto"/>
        </w:rPr>
      </w:pPr>
    </w:p>
    <w:p>
      <w:pPr>
        <w:spacing w:after="0"/>
        <w:rPr>
          <w:sz w:val="20"/>
          <w:szCs w:val="20"/>
          <w:color w:val="auto"/>
        </w:rPr>
      </w:pPr>
      <w:r>
        <w:rPr>
          <w:rFonts w:ascii="Arial" w:cs="Arial" w:eastAsia="Arial" w:hAnsi="Arial"/>
          <w:sz w:val="12"/>
          <w:szCs w:val="12"/>
          <w:color w:val="7B7C80"/>
        </w:rPr>
        <w:t>Finance</w:t>
      </w:r>
    </w:p>
    <w:p>
      <w:pPr>
        <w:spacing w:after="0"/>
        <w:rPr>
          <w:sz w:val="20"/>
          <w:szCs w:val="20"/>
          <w:color w:val="auto"/>
        </w:rPr>
      </w:pPr>
      <w:r>
        <w:rPr>
          <w:rFonts w:ascii="Arial" w:cs="Arial" w:eastAsia="Arial" w:hAnsi="Arial"/>
          <w:sz w:val="12"/>
          <w:szCs w:val="12"/>
          <w:color w:val="7B7C80"/>
        </w:rPr>
        <w:t>Strategic Issues (Chair)</w:t>
      </w:r>
    </w:p>
    <w:p>
      <w:pPr>
        <w:spacing w:after="0"/>
        <w:rPr>
          <w:sz w:val="20"/>
          <w:szCs w:val="20"/>
          <w:color w:val="auto"/>
        </w:rPr>
      </w:pPr>
      <w:r>
        <w:rPr>
          <w:rFonts w:ascii="Arial" w:cs="Arial" w:eastAsia="Arial" w:hAnsi="Arial"/>
          <w:sz w:val="12"/>
          <w:szCs w:val="12"/>
          <w:color w:val="7B7C80"/>
        </w:rPr>
        <w:t>Executive</w:t>
      </w:r>
    </w:p>
    <w:p>
      <w:pPr>
        <w:spacing w:after="0" w:line="169"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Public Directorships (current): </w:t>
      </w:r>
      <w:r>
        <w:rPr>
          <w:rFonts w:ascii="Arial" w:cs="Arial" w:eastAsia="Arial" w:hAnsi="Arial"/>
          <w:sz w:val="12"/>
          <w:szCs w:val="12"/>
          <w:color w:val="7B7C80"/>
        </w:rPr>
        <w:t>Zimmer Biomet (member of the Audit Committee and Chair of the Governance Committee)</w:t>
      </w:r>
    </w:p>
    <w:p>
      <w:pPr>
        <w:spacing w:after="0" w:line="183" w:lineRule="exact"/>
        <w:rPr>
          <w:sz w:val="20"/>
          <w:szCs w:val="20"/>
          <w:color w:val="auto"/>
        </w:rPr>
      </w:pPr>
    </w:p>
    <w:p>
      <w:pPr>
        <w:jc w:val="both"/>
        <w:ind w:right="20"/>
        <w:spacing w:after="0" w:line="278" w:lineRule="auto"/>
        <w:rPr>
          <w:sz w:val="20"/>
          <w:szCs w:val="20"/>
          <w:color w:val="auto"/>
        </w:rPr>
      </w:pPr>
      <w:r>
        <w:rPr>
          <w:rFonts w:ascii="Arial" w:cs="Arial" w:eastAsia="Arial" w:hAnsi="Arial"/>
          <w:sz w:val="12"/>
          <w:szCs w:val="12"/>
          <w:b w:val="1"/>
          <w:bCs w:val="1"/>
          <w:color w:val="7B7C80"/>
        </w:rPr>
        <w:t xml:space="preserve">Former Public Directorships/Past 5 Years: </w:t>
      </w:r>
      <w:r>
        <w:rPr>
          <w:rFonts w:ascii="Arial" w:cs="Arial" w:eastAsia="Arial" w:hAnsi="Arial"/>
          <w:sz w:val="12"/>
          <w:szCs w:val="12"/>
          <w:color w:val="7B7C80"/>
        </w:rPr>
        <w:t>SITO Mobile, Inc. (Lead Independent Director, member of Audit and Compensation Committees, Chair of the</w:t>
      </w:r>
      <w:r>
        <w:rPr>
          <w:rFonts w:ascii="Arial" w:cs="Arial" w:eastAsia="Arial" w:hAnsi="Arial"/>
          <w:sz w:val="12"/>
          <w:szCs w:val="12"/>
          <w:b w:val="1"/>
          <w:bCs w:val="1"/>
          <w:color w:val="7B7C80"/>
        </w:rPr>
        <w:t xml:space="preserve"> </w:t>
      </w:r>
      <w:r>
        <w:rPr>
          <w:rFonts w:ascii="Arial" w:cs="Arial" w:eastAsia="Arial" w:hAnsi="Arial"/>
          <w:sz w:val="12"/>
          <w:szCs w:val="12"/>
          <w:color w:val="7B7C80"/>
        </w:rPr>
        <w:t>Nominating and Governance Committee)</w:t>
      </w:r>
    </w:p>
    <w:p>
      <w:pPr>
        <w:spacing w:after="0" w:line="153" w:lineRule="exact"/>
        <w:rPr>
          <w:sz w:val="20"/>
          <w:szCs w:val="20"/>
          <w:color w:val="auto"/>
        </w:rPr>
      </w:pPr>
    </w:p>
    <w:p>
      <w:pPr>
        <w:jc w:val="both"/>
        <w:spacing w:after="0" w:line="242" w:lineRule="auto"/>
        <w:rPr>
          <w:sz w:val="20"/>
          <w:szCs w:val="20"/>
          <w:color w:val="auto"/>
        </w:rPr>
      </w:pPr>
      <w:r>
        <w:rPr>
          <w:rFonts w:ascii="Arial" w:cs="Arial" w:eastAsia="Arial" w:hAnsi="Arial"/>
          <w:sz w:val="12"/>
          <w:szCs w:val="12"/>
          <w:color w:val="7B7C80"/>
        </w:rPr>
        <w:t>Ms. Bernard was President of AT&amp;T from October 2002 until December 2003 where she led more than 50,000 employees with AT&amp;T Business, then a nearly $27 billion organization serving four million business customers. She was Chief Executive Officer of AT&amp;T Consumer 2001-2002, which served about 40 million consumers and contributed $11.5 billion to AT&amp;T's normalized revenue in 2002. She was head of the consumer and small business division as Executive Vice President—National Mass Markets at Qwest Communications from 2000-2001, and responsible for all retail markets at U S West as Executive Vice President—Retail from 1998-2000. Ms. Bernard was a 2015 NACD Directorship 100 Honoree.</w:t>
      </w:r>
    </w:p>
    <w:p>
      <w:pPr>
        <w:spacing w:after="0" w:line="161" w:lineRule="exact"/>
        <w:rPr>
          <w:sz w:val="20"/>
          <w:szCs w:val="20"/>
          <w:color w:val="auto"/>
        </w:rPr>
      </w:pPr>
    </w:p>
    <w:p>
      <w:pPr>
        <w:jc w:val="both"/>
        <w:spacing w:after="0" w:line="258"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In addition to leading and being responsible for financial management of AT&amp;T, Ms. Bernard has executive level experience in brand</w:t>
      </w:r>
      <w:r>
        <w:rPr>
          <w:rFonts w:ascii="Arial" w:cs="Arial" w:eastAsia="Arial" w:hAnsi="Arial"/>
          <w:sz w:val="12"/>
          <w:szCs w:val="12"/>
          <w:b w:val="1"/>
          <w:bCs w:val="1"/>
          <w:color w:val="7B7C80"/>
        </w:rPr>
        <w:t xml:space="preserve"> </w:t>
      </w:r>
      <w:r>
        <w:rPr>
          <w:rFonts w:ascii="Arial" w:cs="Arial" w:eastAsia="Arial" w:hAnsi="Arial"/>
          <w:sz w:val="12"/>
          <w:szCs w:val="12"/>
          <w:color w:val="7B7C80"/>
        </w:rPr>
        <w:t>management, marketing to individuals and small businesses, sales, customer care, operations, product management, electronic commerce, executive compensation, strategic planning, technology and mergers and acquisitions.</w:t>
      </w:r>
    </w:p>
    <w:p>
      <w:pPr>
        <w:spacing w:after="0" w:line="151" w:lineRule="exact"/>
        <w:rPr>
          <w:sz w:val="20"/>
          <w:szCs w:val="20"/>
          <w:color w:val="auto"/>
        </w:rPr>
      </w:pPr>
    </w:p>
    <w:p>
      <w:pPr>
        <w:jc w:val="both"/>
        <w:ind w:right="20"/>
        <w:spacing w:after="0" w:line="278" w:lineRule="auto"/>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Bachelor's degree from St. Lawrence University, master's degree in business administration from Fairleigh Dickinson University, MA from Stanford</w:t>
      </w:r>
      <w:r>
        <w:rPr>
          <w:rFonts w:ascii="Arial" w:cs="Arial" w:eastAsia="Arial" w:hAnsi="Arial"/>
          <w:sz w:val="12"/>
          <w:szCs w:val="12"/>
          <w:b w:val="1"/>
          <w:bCs w:val="1"/>
          <w:color w:val="7B7C80"/>
        </w:rPr>
        <w:t xml:space="preserve"> </w:t>
      </w:r>
      <w:r>
        <w:rPr>
          <w:rFonts w:ascii="Arial" w:cs="Arial" w:eastAsia="Arial" w:hAnsi="Arial"/>
          <w:sz w:val="12"/>
          <w:szCs w:val="12"/>
          <w:color w:val="7B7C80"/>
        </w:rPr>
        <w:t>University in the Sloan Fellow Program.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-1566545</wp:posOffset>
            </wp:positionH>
            <wp:positionV relativeFrom="paragraph">
              <wp:posOffset>65405</wp:posOffset>
            </wp:positionV>
            <wp:extent cx="7267575" cy="69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67575" cy="6985"/>
                    </a:xfrm>
                    <a:prstGeom prst="rect">
                      <a:avLst/>
                    </a:prstGeom>
                    <a:noFill/>
                  </pic:spPr>
                </pic:pic>
              </a:graphicData>
            </a:graphic>
          </wp:anchor>
        </w:drawing>
        <w:drawing>
          <wp:anchor simplePos="0" relativeHeight="251657728" behindDoc="1" locked="0" layoutInCell="0" allowOverlap="1">
            <wp:simplePos x="0" y="0"/>
            <wp:positionH relativeFrom="column">
              <wp:posOffset>1510030</wp:posOffset>
            </wp:positionH>
            <wp:positionV relativeFrom="paragraph">
              <wp:posOffset>188595</wp:posOffset>
            </wp:positionV>
            <wp:extent cx="960120" cy="2838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2060" w:space="400"/>
            <w:col w:w="8980"/>
          </w:cols>
          <w:pgMar w:left="240" w:top="142" w:right="219" w:bottom="1440" w:gutter="0" w:footer="0" w:header="0"/>
          <w:type w:val="continuous"/>
        </w:sectPr>
      </w:pP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11</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type w:val="continuous"/>
        </w:sectPr>
      </w:pPr>
    </w:p>
    <w:bookmarkStart w:id="14" w:name="page15"/>
    <w:bookmarkEnd w:id="14"/>
    <w:p>
      <w:pPr>
        <w:spacing w:after="0"/>
        <w:rPr>
          <w:rFonts w:ascii="Arial" w:cs="Arial" w:eastAsia="Arial" w:hAnsi="Arial"/>
          <w:sz w:val="14"/>
          <w:szCs w:val="14"/>
          <w:u w:val="single" w:color="auto"/>
          <w:color w:val="0000EE"/>
        </w:rPr>
      </w:pPr>
      <w:hyperlink w:anchor="page5">
        <w:r>
          <w:rPr>
            <w:rFonts w:ascii="Arial" w:cs="Arial" w:eastAsia="Arial" w:hAnsi="Arial"/>
            <w:sz w:val="14"/>
            <w:szCs w:val="14"/>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121285</wp:posOffset>
            </wp:positionV>
            <wp:extent cx="7267575" cy="21170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67575" cy="2117090"/>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p>
      <w:pPr>
        <w:spacing w:after="0" w:line="200" w:lineRule="exact"/>
        <w:rPr>
          <w:sz w:val="20"/>
          <w:szCs w:val="20"/>
          <w:color w:val="auto"/>
        </w:rPr>
      </w:pPr>
    </w:p>
    <w:p>
      <w:pPr>
        <w:spacing w:after="0" w:line="217" w:lineRule="exact"/>
        <w:rPr>
          <w:sz w:val="20"/>
          <w:szCs w:val="20"/>
          <w:color w:val="auto"/>
        </w:rPr>
      </w:pPr>
    </w:p>
    <w:p>
      <w:pPr>
        <w:ind w:left="120"/>
        <w:spacing w:after="0"/>
        <w:rPr>
          <w:sz w:val="20"/>
          <w:szCs w:val="20"/>
          <w:color w:val="auto"/>
        </w:rPr>
      </w:pPr>
      <w:r>
        <w:rPr>
          <w:rFonts w:ascii="Arial" w:cs="Arial" w:eastAsia="Arial" w:hAnsi="Arial"/>
          <w:sz w:val="15"/>
          <w:szCs w:val="15"/>
          <w:b w:val="1"/>
          <w:bCs w:val="1"/>
          <w:color w:val="009CCC"/>
        </w:rPr>
        <w:t>Jocelyn Carter-Miller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60</w:t>
      </w:r>
    </w:p>
    <w:p>
      <w:pPr>
        <w:ind w:left="120"/>
        <w:spacing w:after="0"/>
        <w:rPr>
          <w:sz w:val="20"/>
          <w:szCs w:val="20"/>
          <w:color w:val="auto"/>
        </w:rPr>
      </w:pPr>
      <w:r>
        <w:rPr>
          <w:rFonts w:ascii="Arial" w:cs="Arial" w:eastAsia="Arial" w:hAnsi="Arial"/>
          <w:sz w:val="12"/>
          <w:szCs w:val="12"/>
          <w:color w:val="7B7C80"/>
        </w:rPr>
        <w:t>Director Since: 1999 (Principal Life),</w:t>
      </w:r>
    </w:p>
    <w:p>
      <w:pPr>
        <w:ind w:left="120"/>
        <w:spacing w:after="0"/>
        <w:rPr>
          <w:sz w:val="20"/>
          <w:szCs w:val="20"/>
          <w:color w:val="auto"/>
        </w:rPr>
      </w:pPr>
      <w:r>
        <w:rPr>
          <w:rFonts w:ascii="Arial" w:cs="Arial" w:eastAsia="Arial" w:hAnsi="Arial"/>
          <w:sz w:val="12"/>
          <w:szCs w:val="12"/>
          <w:color w:val="7B7C80"/>
        </w:rPr>
        <w:t>2001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179070</wp:posOffset>
            </wp:positionV>
            <wp:extent cx="1454785" cy="192024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1454785" cy="19202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4"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Finance (Chair)</w:t>
      </w:r>
    </w:p>
    <w:p>
      <w:pPr>
        <w:spacing w:after="0" w:line="13" w:lineRule="exact"/>
        <w:rPr>
          <w:sz w:val="20"/>
          <w:szCs w:val="20"/>
          <w:color w:val="auto"/>
        </w:rPr>
      </w:pPr>
    </w:p>
    <w:p>
      <w:pPr>
        <w:spacing w:after="0"/>
        <w:rPr>
          <w:sz w:val="20"/>
          <w:szCs w:val="20"/>
          <w:color w:val="auto"/>
        </w:rPr>
      </w:pPr>
      <w:r>
        <w:rPr>
          <w:rFonts w:ascii="Arial" w:cs="Arial" w:eastAsia="Arial" w:hAnsi="Arial"/>
          <w:sz w:val="12"/>
          <w:szCs w:val="12"/>
          <w:color w:val="7B7C80"/>
        </w:rPr>
        <w:t>Nominating and Governance</w:t>
      </w:r>
    </w:p>
    <w:p>
      <w:pPr>
        <w:spacing w:after="0" w:line="169" w:lineRule="exact"/>
        <w:rPr>
          <w:sz w:val="20"/>
          <w:szCs w:val="20"/>
          <w:color w:val="auto"/>
        </w:rPr>
      </w:pPr>
    </w:p>
    <w:p>
      <w:pPr>
        <w:jc w:val="both"/>
        <w:ind w:right="20"/>
        <w:spacing w:after="0" w:line="278" w:lineRule="auto"/>
        <w:rPr>
          <w:sz w:val="20"/>
          <w:szCs w:val="20"/>
          <w:color w:val="auto"/>
        </w:rPr>
      </w:pPr>
      <w:r>
        <w:rPr>
          <w:rFonts w:ascii="Arial" w:cs="Arial" w:eastAsia="Arial" w:hAnsi="Arial"/>
          <w:sz w:val="12"/>
          <w:szCs w:val="12"/>
          <w:b w:val="1"/>
          <w:bCs w:val="1"/>
          <w:color w:val="7B7C80"/>
        </w:rPr>
        <w:t xml:space="preserve">Public Directorships/Past 5 Years (all current): </w:t>
      </w:r>
      <w:r>
        <w:rPr>
          <w:rFonts w:ascii="Arial" w:cs="Arial" w:eastAsia="Arial" w:hAnsi="Arial"/>
          <w:sz w:val="12"/>
          <w:szCs w:val="12"/>
          <w:color w:val="7B7C80"/>
        </w:rPr>
        <w:t>Interpublic Group of Companies, Inc. (Audit and Executive Committees, Chair of Corporate Governance</w:t>
      </w:r>
      <w:r>
        <w:rPr>
          <w:rFonts w:ascii="Arial" w:cs="Arial" w:eastAsia="Arial" w:hAnsi="Arial"/>
          <w:sz w:val="12"/>
          <w:szCs w:val="12"/>
          <w:b w:val="1"/>
          <w:bCs w:val="1"/>
          <w:color w:val="7B7C80"/>
        </w:rPr>
        <w:t xml:space="preserve"> </w:t>
      </w:r>
      <w:r>
        <w:rPr>
          <w:rFonts w:ascii="Arial" w:cs="Arial" w:eastAsia="Arial" w:hAnsi="Arial"/>
          <w:sz w:val="12"/>
          <w:szCs w:val="12"/>
          <w:color w:val="7B7C80"/>
        </w:rPr>
        <w:t>Committee), Netgear, Inc. (Audit and Compensation Committees)</w:t>
      </w:r>
    </w:p>
    <w:p>
      <w:pPr>
        <w:spacing w:after="0" w:line="153" w:lineRule="exact"/>
        <w:rPr>
          <w:sz w:val="20"/>
          <w:szCs w:val="20"/>
          <w:color w:val="auto"/>
        </w:rPr>
      </w:pPr>
    </w:p>
    <w:p>
      <w:pPr>
        <w:jc w:val="both"/>
        <w:spacing w:after="0" w:line="241" w:lineRule="auto"/>
        <w:rPr>
          <w:sz w:val="20"/>
          <w:szCs w:val="20"/>
          <w:color w:val="auto"/>
        </w:rPr>
      </w:pPr>
      <w:r>
        <w:rPr>
          <w:rFonts w:ascii="Arial" w:cs="Arial" w:eastAsia="Arial" w:hAnsi="Arial"/>
          <w:sz w:val="12"/>
          <w:szCs w:val="12"/>
          <w:color w:val="7B7C80"/>
        </w:rPr>
        <w:t>Ms. Carter-Miller has been President of TechEd Ventures since 2005, which specializes in the development and marketing of high performance educational and personal empowerment programming. She was Executive Vice President and Chief Marketing Officer of Office Depot, Inc. from February 2002 until March 2004, with responsibility for the company's marketing for its 846 superstores, contract, catalog and e-commerce businesses in the United States and Canada and operations in 15 other countries. Before joining Office Depot, she was Corporate Vice President and Chief Marketing Officer of Motorola, Inc. with overall responsibility for marketing across its $30 billion revenue base and diverse businesses. She also had general management responsibility while at Motorola for network operations in Latin America, Europe, the Middle East and Africa. Prior to joining Motorola, she was Vice President, Marketing and Product Development at Mattel, Inc. Ms. Carter-Miller was a 2013 NACD Directorship 100 Honoree, a Savoy Power 300: 2016 Most Influential Black Corporate Directors, and 2017 Directors &amp; Boards Director to Watch.</w:t>
      </w:r>
    </w:p>
    <w:p>
      <w:pPr>
        <w:spacing w:after="0" w:line="162" w:lineRule="exact"/>
        <w:rPr>
          <w:sz w:val="20"/>
          <w:szCs w:val="20"/>
          <w:color w:val="auto"/>
        </w:rPr>
      </w:pPr>
    </w:p>
    <w:p>
      <w:pPr>
        <w:jc w:val="both"/>
        <w:ind w:right="20"/>
        <w:spacing w:after="0" w:line="258" w:lineRule="auto"/>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In addition to her marketing leadership background, Ms. Carter-Miller has executive level experience in brand management, advertising,</w:t>
      </w:r>
      <w:r>
        <w:rPr>
          <w:rFonts w:ascii="Arial" w:cs="Arial" w:eastAsia="Arial" w:hAnsi="Arial"/>
          <w:sz w:val="12"/>
          <w:szCs w:val="12"/>
          <w:b w:val="1"/>
          <w:bCs w:val="1"/>
          <w:color w:val="7B7C80"/>
        </w:rPr>
        <w:t xml:space="preserve"> </w:t>
      </w:r>
      <w:r>
        <w:rPr>
          <w:rFonts w:ascii="Arial" w:cs="Arial" w:eastAsia="Arial" w:hAnsi="Arial"/>
          <w:sz w:val="12"/>
          <w:szCs w:val="12"/>
          <w:color w:val="7B7C80"/>
        </w:rPr>
        <w:t>sales, multinational companies, international operations, mergers and acquisitions, product development, project management, strategic planning, technology and leadership development and training. She is also a certified public accountant.</w:t>
      </w:r>
    </w:p>
    <w:p>
      <w:pPr>
        <w:spacing w:after="0" w:line="151" w:lineRule="exact"/>
        <w:rPr>
          <w:sz w:val="20"/>
          <w:szCs w:val="20"/>
          <w:color w:val="auto"/>
        </w:rPr>
      </w:pPr>
    </w:p>
    <w:p>
      <w:pPr>
        <w:spacing w:after="0"/>
        <w:rPr>
          <w:sz w:val="20"/>
          <w:szCs w:val="20"/>
          <w:color w:val="auto"/>
        </w:rPr>
      </w:pPr>
      <w:r>
        <w:rPr>
          <w:rFonts w:ascii="Arial" w:cs="Arial" w:eastAsia="Arial" w:hAnsi="Arial"/>
          <w:sz w:val="12"/>
          <w:szCs w:val="12"/>
          <w:b w:val="1"/>
          <w:bCs w:val="1"/>
          <w:color w:val="7B7C80"/>
        </w:rPr>
        <w:t xml:space="preserve">Education: </w:t>
      </w:r>
      <w:r>
        <w:rPr>
          <w:rFonts w:ascii="Arial" w:cs="Arial" w:eastAsia="Arial" w:hAnsi="Arial"/>
          <w:sz w:val="12"/>
          <w:szCs w:val="12"/>
          <w:color w:val="7B7C80"/>
        </w:rPr>
        <w:t>B.S. in Accounting from the University of Illinois and an MBA in Finance and Marketing from the University of Chicago.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-1566545</wp:posOffset>
            </wp:positionH>
            <wp:positionV relativeFrom="paragraph">
              <wp:posOffset>224155</wp:posOffset>
            </wp:positionV>
            <wp:extent cx="7267575" cy="698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420" w:lineRule="exact"/>
        <w:rPr>
          <w:sz w:val="20"/>
          <w:szCs w:val="20"/>
          <w:color w:val="auto"/>
        </w:rPr>
      </w:pPr>
    </w:p>
    <w:p>
      <w:pPr>
        <w:sectPr>
          <w:pgSz w:w="11900" w:h="16838" w:orient="portrait"/>
          <w:cols w:equalWidth="0" w:num="2">
            <w:col w:w="2060" w:space="400"/>
            <w:col w:w="8980"/>
          </w:cols>
          <w:pgMar w:left="240" w:top="142" w:right="219" w:bottom="1440" w:gutter="0" w:footer="0" w:header="0"/>
          <w:type w:val="continuous"/>
        </w:sectPr>
      </w:pPr>
    </w:p>
    <w:p>
      <w:pPr>
        <w:spacing w:after="0" w:line="158" w:lineRule="exact"/>
        <w:rPr>
          <w:sz w:val="20"/>
          <w:szCs w:val="20"/>
          <w:color w:val="auto"/>
        </w:rPr>
      </w:pPr>
    </w:p>
    <w:tbl>
      <w:tblPr>
        <w:tblLayout w:type="fixed"/>
        <w:tblInd w:w="120" w:type="dxa"/>
        <w:tblCellMar>
          <w:top w:w="0" w:type="dxa"/>
          <w:left w:w="0" w:type="dxa"/>
          <w:bottom w:w="0" w:type="dxa"/>
          <w:right w:w="0" w:type="dxa"/>
        </w:tblCellMar>
      </w:tblPr>
      <w:tr>
        <w:trPr>
          <w:trHeight w:val="197"/>
        </w:trPr>
        <w:tc>
          <w:tcPr>
            <w:tcW w:w="1640" w:type="dxa"/>
            <w:vAlign w:val="bottom"/>
          </w:tcPr>
          <w:p>
            <w:pPr>
              <w:spacing w:after="0"/>
              <w:rPr>
                <w:sz w:val="20"/>
                <w:szCs w:val="20"/>
                <w:color w:val="auto"/>
              </w:rPr>
            </w:pPr>
            <w:r>
              <w:rPr>
                <w:rFonts w:ascii="Arial" w:cs="Arial" w:eastAsia="Arial" w:hAnsi="Arial"/>
                <w:sz w:val="15"/>
                <w:szCs w:val="15"/>
                <w:b w:val="1"/>
                <w:bCs w:val="1"/>
                <w:color w:val="009CCC"/>
              </w:rPr>
              <w:t>Scott M. Mills</w:t>
            </w:r>
          </w:p>
        </w:tc>
        <w:tc>
          <w:tcPr>
            <w:tcW w:w="9680" w:type="dxa"/>
            <w:vAlign w:val="bottom"/>
            <w:vMerge w:val="restart"/>
          </w:tcPr>
          <w:p>
            <w:pPr>
              <w:ind w:left="700"/>
              <w:spacing w:after="0"/>
              <w:rPr>
                <w:sz w:val="20"/>
                <w:szCs w:val="20"/>
                <w:color w:val="auto"/>
              </w:rPr>
            </w:pPr>
            <w:r>
              <w:rPr>
                <w:rFonts w:ascii="Arial" w:cs="Arial" w:eastAsia="Arial" w:hAnsi="Arial"/>
                <w:sz w:val="12"/>
                <w:szCs w:val="12"/>
                <w:b w:val="1"/>
                <w:bCs w:val="1"/>
                <w:color w:val="7B7C80"/>
              </w:rPr>
              <w:t xml:space="preserve">Committees: </w:t>
            </w:r>
            <w:r>
              <w:rPr>
                <w:rFonts w:ascii="Arial" w:cs="Arial" w:eastAsia="Arial" w:hAnsi="Arial"/>
                <w:sz w:val="12"/>
                <w:szCs w:val="12"/>
                <w:color w:val="7B7C80"/>
              </w:rPr>
              <w:t>Audit</w:t>
            </w:r>
          </w:p>
        </w:tc>
        <w:tc>
          <w:tcPr>
            <w:tcW w:w="0" w:type="dxa"/>
            <w:vAlign w:val="bottom"/>
          </w:tcPr>
          <w:p>
            <w:pPr>
              <w:spacing w:after="0"/>
              <w:rPr>
                <w:sz w:val="1"/>
                <w:szCs w:val="1"/>
                <w:color w:val="auto"/>
              </w:rPr>
            </w:pPr>
          </w:p>
        </w:tc>
      </w:tr>
      <w:tr>
        <w:trPr>
          <w:trHeight w:val="52"/>
        </w:trPr>
        <w:tc>
          <w:tcPr>
            <w:tcW w:w="1640" w:type="dxa"/>
            <w:vAlign w:val="bottom"/>
          </w:tcPr>
          <w:p>
            <w:pPr>
              <w:spacing w:after="0"/>
              <w:rPr>
                <w:sz w:val="4"/>
                <w:szCs w:val="4"/>
                <w:color w:val="auto"/>
              </w:rPr>
            </w:pPr>
          </w:p>
        </w:tc>
        <w:tc>
          <w:tcPr>
            <w:tcW w:w="96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9680" w:type="dxa"/>
            <w:vAlign w:val="bottom"/>
          </w:tcPr>
          <w:p>
            <w:pPr>
              <w:ind w:left="700"/>
              <w:spacing w:after="0"/>
              <w:rPr>
                <w:sz w:val="20"/>
                <w:szCs w:val="20"/>
                <w:color w:val="auto"/>
              </w:rPr>
            </w:pPr>
            <w:r>
              <w:rPr>
                <w:rFonts w:ascii="Arial" w:cs="Arial" w:eastAsia="Arial" w:hAnsi="Arial"/>
                <w:sz w:val="12"/>
                <w:szCs w:val="12"/>
                <w:color w:val="7B7C80"/>
              </w:rPr>
              <w:t>Human Resources</w:t>
            </w:r>
          </w:p>
        </w:tc>
        <w:tc>
          <w:tcPr>
            <w:tcW w:w="0" w:type="dxa"/>
            <w:vAlign w:val="bottom"/>
          </w:tcPr>
          <w:p>
            <w:pPr>
              <w:spacing w:after="0"/>
              <w:rPr>
                <w:sz w:val="1"/>
                <w:szCs w:val="1"/>
                <w:color w:val="auto"/>
              </w:rPr>
            </w:pPr>
          </w:p>
        </w:tc>
      </w:tr>
      <w:tr>
        <w:trPr>
          <w:trHeight w:val="147"/>
        </w:trPr>
        <w:tc>
          <w:tcPr>
            <w:tcW w:w="1640" w:type="dxa"/>
            <w:vAlign w:val="bottom"/>
          </w:tcPr>
          <w:p>
            <w:pPr>
              <w:spacing w:after="0"/>
              <w:rPr>
                <w:sz w:val="12"/>
                <w:szCs w:val="12"/>
                <w:color w:val="auto"/>
              </w:rPr>
            </w:pPr>
          </w:p>
        </w:tc>
        <w:tc>
          <w:tcPr>
            <w:tcW w:w="9680" w:type="dxa"/>
            <w:vAlign w:val="bottom"/>
          </w:tcPr>
          <w:p>
            <w:pPr>
              <w:ind w:left="700"/>
              <w:spacing w:after="0"/>
              <w:rPr>
                <w:sz w:val="20"/>
                <w:szCs w:val="20"/>
                <w:color w:val="auto"/>
              </w:rPr>
            </w:pPr>
            <w:r>
              <w:rPr>
                <w:rFonts w:ascii="Arial" w:cs="Arial" w:eastAsia="Arial" w:hAnsi="Arial"/>
                <w:sz w:val="12"/>
                <w:szCs w:val="12"/>
                <w:color w:val="7B7C80"/>
              </w:rPr>
              <w:t>Strategic Issues</w:t>
            </w:r>
          </w:p>
        </w:tc>
        <w:tc>
          <w:tcPr>
            <w:tcW w:w="0" w:type="dxa"/>
            <w:vAlign w:val="bottom"/>
          </w:tcPr>
          <w:p>
            <w:pPr>
              <w:spacing w:after="0"/>
              <w:rPr>
                <w:sz w:val="1"/>
                <w:szCs w:val="1"/>
                <w:color w:val="auto"/>
              </w:rPr>
            </w:pPr>
          </w:p>
        </w:tc>
      </w:tr>
      <w:tr>
        <w:trPr>
          <w:trHeight w:val="312"/>
        </w:trPr>
        <w:tc>
          <w:tcPr>
            <w:tcW w:w="1640" w:type="dxa"/>
            <w:vAlign w:val="bottom"/>
          </w:tcPr>
          <w:p>
            <w:pPr>
              <w:spacing w:after="0"/>
              <w:rPr>
                <w:sz w:val="24"/>
                <w:szCs w:val="24"/>
                <w:color w:val="auto"/>
              </w:rPr>
            </w:pPr>
          </w:p>
        </w:tc>
        <w:tc>
          <w:tcPr>
            <w:tcW w:w="9680" w:type="dxa"/>
            <w:vAlign w:val="bottom"/>
          </w:tcPr>
          <w:p>
            <w:pPr>
              <w:ind w:left="700"/>
              <w:spacing w:after="0"/>
              <w:rPr>
                <w:sz w:val="20"/>
                <w:szCs w:val="20"/>
                <w:color w:val="auto"/>
              </w:rPr>
            </w:pPr>
            <w:r>
              <w:rPr>
                <w:rFonts w:ascii="Arial" w:cs="Arial" w:eastAsia="Arial" w:hAnsi="Arial"/>
                <w:sz w:val="12"/>
                <w:szCs w:val="12"/>
                <w:color w:val="7B7C80"/>
              </w:rPr>
              <w:t>Mr. Mills has been Executive Vice President and Chief Administrative Officer of Viacom, Inc. since 2015 and Executive Vice President of Human Resources and</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9680" w:type="dxa"/>
            <w:vAlign w:val="bottom"/>
          </w:tcPr>
          <w:p>
            <w:pPr>
              <w:ind w:left="700"/>
              <w:spacing w:after="0"/>
              <w:rPr>
                <w:sz w:val="20"/>
                <w:szCs w:val="20"/>
                <w:color w:val="auto"/>
              </w:rPr>
            </w:pPr>
            <w:r>
              <w:rPr>
                <w:rFonts w:ascii="Arial" w:cs="Arial" w:eastAsia="Arial" w:hAnsi="Arial"/>
                <w:sz w:val="12"/>
                <w:szCs w:val="12"/>
                <w:color w:val="7B7C80"/>
              </w:rPr>
              <w:t>Administration since 2012. Prior to that, he was President and Chief Operating Officer of Viacom's BET Networks unit, where he previously served as chief financial</w:t>
            </w:r>
          </w:p>
        </w:tc>
        <w:tc>
          <w:tcPr>
            <w:tcW w:w="0" w:type="dxa"/>
            <w:vAlign w:val="bottom"/>
          </w:tcPr>
          <w:p>
            <w:pPr>
              <w:spacing w:after="0"/>
              <w:rPr>
                <w:sz w:val="1"/>
                <w:szCs w:val="1"/>
                <w:color w:val="auto"/>
              </w:rPr>
            </w:pPr>
          </w:p>
        </w:tc>
      </w:tr>
      <w:tr>
        <w:trPr>
          <w:trHeight w:val="147"/>
        </w:trPr>
        <w:tc>
          <w:tcPr>
            <w:tcW w:w="1640" w:type="dxa"/>
            <w:vAlign w:val="bottom"/>
          </w:tcPr>
          <w:p>
            <w:pPr>
              <w:spacing w:after="0"/>
              <w:rPr>
                <w:sz w:val="12"/>
                <w:szCs w:val="12"/>
                <w:color w:val="auto"/>
              </w:rPr>
            </w:pPr>
          </w:p>
        </w:tc>
        <w:tc>
          <w:tcPr>
            <w:tcW w:w="9680" w:type="dxa"/>
            <w:vAlign w:val="bottom"/>
          </w:tcPr>
          <w:p>
            <w:pPr>
              <w:ind w:left="700"/>
              <w:spacing w:after="0"/>
              <w:rPr>
                <w:sz w:val="20"/>
                <w:szCs w:val="20"/>
                <w:color w:val="auto"/>
              </w:rPr>
            </w:pPr>
            <w:r>
              <w:rPr>
                <w:rFonts w:ascii="Arial" w:cs="Arial" w:eastAsia="Arial" w:hAnsi="Arial"/>
                <w:sz w:val="12"/>
                <w:szCs w:val="12"/>
                <w:color w:val="7B7C80"/>
              </w:rPr>
              <w:t>officer and president of Digital Media. He worked in investment banking and served as Deputy Treasurer for the City of Philadelphia before joining BET.</w:t>
            </w:r>
          </w:p>
        </w:tc>
        <w:tc>
          <w:tcPr>
            <w:tcW w:w="0" w:type="dxa"/>
            <w:vAlign w:val="bottom"/>
          </w:tcPr>
          <w:p>
            <w:pPr>
              <w:spacing w:after="0"/>
              <w:rPr>
                <w:sz w:val="1"/>
                <w:szCs w:val="1"/>
                <w:color w:val="auto"/>
              </w:rPr>
            </w:pPr>
          </w:p>
        </w:tc>
      </w:tr>
      <w:tr>
        <w:trPr>
          <w:trHeight w:val="312"/>
        </w:trPr>
        <w:tc>
          <w:tcPr>
            <w:tcW w:w="1640" w:type="dxa"/>
            <w:vAlign w:val="bottom"/>
          </w:tcPr>
          <w:p>
            <w:pPr>
              <w:spacing w:after="0"/>
              <w:rPr>
                <w:sz w:val="24"/>
                <w:szCs w:val="24"/>
                <w:color w:val="auto"/>
              </w:rPr>
            </w:pPr>
          </w:p>
        </w:tc>
        <w:tc>
          <w:tcPr>
            <w:tcW w:w="9680" w:type="dxa"/>
            <w:vAlign w:val="bottom"/>
          </w:tcPr>
          <w:p>
            <w:pPr>
              <w:ind w:left="700"/>
              <w:spacing w:after="0"/>
              <w:rPr>
                <w:sz w:val="20"/>
                <w:szCs w:val="20"/>
                <w:color w:val="auto"/>
              </w:rPr>
            </w:pPr>
            <w:r>
              <w:rPr>
                <w:rFonts w:ascii="Arial" w:cs="Arial" w:eastAsia="Arial" w:hAnsi="Arial"/>
                <w:sz w:val="12"/>
                <w:szCs w:val="12"/>
                <w:b w:val="1"/>
                <w:bCs w:val="1"/>
                <w:color w:val="7B7C80"/>
              </w:rPr>
              <w:t xml:space="preserve">Skills and Qualifications: </w:t>
            </w:r>
            <w:r>
              <w:rPr>
                <w:rFonts w:ascii="Arial" w:cs="Arial" w:eastAsia="Arial" w:hAnsi="Arial"/>
                <w:sz w:val="12"/>
                <w:szCs w:val="12"/>
                <w:color w:val="7B7C80"/>
              </w:rPr>
              <w:t>Mr. Mills has executive level experience in accounting and finance, asset and investment management, executive compensation, financial</w:t>
            </w:r>
          </w:p>
        </w:tc>
        <w:tc>
          <w:tcPr>
            <w:tcW w:w="0" w:type="dxa"/>
            <w:vAlign w:val="bottom"/>
          </w:tcPr>
          <w:p>
            <w:pPr>
              <w:spacing w:after="0"/>
              <w:rPr>
                <w:sz w:val="1"/>
                <w:szCs w:val="1"/>
                <w:color w:val="auto"/>
              </w:rPr>
            </w:pPr>
          </w:p>
        </w:tc>
      </w:tr>
      <w:tr>
        <w:trPr>
          <w:trHeight w:val="147"/>
        </w:trPr>
        <w:tc>
          <w:tcPr>
            <w:tcW w:w="1640" w:type="dxa"/>
            <w:vAlign w:val="bottom"/>
          </w:tcPr>
          <w:p>
            <w:pPr>
              <w:spacing w:after="0"/>
              <w:rPr>
                <w:sz w:val="12"/>
                <w:szCs w:val="12"/>
                <w:color w:val="auto"/>
              </w:rPr>
            </w:pPr>
          </w:p>
        </w:tc>
        <w:tc>
          <w:tcPr>
            <w:tcW w:w="9680" w:type="dxa"/>
            <w:vAlign w:val="bottom"/>
          </w:tcPr>
          <w:p>
            <w:pPr>
              <w:ind w:left="700"/>
              <w:spacing w:after="0"/>
              <w:rPr>
                <w:sz w:val="20"/>
                <w:szCs w:val="20"/>
                <w:color w:val="auto"/>
              </w:rPr>
            </w:pPr>
            <w:r>
              <w:rPr>
                <w:rFonts w:ascii="Arial" w:cs="Arial" w:eastAsia="Arial" w:hAnsi="Arial"/>
                <w:sz w:val="12"/>
                <w:szCs w:val="12"/>
                <w:color w:val="7B7C80"/>
              </w:rPr>
              <w:t>services, marketing, product development, strategic planning and technology.</w:t>
            </w:r>
          </w:p>
        </w:tc>
        <w:tc>
          <w:tcPr>
            <w:tcW w:w="0" w:type="dxa"/>
            <w:vAlign w:val="bottom"/>
          </w:tcPr>
          <w:p>
            <w:pPr>
              <w:spacing w:after="0"/>
              <w:rPr>
                <w:sz w:val="1"/>
                <w:szCs w:val="1"/>
                <w:color w:val="auto"/>
              </w:rPr>
            </w:pPr>
          </w:p>
        </w:tc>
      </w:tr>
      <w:tr>
        <w:trPr>
          <w:trHeight w:val="321"/>
        </w:trPr>
        <w:tc>
          <w:tcPr>
            <w:tcW w:w="1640" w:type="dxa"/>
            <w:vAlign w:val="bottom"/>
          </w:tcPr>
          <w:p>
            <w:pPr>
              <w:spacing w:after="0"/>
              <w:rPr>
                <w:sz w:val="24"/>
                <w:szCs w:val="24"/>
                <w:color w:val="auto"/>
              </w:rPr>
            </w:pPr>
          </w:p>
        </w:tc>
        <w:tc>
          <w:tcPr>
            <w:tcW w:w="9680" w:type="dxa"/>
            <w:vAlign w:val="bottom"/>
          </w:tcPr>
          <w:p>
            <w:pPr>
              <w:ind w:left="700"/>
              <w:spacing w:after="0"/>
              <w:rPr>
                <w:sz w:val="20"/>
                <w:szCs w:val="20"/>
                <w:color w:val="auto"/>
              </w:rPr>
            </w:pPr>
            <w:r>
              <w:rPr>
                <w:rFonts w:ascii="Arial" w:cs="Arial" w:eastAsia="Arial" w:hAnsi="Arial"/>
                <w:sz w:val="12"/>
                <w:szCs w:val="12"/>
                <w:b w:val="1"/>
                <w:bCs w:val="1"/>
                <w:color w:val="7B7C80"/>
              </w:rPr>
              <w:t>Education</w:t>
            </w:r>
            <w:r>
              <w:rPr>
                <w:rFonts w:ascii="Arial" w:cs="Arial" w:eastAsia="Arial" w:hAnsi="Arial"/>
                <w:sz w:val="12"/>
                <w:szCs w:val="12"/>
                <w:color w:val="7B7C80"/>
              </w:rPr>
              <w:t>: Bachelor's degree in economics from the Wharton School of the University of Pennsylvania.</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120"/>
        <w:spacing w:after="0"/>
        <w:rPr>
          <w:sz w:val="20"/>
          <w:szCs w:val="20"/>
          <w:color w:val="auto"/>
        </w:rPr>
      </w:pPr>
      <w:r>
        <w:rPr>
          <w:rFonts w:ascii="Arial" w:cs="Arial" w:eastAsia="Arial" w:hAnsi="Arial"/>
          <w:sz w:val="12"/>
          <w:szCs w:val="12"/>
          <w:color w:val="7B7C80"/>
        </w:rPr>
        <w:t>Age: 49</w:t>
      </w:r>
    </w:p>
    <w:p>
      <w:pPr>
        <w:ind w:left="120"/>
        <w:spacing w:after="0"/>
        <w:rPr>
          <w:sz w:val="20"/>
          <w:szCs w:val="20"/>
          <w:color w:val="auto"/>
        </w:rPr>
      </w:pPr>
      <w:r>
        <w:rPr>
          <w:rFonts w:ascii="Arial" w:cs="Arial" w:eastAsia="Arial" w:hAnsi="Arial"/>
          <w:sz w:val="12"/>
          <w:szCs w:val="12"/>
          <w:color w:val="7B7C80"/>
        </w:rPr>
        <w:t>Director Since: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84455</wp:posOffset>
            </wp:positionV>
            <wp:extent cx="7267575" cy="698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67575" cy="6985"/>
                    </a:xfrm>
                    <a:prstGeom prst="rect">
                      <a:avLst/>
                    </a:prstGeom>
                    <a:noFill/>
                  </pic:spPr>
                </pic:pic>
              </a:graphicData>
            </a:graphic>
          </wp:anchor>
        </w:drawing>
        <w:drawing>
          <wp:anchor simplePos="0" relativeHeight="251657728" behindDoc="1" locked="0" layoutInCell="0" allowOverlap="1">
            <wp:simplePos x="0" y="0"/>
            <wp:positionH relativeFrom="column">
              <wp:posOffset>3195320</wp:posOffset>
            </wp:positionH>
            <wp:positionV relativeFrom="paragraph">
              <wp:posOffset>208280</wp:posOffset>
            </wp:positionV>
            <wp:extent cx="960120" cy="2838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12</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type w:val="continuous"/>
        </w:sectPr>
      </w:pPr>
    </w:p>
    <w:bookmarkStart w:id="15" w:name="page16"/>
    <w:bookmarkEnd w:id="15"/>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p>
      <w:pPr>
        <w:jc w:val="center"/>
        <w:ind w:right="72"/>
        <w:spacing w:after="0"/>
        <w:rPr>
          <w:sz w:val="20"/>
          <w:szCs w:val="20"/>
          <w:color w:val="auto"/>
        </w:rPr>
      </w:pPr>
      <w:r>
        <w:rPr>
          <w:rFonts w:ascii="Arial" w:cs="Arial" w:eastAsia="Arial" w:hAnsi="Arial"/>
          <w:sz w:val="27"/>
          <w:szCs w:val="27"/>
          <w:b w:val="1"/>
          <w:bCs w:val="1"/>
          <w:color w:val="7B7C80"/>
        </w:rPr>
        <w:t>Corporate Governance</w:t>
      </w:r>
    </w:p>
    <w:p>
      <w:pPr>
        <w:spacing w:after="0" w:line="227" w:lineRule="exact"/>
        <w:rPr>
          <w:sz w:val="20"/>
          <w:szCs w:val="20"/>
          <w:color w:val="auto"/>
        </w:rPr>
      </w:pPr>
    </w:p>
    <w:p>
      <w:pPr>
        <w:ind w:left="8"/>
        <w:spacing w:after="0" w:line="247" w:lineRule="auto"/>
        <w:rPr>
          <w:sz w:val="20"/>
          <w:szCs w:val="20"/>
          <w:color w:val="auto"/>
        </w:rPr>
      </w:pPr>
      <w:r>
        <w:rPr>
          <w:rFonts w:ascii="Arial" w:cs="Arial" w:eastAsia="Arial" w:hAnsi="Arial"/>
          <w:sz w:val="15"/>
          <w:szCs w:val="15"/>
          <w:color w:val="7B7C80"/>
        </w:rPr>
        <w:t>The Company's Board and management regularly review best practices for corporate governance and modify our policies and practices as warranted. Our current best practices include:</w:t>
      </w:r>
    </w:p>
    <w:p>
      <w:pPr>
        <w:spacing w:after="0" w:line="172" w:lineRule="exact"/>
        <w:rPr>
          <w:sz w:val="20"/>
          <w:szCs w:val="20"/>
          <w:color w:val="auto"/>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Proxy access for shareholders owning three percent or more of the Company's common stock ("Common Stock") for a minimum of three years;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Majority of independent Directors (11 out of 12);</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All key committees (i.e., Audit, Finance, Human Resources and Nominating and Governance Committees) are composed entirely of independent Directors;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Strong and experienced independent Lead Director;</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Director resignation policy if the support of a majority vote of shareholders is not achieved;</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Policy regarding Directors' service on other public company boards;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Board and committee self assessments conducted annually;</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Director assessment conducted in connection with Director nomination process;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Robust stock ownership guidelines for Directors;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Diverse Board membership in terms of age, background, experience, gender, ethnicity and tenure;</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Robust shareholder engagement program to obtain valuable feedback on our compensation and governance programs;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Annual review of CEO succession plan by the independent Directors with and without the CEO present;</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Annual Board review of senior management long term and emergency succession plans;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Multiple executive sessions involving solely independent Directors at each regularly-scheduled Board meeting; and</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7"/>
        </w:numPr>
        <w:rPr>
          <w:rFonts w:ascii="Arial" w:cs="Arial" w:eastAsia="Arial" w:hAnsi="Arial"/>
          <w:sz w:val="15"/>
          <w:szCs w:val="15"/>
          <w:color w:val="7B7C80"/>
        </w:rPr>
      </w:pPr>
      <w:r>
        <w:rPr>
          <w:rFonts w:ascii="Arial" w:cs="Arial" w:eastAsia="Arial" w:hAnsi="Arial"/>
          <w:sz w:val="15"/>
          <w:szCs w:val="15"/>
          <w:color w:val="7B7C80"/>
        </w:rPr>
        <w:t>Robust policies and procedures concerning the identification of and monitoring for conflicts of interest across the organization.</w:t>
      </w:r>
    </w:p>
    <w:p>
      <w:pPr>
        <w:spacing w:after="0" w:line="16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Board Leadership Structure</w:t>
      </w:r>
    </w:p>
    <w:p>
      <w:pPr>
        <w:spacing w:after="0" w:line="201" w:lineRule="exact"/>
        <w:rPr>
          <w:sz w:val="20"/>
          <w:szCs w:val="20"/>
          <w:color w:val="auto"/>
        </w:rPr>
      </w:pPr>
    </w:p>
    <w:p>
      <w:pPr>
        <w:jc w:val="both"/>
        <w:ind w:left="8"/>
        <w:spacing w:after="0"/>
        <w:rPr>
          <w:sz w:val="20"/>
          <w:szCs w:val="20"/>
          <w:color w:val="auto"/>
        </w:rPr>
      </w:pPr>
      <w:r>
        <w:rPr>
          <w:rFonts w:ascii="Arial" w:cs="Arial" w:eastAsia="Arial" w:hAnsi="Arial"/>
          <w:sz w:val="15"/>
          <w:szCs w:val="15"/>
          <w:color w:val="7B7C80"/>
        </w:rPr>
        <w:t>The Board exercises flexibility in establishing a leadership structure that works best for Principal at any given time. Historically, the positions of Chairman of the Board and CEO have been held by two people or combined and held by one person, depending on circumstances. Currently, Daniel J. Houston is the Chairman and CEO. Since 1990, the Board has had a Lead Director because it is important that the independent Directors have a formally acknowledged leader in addition to the Chairman of the Board who leads the Board generally. The Board regularly reviews the effectiveness of this shared leadership. Whether to separate or combine the Chairman and CEO positions is based on factors such as the tenure and experience of the CEO and the broader economic and operating environment of the Company. Principal has separated the roles of Chairman of the Board and CEO during periods of management transition, with the prior Chairman retaining that position as the newly appointed CEO assumes new responsibilities. The Board prefers this flexible approach to a requirement that the positions of Chairman/CEO be combined or separate. Ms. Tallett, the Lead Director, was selected by the independent Directors. The Nominating and Governance Committee reviews the appointment of Lead Director annually.</w:t>
      </w:r>
    </w:p>
    <w:p>
      <w:pPr>
        <w:spacing w:after="0" w:line="178" w:lineRule="exact"/>
        <w:rPr>
          <w:sz w:val="20"/>
          <w:szCs w:val="20"/>
          <w:color w:val="auto"/>
        </w:rPr>
      </w:pPr>
    </w:p>
    <w:p>
      <w:pPr>
        <w:jc w:val="both"/>
        <w:ind w:left="8"/>
        <w:spacing w:after="0" w:line="241" w:lineRule="auto"/>
        <w:rPr>
          <w:sz w:val="20"/>
          <w:szCs w:val="20"/>
          <w:color w:val="auto"/>
        </w:rPr>
      </w:pPr>
      <w:r>
        <w:rPr>
          <w:rFonts w:ascii="Arial" w:cs="Arial" w:eastAsia="Arial" w:hAnsi="Arial"/>
          <w:sz w:val="15"/>
          <w:szCs w:val="15"/>
          <w:color w:val="7B7C80"/>
        </w:rPr>
        <w:t>The Lead Director and the Chairman jointly decide on the Board's agenda for each regular quarterly meeting, and the Lead Director seeks input from the other independent Directors. The Lead Director and Chairman share the duties of presiding at each Board meeting. The Chairman presides when the Board is meeting as a full Board. The Lead Director presides when the Chairman is not present; plans and leads executive sessions of independent Directors ("Executive Sessions"); leads the Board's annual self evaluation, calls special Board meetings if the Chairman is unable to act, and leads the Board's CEO succession planning discussions. Executive Sessions generally occur at the start and end of each regularly scheduled Board meeting, and were held in conjunction with each regularly scheduled Board meeting during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110490</wp:posOffset>
            </wp:positionV>
            <wp:extent cx="960120" cy="2838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4"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13</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16" w:name="page17"/>
    <w:bookmarkEnd w:id="16"/>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Role of the Board in Risk Oversight</w:t>
      </w:r>
    </w:p>
    <w:p>
      <w:pPr>
        <w:spacing w:after="0" w:line="201"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Risk management is an essential component of our culture and business model. Management within our business units and functional areas is primarily responsible for identifying, assessing, monitoring and managing risk exposures. The Company's Enterprise Risk Management program includes a Chief Risk Officer, whose team operates independently from the business units, and an Enterprise Risk Management Committee, composed of members from the executive management team, that provides enterprise wide oversight for material risks. The Company also has a robust internal audit function.</w:t>
      </w:r>
    </w:p>
    <w:p>
      <w:pPr>
        <w:spacing w:after="0" w:line="175"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The Board oversees management's execution and performance of its risk management responsibilities. The Board reviews strategic threats, opportunities, and risks Principal and its businesses or functions are managing. This includes oversight of risks such as credit, market, liquidity, product, operational, cybersecurity, reputational and general business risk that are handled directly by the Board or by Board Committees as discussed below:</w:t>
      </w:r>
    </w:p>
    <w:p>
      <w:pPr>
        <w:spacing w:after="0" w:line="175" w:lineRule="exact"/>
        <w:rPr>
          <w:sz w:val="20"/>
          <w:szCs w:val="20"/>
          <w:color w:val="auto"/>
        </w:rPr>
      </w:pPr>
    </w:p>
    <w:p>
      <w:pPr>
        <w:jc w:val="both"/>
        <w:spacing w:after="0" w:line="247" w:lineRule="auto"/>
        <w:rPr>
          <w:sz w:val="20"/>
          <w:szCs w:val="20"/>
          <w:color w:val="auto"/>
        </w:rPr>
      </w:pPr>
      <w:r>
        <w:rPr>
          <w:rFonts w:ascii="Arial" w:cs="Arial" w:eastAsia="Arial" w:hAnsi="Arial"/>
          <w:sz w:val="15"/>
          <w:szCs w:val="15"/>
          <w:u w:val="single" w:color="auto"/>
          <w:color w:val="7B7C80"/>
        </w:rPr>
        <w:t>The Audit Committee</w:t>
      </w:r>
      <w:r>
        <w:rPr>
          <w:rFonts w:ascii="Arial" w:cs="Arial" w:eastAsia="Arial" w:hAnsi="Arial"/>
          <w:sz w:val="15"/>
          <w:szCs w:val="15"/>
          <w:color w:val="7B7C80"/>
        </w:rPr>
        <w:t>: risk and mitigation related to accounting, financial controls, legal, regulatory, ethics, compliance, operations and general business activities. The Audit Committee also oversees the framework and policies with respect to enterprise risk management.</w:t>
      </w:r>
    </w:p>
    <w:p>
      <w:pPr>
        <w:spacing w:after="0" w:line="172" w:lineRule="exact"/>
        <w:rPr>
          <w:sz w:val="20"/>
          <w:szCs w:val="20"/>
          <w:color w:val="auto"/>
        </w:rPr>
      </w:pPr>
    </w:p>
    <w:p>
      <w:pPr>
        <w:jc w:val="both"/>
        <w:spacing w:after="0" w:line="242" w:lineRule="auto"/>
        <w:rPr>
          <w:sz w:val="20"/>
          <w:szCs w:val="20"/>
          <w:color w:val="auto"/>
        </w:rPr>
      </w:pPr>
      <w:r>
        <w:rPr>
          <w:rFonts w:ascii="Arial" w:cs="Arial" w:eastAsia="Arial" w:hAnsi="Arial"/>
          <w:sz w:val="15"/>
          <w:szCs w:val="15"/>
          <w:u w:val="single" w:color="auto"/>
          <w:color w:val="7B7C80"/>
        </w:rPr>
        <w:t>The Finance Committee</w:t>
      </w:r>
      <w:r>
        <w:rPr>
          <w:rFonts w:ascii="Arial" w:cs="Arial" w:eastAsia="Arial" w:hAnsi="Arial"/>
          <w:sz w:val="15"/>
          <w:szCs w:val="15"/>
          <w:color w:val="7B7C80"/>
        </w:rPr>
        <w:t>: risk and mitigation related to liquidity, credit, market, product and pricing activities. The Finance Committee also oversees capital management, capital structure and financing, investment policy, tax planning, and key risks associated with significant financial transactions. The Finance Committee also provides guidance to the Human Resources Committee on the appropriateness of Company financial goals used in annual and long-term employee incentive compensation arrangements.</w:t>
      </w:r>
    </w:p>
    <w:p>
      <w:pPr>
        <w:spacing w:after="0" w:line="175" w:lineRule="exact"/>
        <w:rPr>
          <w:sz w:val="20"/>
          <w:szCs w:val="20"/>
          <w:color w:val="auto"/>
        </w:rPr>
      </w:pPr>
    </w:p>
    <w:p>
      <w:pPr>
        <w:jc w:val="both"/>
        <w:ind w:right="20"/>
        <w:spacing w:after="0" w:line="243" w:lineRule="auto"/>
        <w:rPr>
          <w:sz w:val="20"/>
          <w:szCs w:val="20"/>
          <w:color w:val="auto"/>
        </w:rPr>
      </w:pPr>
      <w:r>
        <w:rPr>
          <w:rFonts w:ascii="Arial" w:cs="Arial" w:eastAsia="Arial" w:hAnsi="Arial"/>
          <w:sz w:val="15"/>
          <w:szCs w:val="15"/>
          <w:u w:val="single" w:color="auto"/>
          <w:color w:val="7B7C80"/>
        </w:rPr>
        <w:t>The Human Resources Committee</w:t>
      </w:r>
      <w:r>
        <w:rPr>
          <w:rFonts w:ascii="Arial" w:cs="Arial" w:eastAsia="Arial" w:hAnsi="Arial"/>
          <w:sz w:val="15"/>
          <w:szCs w:val="15"/>
          <w:color w:val="7B7C80"/>
        </w:rPr>
        <w:t>: risk and mitigation related to the design and operation of employee compensation arrangements to confirm they are consistent with business plans, do not encourage inappropriate risk taking and are appropriately designed to limit or mitigate risk. The Human Resources Committee also oversees succession planning and development for senior management.</w:t>
      </w:r>
    </w:p>
    <w:p>
      <w:pPr>
        <w:spacing w:after="0" w:line="175" w:lineRule="exact"/>
        <w:rPr>
          <w:sz w:val="20"/>
          <w:szCs w:val="20"/>
          <w:color w:val="auto"/>
        </w:rPr>
      </w:pPr>
    </w:p>
    <w:p>
      <w:pPr>
        <w:jc w:val="both"/>
        <w:spacing w:after="0" w:line="243" w:lineRule="auto"/>
        <w:rPr>
          <w:sz w:val="20"/>
          <w:szCs w:val="20"/>
          <w:color w:val="auto"/>
        </w:rPr>
      </w:pPr>
      <w:r>
        <w:rPr>
          <w:rFonts w:ascii="Arial" w:cs="Arial" w:eastAsia="Arial" w:hAnsi="Arial"/>
          <w:sz w:val="15"/>
          <w:szCs w:val="15"/>
          <w:u w:val="single" w:color="auto"/>
          <w:color w:val="7B7C80"/>
        </w:rPr>
        <w:t>The Nominating and Governance Committee</w:t>
      </w:r>
      <w:r>
        <w:rPr>
          <w:rFonts w:ascii="Arial" w:cs="Arial" w:eastAsia="Arial" w:hAnsi="Arial"/>
          <w:sz w:val="15"/>
          <w:szCs w:val="15"/>
          <w:color w:val="7B7C80"/>
        </w:rPr>
        <w:t>: risks and mitigation related to the Company's environmental, sustainability and corporate social responsibilities as well as the Company's political contribution activities. The Nominating and Governance Committee also monitors whether the Board and its committees have the collective skills and experience necessary to monitor the risks facing the Principal.</w:t>
      </w:r>
    </w:p>
    <w:p>
      <w:pPr>
        <w:spacing w:after="0" w:line="175"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The Chief Risk Officer and other members of senior management provide reports and have discussions with the Board and its committees on our risk profile and risk management activities, including reviews of ongoing adherence to policy, impacts of external events, and how strategy, initiatives, and operations integrate with our risk objectives. The Board also receives input on these issues from external entities such as our independent auditor, regulators and consultants. These activities provide the Board with a greater understanding of the material risks we face, the level of risk in matters presented for Board approval, and how risks are related.</w:t>
      </w:r>
    </w:p>
    <w:p>
      <w:pPr>
        <w:spacing w:after="0" w:line="175"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The Board views cybersecurity risk as an enterprise wide concern that involves people, processes, and technology, and accordingly treats it as a Board level matter. It embodies a persistent and dynamic threat to our entire industry and is not limited to information technology. The Board will remain focused on this critical priority by continuing to receive regular reports from the Chief Information Officer and other professionals to ensure that it is monitoring cyber threat intelligence and taking the steps necessary to implement the needed safeguards and protocols to manage the risk.</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Succession Planning and Talent Development</w:t>
      </w:r>
    </w:p>
    <w:p>
      <w:pPr>
        <w:spacing w:after="0" w:line="201"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The Board believes that succession planning for future leadership of the Company is one of its most important roles. The Board is actively engaged and involved in talent management and reviews succession at least annually. This includes a detailed discussion of our global leadership and succession plans with a focus on CEO succession planning as well as succession planning for key positions at the levels of senior vice president and above. In addition, the Human Resources Committee regularly discusses the talent pipeline for critical roles at a variety of organizational levels, including CEO. High potential leaders are given exposure and visibility to Board members through formal presentations and informal events and the Human Resources Committee also receives regular updates on key talent indicators for the overall workforce, including diversity, recruiting and development programs.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3195320</wp:posOffset>
            </wp:positionH>
            <wp:positionV relativeFrom="paragraph">
              <wp:posOffset>112395</wp:posOffset>
            </wp:positionV>
            <wp:extent cx="960120" cy="2838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7"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14</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17" w:name="page18"/>
    <w:bookmarkEnd w:id="17"/>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Majority Voting</w:t>
      </w:r>
    </w:p>
    <w:p>
      <w:pPr>
        <w:spacing w:after="0" w:line="201"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In uncontested Director elections, Directors are elected by the majority of votes cast. If an incumbent Director is not elected and no successor is elected, the Director must submit a resignation to the Board, which will decide whether to accept the resignation. The Board's decision and reasons for its decision will be publicly disclosed within 90 days of certification of the election results.</w:t>
      </w:r>
    </w:p>
    <w:p>
      <w:pPr>
        <w:spacing w:after="0" w:line="15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Director Independence</w:t>
      </w:r>
    </w:p>
    <w:p>
      <w:pPr>
        <w:spacing w:after="0" w:line="201"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The Board determines at least annually whether each Director is independent, using its independence standards in these determinations. These independence standards include the Nasdaq standards for independence and are on the Company's website, www.principal.com. The Board considers all commercial, banking, consulting, legal, accounting, charitable, family and other relationships (either individually or as a partner, shareholder or officer of an organization) a Director may have with the Company and its subsidiaries. The Board most recently made these determinations for each Director in February 2018, based on:</w:t>
      </w:r>
    </w:p>
    <w:p>
      <w:pPr>
        <w:spacing w:after="0" w:line="175" w:lineRule="exact"/>
        <w:rPr>
          <w:sz w:val="20"/>
          <w:szCs w:val="20"/>
          <w:color w:val="auto"/>
        </w:rPr>
      </w:pPr>
    </w:p>
    <w:p>
      <w:pPr>
        <w:ind w:left="448" w:hanging="448"/>
        <w:spacing w:after="0" w:line="247" w:lineRule="auto"/>
        <w:tabs>
          <w:tab w:leader="none" w:pos="448" w:val="left"/>
        </w:tabs>
        <w:numPr>
          <w:ilvl w:val="0"/>
          <w:numId w:val="8"/>
        </w:numPr>
        <w:rPr>
          <w:rFonts w:ascii="Arial" w:cs="Arial" w:eastAsia="Arial" w:hAnsi="Arial"/>
          <w:sz w:val="15"/>
          <w:szCs w:val="15"/>
          <w:color w:val="7B7C80"/>
        </w:rPr>
      </w:pPr>
      <w:r>
        <w:rPr>
          <w:rFonts w:ascii="Arial" w:cs="Arial" w:eastAsia="Arial" w:hAnsi="Arial"/>
          <w:sz w:val="15"/>
          <w:szCs w:val="15"/>
          <w:color w:val="7B7C80"/>
        </w:rPr>
        <w:t>A review of relationships and transactions between Directors, their immediate family members and other organizations with which a Director is affiliated and the Company, its subsidiaries or executive officers;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8"/>
        </w:numPr>
        <w:rPr>
          <w:rFonts w:ascii="Arial" w:cs="Arial" w:eastAsia="Arial" w:hAnsi="Arial"/>
          <w:sz w:val="15"/>
          <w:szCs w:val="15"/>
          <w:color w:val="7B7C80"/>
        </w:rPr>
      </w:pPr>
      <w:r>
        <w:rPr>
          <w:rFonts w:ascii="Arial" w:cs="Arial" w:eastAsia="Arial" w:hAnsi="Arial"/>
          <w:sz w:val="15"/>
          <w:szCs w:val="15"/>
          <w:color w:val="7B7C80"/>
        </w:rPr>
        <w:t>Questionnaires completed by each Director regarding any relationships or transactions that could affect the Director's independence;</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8"/>
        </w:numPr>
        <w:rPr>
          <w:rFonts w:ascii="Arial" w:cs="Arial" w:eastAsia="Arial" w:hAnsi="Arial"/>
          <w:sz w:val="15"/>
          <w:szCs w:val="15"/>
          <w:color w:val="7B7C80"/>
        </w:rPr>
      </w:pPr>
      <w:r>
        <w:rPr>
          <w:rFonts w:ascii="Arial" w:cs="Arial" w:eastAsia="Arial" w:hAnsi="Arial"/>
          <w:sz w:val="15"/>
          <w:szCs w:val="15"/>
          <w:color w:val="7B7C80"/>
        </w:rPr>
        <w:t>The Company's review of its purchasing, investment, charitable giving and other records; and</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8"/>
        </w:numPr>
        <w:rPr>
          <w:rFonts w:ascii="Arial" w:cs="Arial" w:eastAsia="Arial" w:hAnsi="Arial"/>
          <w:sz w:val="15"/>
          <w:szCs w:val="15"/>
          <w:color w:val="7B7C80"/>
        </w:rPr>
      </w:pPr>
      <w:r>
        <w:rPr>
          <w:rFonts w:ascii="Arial" w:cs="Arial" w:eastAsia="Arial" w:hAnsi="Arial"/>
          <w:sz w:val="15"/>
          <w:szCs w:val="15"/>
          <w:color w:val="7B7C80"/>
        </w:rPr>
        <w:t>Recommendations of the Nominating and Governance Committee.</w:t>
      </w:r>
    </w:p>
    <w:p>
      <w:pPr>
        <w:spacing w:after="0" w:line="183"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The Board affirmatively determined that the following Directors have no material relationship with the Company and are independent: Ms. Bernard, Ms. Carter-Miller, Mr. Dan, Mr. Ferro, Dr. Gelatt, Ms. Helton, Mr. Hochschild, Mr. Mills, Ms. Nordin, Mr. Pickerell and Ms. Tallett. The Board also determined that all current members of the Audit, Finance, Human Resources and Nominating and Governance Committees are independent. No Director other than Mr. Houston has been employed by the Company at any time.</w:t>
      </w:r>
    </w:p>
    <w:p>
      <w:pPr>
        <w:spacing w:after="0" w:line="175" w:lineRule="exact"/>
        <w:rPr>
          <w:sz w:val="20"/>
          <w:szCs w:val="20"/>
          <w:color w:val="auto"/>
        </w:rPr>
      </w:pPr>
    </w:p>
    <w:p>
      <w:pPr>
        <w:ind w:left="8"/>
        <w:spacing w:after="0"/>
        <w:rPr>
          <w:sz w:val="20"/>
          <w:szCs w:val="20"/>
          <w:color w:val="auto"/>
        </w:rPr>
      </w:pPr>
      <w:r>
        <w:rPr>
          <w:rFonts w:ascii="Arial" w:cs="Arial" w:eastAsia="Arial" w:hAnsi="Arial"/>
          <w:sz w:val="15"/>
          <w:szCs w:val="15"/>
          <w:color w:val="7B7C80"/>
        </w:rPr>
        <w:t>Some Directors have categorically immaterial relationships and transactions with Principal:</w:t>
      </w:r>
    </w:p>
    <w:p>
      <w:pPr>
        <w:spacing w:after="0" w:line="194" w:lineRule="exact"/>
        <w:rPr>
          <w:sz w:val="20"/>
          <w:szCs w:val="20"/>
          <w:color w:val="auto"/>
        </w:rPr>
      </w:pPr>
    </w:p>
    <w:p>
      <w:pPr>
        <w:jc w:val="both"/>
        <w:ind w:left="448" w:hanging="448"/>
        <w:spacing w:after="0" w:line="243" w:lineRule="auto"/>
        <w:tabs>
          <w:tab w:leader="none" w:pos="448" w:val="left"/>
        </w:tabs>
        <w:numPr>
          <w:ilvl w:val="0"/>
          <w:numId w:val="9"/>
        </w:numPr>
        <w:rPr>
          <w:rFonts w:ascii="Arial" w:cs="Arial" w:eastAsia="Arial" w:hAnsi="Arial"/>
          <w:sz w:val="15"/>
          <w:szCs w:val="15"/>
          <w:color w:val="7B7C80"/>
        </w:rPr>
      </w:pPr>
      <w:r>
        <w:rPr>
          <w:rFonts w:ascii="Arial" w:cs="Arial" w:eastAsia="Arial" w:hAnsi="Arial"/>
          <w:sz w:val="15"/>
          <w:szCs w:val="15"/>
          <w:color w:val="7B7C80"/>
        </w:rPr>
        <w:t>Ms. Bernard, Dr. Gelatt, Ms. Helton, Mr. Pickerell and Ms. Tallett are customers of the Company's subsidiaries. Prior to the Demutualization (see page 64), Directors were required to own an insurance policy or annuity contract issued by Principal Life. All insurance policies, annuity contracts and agreements for trust services held by Directors are on the same terms and conditions as those offered to the public.</w:t>
      </w:r>
    </w:p>
    <w:p>
      <w:pPr>
        <w:spacing w:after="0" w:line="163" w:lineRule="exact"/>
        <w:rPr>
          <w:rFonts w:ascii="Arial" w:cs="Arial" w:eastAsia="Arial" w:hAnsi="Arial"/>
          <w:sz w:val="15"/>
          <w:szCs w:val="15"/>
          <w:color w:val="7B7C80"/>
        </w:rPr>
      </w:pPr>
    </w:p>
    <w:p>
      <w:pPr>
        <w:ind w:left="448" w:hanging="448"/>
        <w:spacing w:after="0"/>
        <w:tabs>
          <w:tab w:leader="none" w:pos="448" w:val="left"/>
        </w:tabs>
        <w:numPr>
          <w:ilvl w:val="0"/>
          <w:numId w:val="9"/>
        </w:numPr>
        <w:rPr>
          <w:rFonts w:ascii="Arial" w:cs="Arial" w:eastAsia="Arial" w:hAnsi="Arial"/>
          <w:sz w:val="15"/>
          <w:szCs w:val="15"/>
          <w:color w:val="7B7C80"/>
        </w:rPr>
      </w:pPr>
      <w:r>
        <w:rPr>
          <w:rFonts w:ascii="Arial" w:cs="Arial" w:eastAsia="Arial" w:hAnsi="Arial"/>
          <w:sz w:val="15"/>
          <w:szCs w:val="15"/>
          <w:color w:val="7B7C80"/>
        </w:rPr>
        <w:t>The Gelatt family companies (Dr. Gelatt is the CEO) and an affiliated trust own insurance and pension products issued by Principal Life.</w:t>
      </w:r>
    </w:p>
    <w:p>
      <w:pPr>
        <w:spacing w:after="0" w:line="171" w:lineRule="exact"/>
        <w:rPr>
          <w:rFonts w:ascii="Arial" w:cs="Arial" w:eastAsia="Arial" w:hAnsi="Arial"/>
          <w:sz w:val="15"/>
          <w:szCs w:val="15"/>
          <w:color w:val="7B7C80"/>
        </w:rPr>
      </w:pPr>
    </w:p>
    <w:p>
      <w:pPr>
        <w:ind w:left="448" w:right="20" w:hanging="448"/>
        <w:spacing w:after="0" w:line="247" w:lineRule="auto"/>
        <w:tabs>
          <w:tab w:leader="none" w:pos="448" w:val="left"/>
        </w:tabs>
        <w:numPr>
          <w:ilvl w:val="0"/>
          <w:numId w:val="9"/>
        </w:numPr>
        <w:rPr>
          <w:rFonts w:ascii="Arial" w:cs="Arial" w:eastAsia="Arial" w:hAnsi="Arial"/>
          <w:sz w:val="15"/>
          <w:szCs w:val="15"/>
          <w:color w:val="7B7C80"/>
        </w:rPr>
      </w:pPr>
      <w:r>
        <w:rPr>
          <w:rFonts w:ascii="Arial" w:cs="Arial" w:eastAsia="Arial" w:hAnsi="Arial"/>
          <w:sz w:val="15"/>
          <w:szCs w:val="15"/>
          <w:color w:val="7B7C80"/>
        </w:rPr>
        <w:t>Ms. Bernard, Mr. Pickerell and Ms. Tallett are directors, and Messrs. Hochschild and Mills are executive officers of for profit entities with which the Company's subsidiaries conduct ordinary commercial transactions.</w:t>
      </w:r>
    </w:p>
    <w:p>
      <w:pPr>
        <w:spacing w:after="0" w:line="154"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Certain Relationships and Related Party Transactions</w:t>
      </w:r>
    </w:p>
    <w:p>
      <w:pPr>
        <w:spacing w:after="0" w:line="201" w:lineRule="exact"/>
        <w:rPr>
          <w:sz w:val="20"/>
          <w:szCs w:val="20"/>
          <w:color w:val="auto"/>
        </w:rPr>
      </w:pPr>
    </w:p>
    <w:p>
      <w:pPr>
        <w:jc w:val="both"/>
        <w:ind w:left="8"/>
        <w:spacing w:after="0"/>
        <w:rPr>
          <w:sz w:val="20"/>
          <w:szCs w:val="20"/>
          <w:color w:val="auto"/>
        </w:rPr>
      </w:pPr>
      <w:r>
        <w:rPr>
          <w:rFonts w:ascii="Arial" w:cs="Arial" w:eastAsia="Arial" w:hAnsi="Arial"/>
          <w:sz w:val="15"/>
          <w:szCs w:val="15"/>
          <w:color w:val="7B7C80"/>
        </w:rPr>
        <w:t>Nippon Life Insurance Company ("Nippon Life"), which held approximately 6.3% of the Company's Common Stock at the end of 2017, is the parent company of Nippon Life Insurance Company of America ("NLICA"). Nippon Life, NLICA and Principal Life have had a business relationship for more than 20 years. In 2017, Nippon Life and NLICA paid the following amounts to Principal Life or its affiliates: $50,591 for pension services for defined contribution plans maintained by NLICA and an affiliate (mostly paid by plan participants); $1,250 for deferred compensation plan services; $7,029,440 for investment services. Principal Global Investors (Japan) Ltd. paid Nippon Life $60,639 for 401(k) fees and plan administration costs. The Company owns approximately three percent of the common stock of NLICA and Principal Life purchased public bonds with a market value at the end of 2017 of $63,425,000 during Nippon Life's $2 billion public issuance in October of 2012. Since 2013, NLI US Investments, Inc. ("NLI"), has owned 20% of Post Advisory Group, LLC ("Post"), an affiliate of the Company. During 2017, Post paid NLI an aggregate of $3,976,178 in dividends. Due to the longstanding relationship between Nippon and Principal Life, Nippon employees occasionally train on-site at Principal Life or at one of its affiliates. During 2017, and Principal Life paid Nippon Life $70,498 in salary reimbursements in connection with these situations.</w:t>
      </w:r>
    </w:p>
    <w:p>
      <w:pPr>
        <w:spacing w:after="0" w:line="178" w:lineRule="exact"/>
        <w:rPr>
          <w:sz w:val="20"/>
          <w:szCs w:val="20"/>
          <w:color w:val="auto"/>
        </w:rPr>
      </w:pPr>
    </w:p>
    <w:p>
      <w:pPr>
        <w:jc w:val="both"/>
        <w:ind w:left="8"/>
        <w:spacing w:after="0" w:line="247" w:lineRule="auto"/>
        <w:rPr>
          <w:sz w:val="20"/>
          <w:szCs w:val="20"/>
          <w:color w:val="auto"/>
        </w:rPr>
      </w:pPr>
      <w:r>
        <w:rPr>
          <w:rFonts w:ascii="Arial" w:cs="Arial" w:eastAsia="Arial" w:hAnsi="Arial"/>
          <w:sz w:val="15"/>
          <w:szCs w:val="15"/>
          <w:color w:val="7B7C80"/>
        </w:rPr>
        <w:t>As of December 31, 2017, the Vanguard Group, Inc. managed funds holding in the aggregate 10.71% of the Company's Common Stock. During 2017 Principal Shareholder Services, Inc. paid Vanguard $40,679 for sub-transfer agent services. Vanguard paid $1,469,416 in rent for lease of space to a borrower of the Principal Life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107315</wp:posOffset>
            </wp:positionV>
            <wp:extent cx="960120" cy="2838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9"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15</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18" w:name="page19"/>
    <w:bookmarkEnd w:id="18"/>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spacing w:after="0"/>
        <w:rPr>
          <w:sz w:val="20"/>
          <w:szCs w:val="20"/>
          <w:color w:val="auto"/>
        </w:rPr>
      </w:pPr>
      <w:r>
        <w:rPr>
          <w:rFonts w:ascii="Arial" w:cs="Arial" w:eastAsia="Arial" w:hAnsi="Arial"/>
          <w:sz w:val="15"/>
          <w:szCs w:val="15"/>
          <w:color w:val="7B7C80"/>
        </w:rPr>
        <w:t>general account. Principal Life and affiliates hold, or manage accounts holding, public securities issued by Vanguard funds.</w:t>
      </w:r>
    </w:p>
    <w:p>
      <w:pPr>
        <w:spacing w:after="0" w:line="183" w:lineRule="exact"/>
        <w:rPr>
          <w:sz w:val="20"/>
          <w:szCs w:val="20"/>
          <w:color w:val="auto"/>
        </w:rPr>
      </w:pPr>
    </w:p>
    <w:p>
      <w:pPr>
        <w:jc w:val="both"/>
        <w:spacing w:after="0" w:line="241" w:lineRule="auto"/>
        <w:rPr>
          <w:sz w:val="20"/>
          <w:szCs w:val="20"/>
          <w:color w:val="auto"/>
        </w:rPr>
      </w:pPr>
      <w:r>
        <w:rPr>
          <w:rFonts w:ascii="Arial" w:cs="Arial" w:eastAsia="Arial" w:hAnsi="Arial"/>
          <w:sz w:val="15"/>
          <w:szCs w:val="15"/>
          <w:color w:val="7B7C80"/>
        </w:rPr>
        <w:t>As of December 31, 2017, BlackRock, Inc. and certain subsidiaries collectively owned or managed funds holding in the aggregate 6.8% of the Company's common stock. During 2017, Principal Global Investors, LLC paid BlackRock Fund Advisors $1,771,399 in management fees associated with the Principal Funds, Inc. Global Multi-Strategy Fund. In 2017, Principal Life paid BlackRock, Inc. $2,596,736 for fees in connection with the use of the Aladdin system. In 2017, PGI Trust Company paid BlackRock Fund Advisors $263,101 in sub-advisory fees associated with the Morley Actively Managed Fund. Principal Life and affiliates hold, or manage accounts holding, public securities issued by BlackRock, Inc. BlackRock affiliates manage investment funds in which affiliates of the Company invest for their own or managed accounts.</w:t>
      </w:r>
    </w:p>
    <w:p>
      <w:pPr>
        <w:spacing w:after="0" w:line="177" w:lineRule="exact"/>
        <w:rPr>
          <w:sz w:val="20"/>
          <w:szCs w:val="20"/>
          <w:color w:val="auto"/>
        </w:rPr>
      </w:pPr>
    </w:p>
    <w:p>
      <w:pPr>
        <w:jc w:val="both"/>
        <w:spacing w:after="0" w:line="269" w:lineRule="auto"/>
        <w:rPr>
          <w:sz w:val="20"/>
          <w:szCs w:val="20"/>
          <w:color w:val="auto"/>
        </w:rPr>
      </w:pPr>
      <w:r>
        <w:rPr>
          <w:rFonts w:ascii="Arial" w:cs="Arial" w:eastAsia="Arial" w:hAnsi="Arial"/>
          <w:sz w:val="14"/>
          <w:szCs w:val="14"/>
          <w:color w:val="7B7C80"/>
        </w:rPr>
        <w:t>Dwight Soethout, Vice President—Finance, is the spouse of Deanne D. Strable, Executive Vice President and Chief Financial Officer. Mr. Soethout has been an employee of the Company since 1993. In 2017, he received approximately $390,028 in base salary and annual bonus from Principal Life. He also participates in the long-term incentive compensation plan, and his compensation is commensurate with that of his peers. His employment and compensation were approved by the Human Resources Committee.</w:t>
      </w:r>
    </w:p>
    <w:p>
      <w:pPr>
        <w:spacing w:after="0" w:line="157" w:lineRule="exact"/>
        <w:rPr>
          <w:sz w:val="20"/>
          <w:szCs w:val="20"/>
          <w:color w:val="auto"/>
        </w:rPr>
      </w:pPr>
    </w:p>
    <w:p>
      <w:pPr>
        <w:jc w:val="both"/>
        <w:spacing w:after="0" w:line="241" w:lineRule="auto"/>
        <w:rPr>
          <w:sz w:val="20"/>
          <w:szCs w:val="20"/>
          <w:color w:val="auto"/>
        </w:rPr>
      </w:pPr>
      <w:r>
        <w:rPr>
          <w:rFonts w:ascii="Arial" w:cs="Arial" w:eastAsia="Arial" w:hAnsi="Arial"/>
          <w:sz w:val="15"/>
          <w:szCs w:val="15"/>
          <w:color w:val="7B7C80"/>
        </w:rPr>
        <w:t>The Company maintains robust policies and procedures for the identification and monitoring of arrangements with related parties. The Nominating and Governance Committee or its Chair must approve or ratify all transactions with related parties that are not preapproved by or exempted from the Company's Related Party Transaction Policy (the "Policy"). At each quarterly meeting, the Committee reviews transactions with related parties and ratifies any transaction that is subject to the Policy if it determines it is appropriate, and may attach conditions to that approval. Transactions involving employment of a relative of an executive officer or Director must be approved by the Human Resources Committee. The Company's Related Party Transaction Policy may be found at www.principal.com.</w:t>
      </w:r>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Board Meetings</w:t>
      </w:r>
    </w:p>
    <w:p>
      <w:pPr>
        <w:spacing w:after="0" w:line="201" w:lineRule="exact"/>
        <w:rPr>
          <w:sz w:val="20"/>
          <w:szCs w:val="20"/>
          <w:color w:val="auto"/>
        </w:rPr>
      </w:pPr>
    </w:p>
    <w:p>
      <w:pPr>
        <w:jc w:val="both"/>
        <w:ind w:right="20"/>
        <w:spacing w:after="0" w:line="247" w:lineRule="auto"/>
        <w:rPr>
          <w:sz w:val="20"/>
          <w:szCs w:val="20"/>
          <w:color w:val="auto"/>
        </w:rPr>
      </w:pPr>
      <w:r>
        <w:rPr>
          <w:rFonts w:ascii="Arial" w:cs="Arial" w:eastAsia="Arial" w:hAnsi="Arial"/>
          <w:sz w:val="15"/>
          <w:szCs w:val="15"/>
          <w:color w:val="7B7C80"/>
        </w:rPr>
        <w:t>The Board held 10 meetings in 2017, five of which were two day, in person meetings. Each of the Directors then in office attended more than 75% in the aggregate of the meetings of the Board and the committees of which the Director was a member. All of the Directors then on the Board attended the 2017 Annual Meeting.</w:t>
      </w:r>
    </w:p>
    <w:p>
      <w:pPr>
        <w:spacing w:after="0" w:line="154"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Global Corporate Code of Conduct</w:t>
      </w:r>
    </w:p>
    <w:p>
      <w:pPr>
        <w:spacing w:after="0" w:line="201" w:lineRule="exact"/>
        <w:rPr>
          <w:sz w:val="20"/>
          <w:szCs w:val="20"/>
          <w:color w:val="auto"/>
        </w:rPr>
      </w:pPr>
    </w:p>
    <w:p>
      <w:pPr>
        <w:jc w:val="both"/>
        <w:ind w:right="20"/>
        <w:spacing w:after="0" w:line="247" w:lineRule="auto"/>
        <w:rPr>
          <w:sz w:val="20"/>
          <w:szCs w:val="20"/>
          <w:color w:val="auto"/>
        </w:rPr>
      </w:pPr>
      <w:r>
        <w:rPr>
          <w:rFonts w:ascii="Arial" w:cs="Arial" w:eastAsia="Arial" w:hAnsi="Arial"/>
          <w:sz w:val="15"/>
          <w:szCs w:val="15"/>
          <w:color w:val="7B7C80"/>
        </w:rPr>
        <w:t>Each Director and officer of the Company has certified they comply with Principal's Global Code of Conduct, the foundation for ethical behavior across the organization. The Code is available at www.principal.com.</w:t>
      </w:r>
    </w:p>
    <w:p>
      <w:pPr>
        <w:spacing w:after="0" w:line="154"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Board Committees</w:t>
      </w:r>
    </w:p>
    <w:p>
      <w:pPr>
        <w:spacing w:after="0" w:line="201"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Only independent Directors may serve on the Audit, Human Resources and Nominating and Governance Committees. The Committees review their charters and performance annually. Committee charters of the Audit, Finance, Human Resources and Nominating and Governance Committees are available on the Company's website, www.principal.com.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3195320</wp:posOffset>
            </wp:positionH>
            <wp:positionV relativeFrom="paragraph">
              <wp:posOffset>109220</wp:posOffset>
            </wp:positionV>
            <wp:extent cx="960120" cy="2838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2"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16</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19" w:name="page20"/>
    <w:bookmarkEnd w:id="1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spacing w:after="0"/>
        <w:rPr>
          <w:sz w:val="20"/>
          <w:szCs w:val="20"/>
          <w:color w:val="auto"/>
        </w:rPr>
      </w:pPr>
      <w:r>
        <w:rPr>
          <w:rFonts w:ascii="Arial" w:cs="Arial" w:eastAsia="Arial" w:hAnsi="Arial"/>
          <w:sz w:val="14"/>
          <w:szCs w:val="14"/>
          <w:b w:val="1"/>
          <w:bCs w:val="1"/>
          <w:color w:val="7B7C80"/>
        </w:rPr>
        <w:t>Membership and responsibilities of each of the Board Committees:</w:t>
      </w:r>
    </w:p>
    <w:p>
      <w:pPr>
        <w:sectPr>
          <w:pgSz w:w="11900" w:h="16838" w:orient="portrait"/>
          <w:cols w:equalWidth="0" w:num="1">
            <w:col w:w="11440"/>
          </w:cols>
          <w:pgMar w:left="240" w:top="142" w:right="219" w:bottom="1440" w:gutter="0" w:footer="0" w:header="0"/>
        </w:sectPr>
      </w:pPr>
    </w:p>
    <w:p>
      <w:pPr>
        <w:spacing w:after="0" w:line="337"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13335</wp:posOffset>
            </wp:positionV>
            <wp:extent cx="698500" cy="174561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698500" cy="174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360"/>
        <w:spacing w:after="0"/>
        <w:rPr>
          <w:sz w:val="20"/>
          <w:szCs w:val="20"/>
          <w:color w:val="auto"/>
        </w:rPr>
      </w:pPr>
      <w:r>
        <w:rPr>
          <w:rFonts w:ascii="Arial" w:cs="Arial" w:eastAsia="Arial" w:hAnsi="Arial"/>
          <w:sz w:val="15"/>
          <w:szCs w:val="15"/>
          <w:b w:val="1"/>
          <w:bCs w:val="1"/>
          <w:color w:val="FFFFFE"/>
        </w:rPr>
        <w:t>Audit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838835</wp:posOffset>
            </wp:positionV>
            <wp:extent cx="698500" cy="20662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698500" cy="2066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center"/>
        <w:ind w:left="120"/>
        <w:spacing w:after="0"/>
        <w:rPr>
          <w:sz w:val="20"/>
          <w:szCs w:val="20"/>
          <w:color w:val="auto"/>
        </w:rPr>
      </w:pPr>
      <w:r>
        <w:rPr>
          <w:rFonts w:ascii="Arial" w:cs="Arial" w:eastAsia="Arial" w:hAnsi="Arial"/>
          <w:sz w:val="15"/>
          <w:szCs w:val="15"/>
          <w:b w:val="1"/>
          <w:bCs w:val="1"/>
          <w:color w:val="FFFFFE"/>
        </w:rPr>
        <w:t>Human</w:t>
      </w:r>
    </w:p>
    <w:p>
      <w:pPr>
        <w:spacing w:after="0" w:line="17" w:lineRule="exact"/>
        <w:rPr>
          <w:sz w:val="20"/>
          <w:szCs w:val="20"/>
          <w:color w:val="auto"/>
        </w:rPr>
      </w:pPr>
    </w:p>
    <w:p>
      <w:pPr>
        <w:jc w:val="center"/>
        <w:ind w:left="120"/>
        <w:spacing w:after="0"/>
        <w:rPr>
          <w:sz w:val="20"/>
          <w:szCs w:val="20"/>
          <w:color w:val="auto"/>
        </w:rPr>
      </w:pPr>
      <w:r>
        <w:rPr>
          <w:rFonts w:ascii="Arial" w:cs="Arial" w:eastAsia="Arial" w:hAnsi="Arial"/>
          <w:sz w:val="15"/>
          <w:szCs w:val="15"/>
          <w:b w:val="1"/>
          <w:bCs w:val="1"/>
          <w:color w:val="FFFFFE"/>
        </w:rPr>
        <w:t>Resources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929005</wp:posOffset>
            </wp:positionV>
            <wp:extent cx="698500" cy="86550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698500" cy="8655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left="120"/>
        <w:spacing w:after="0"/>
        <w:rPr>
          <w:sz w:val="20"/>
          <w:szCs w:val="20"/>
          <w:color w:val="auto"/>
        </w:rPr>
      </w:pPr>
      <w:r>
        <w:rPr>
          <w:rFonts w:ascii="Arial" w:cs="Arial" w:eastAsia="Arial" w:hAnsi="Arial"/>
          <w:sz w:val="15"/>
          <w:szCs w:val="15"/>
          <w:b w:val="1"/>
          <w:bCs w:val="1"/>
          <w:color w:val="FFFFFE"/>
        </w:rPr>
        <w:t>Nominating</w:t>
      </w:r>
    </w:p>
    <w:p>
      <w:pPr>
        <w:spacing w:after="0" w:line="17" w:lineRule="exact"/>
        <w:rPr>
          <w:sz w:val="20"/>
          <w:szCs w:val="20"/>
          <w:color w:val="auto"/>
        </w:rPr>
      </w:pPr>
    </w:p>
    <w:p>
      <w:pPr>
        <w:jc w:val="center"/>
        <w:ind w:left="120"/>
        <w:spacing w:after="0"/>
        <w:rPr>
          <w:sz w:val="20"/>
          <w:szCs w:val="20"/>
          <w:color w:val="auto"/>
        </w:rPr>
      </w:pPr>
      <w:r>
        <w:rPr>
          <w:rFonts w:ascii="Arial" w:cs="Arial" w:eastAsia="Arial" w:hAnsi="Arial"/>
          <w:sz w:val="15"/>
          <w:szCs w:val="15"/>
          <w:b w:val="1"/>
          <w:bCs w:val="1"/>
          <w:color w:val="FFFFFE"/>
        </w:rPr>
        <w:t>and</w:t>
      </w:r>
    </w:p>
    <w:p>
      <w:pPr>
        <w:jc w:val="center"/>
        <w:ind w:left="120"/>
        <w:spacing w:after="0"/>
        <w:rPr>
          <w:sz w:val="20"/>
          <w:szCs w:val="20"/>
          <w:color w:val="auto"/>
        </w:rPr>
      </w:pPr>
      <w:r>
        <w:rPr>
          <w:rFonts w:ascii="Arial" w:cs="Arial" w:eastAsia="Arial" w:hAnsi="Arial"/>
          <w:sz w:val="14"/>
          <w:szCs w:val="14"/>
          <w:b w:val="1"/>
          <w:bCs w:val="1"/>
          <w:color w:val="FFFFFE"/>
        </w:rPr>
        <w:t>Governance</w:t>
      </w:r>
    </w:p>
    <w:p>
      <w:pPr>
        <w:spacing w:after="0" w:line="20" w:lineRule="exact"/>
        <w:rPr>
          <w:sz w:val="20"/>
          <w:szCs w:val="20"/>
          <w:color w:val="auto"/>
        </w:rPr>
      </w:pPr>
      <w:r>
        <w:rPr>
          <w:sz w:val="20"/>
          <w:szCs w:val="20"/>
          <w:color w:val="auto"/>
        </w:rPr>
        <w:br w:type="column"/>
      </w:r>
    </w:p>
    <w:p>
      <w:pPr>
        <w:spacing w:after="0" w:line="17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38"/>
        </w:trPr>
        <w:tc>
          <w:tcPr>
            <w:tcW w:w="7720" w:type="dxa"/>
            <w:vAlign w:val="bottom"/>
          </w:tcPr>
          <w:p>
            <w:pPr>
              <w:spacing w:after="0"/>
              <w:rPr>
                <w:sz w:val="12"/>
                <w:szCs w:val="12"/>
                <w:color w:val="auto"/>
              </w:rPr>
            </w:pPr>
          </w:p>
        </w:tc>
        <w:tc>
          <w:tcPr>
            <w:tcW w:w="1620" w:type="dxa"/>
            <w:vAlign w:val="bottom"/>
          </w:tcPr>
          <w:p>
            <w:pPr>
              <w:ind w:left="80"/>
              <w:spacing w:after="0"/>
              <w:rPr>
                <w:sz w:val="20"/>
                <w:szCs w:val="20"/>
                <w:color w:val="auto"/>
              </w:rPr>
            </w:pPr>
            <w:r>
              <w:rPr>
                <w:rFonts w:ascii="Arial" w:cs="Arial" w:eastAsia="Arial" w:hAnsi="Arial"/>
                <w:sz w:val="12"/>
                <w:szCs w:val="12"/>
                <w:b w:val="1"/>
                <w:bCs w:val="1"/>
                <w:color w:val="009CCC"/>
              </w:rPr>
              <w:t>Members</w:t>
            </w:r>
          </w:p>
        </w:tc>
        <w:tc>
          <w:tcPr>
            <w:tcW w:w="920" w:type="dxa"/>
            <w:vAlign w:val="bottom"/>
          </w:tcPr>
          <w:p>
            <w:pPr>
              <w:ind w:left="200"/>
              <w:spacing w:after="0"/>
              <w:rPr>
                <w:sz w:val="20"/>
                <w:szCs w:val="20"/>
                <w:color w:val="auto"/>
              </w:rPr>
            </w:pPr>
            <w:r>
              <w:rPr>
                <w:rFonts w:ascii="Arial" w:cs="Arial" w:eastAsia="Arial" w:hAnsi="Arial"/>
                <w:sz w:val="12"/>
                <w:szCs w:val="12"/>
                <w:b w:val="1"/>
                <w:bCs w:val="1"/>
                <w:color w:val="009CCC"/>
              </w:rPr>
              <w:t>Meetings</w:t>
            </w:r>
          </w:p>
        </w:tc>
        <w:tc>
          <w:tcPr>
            <w:tcW w:w="0" w:type="dxa"/>
            <w:vAlign w:val="bottom"/>
          </w:tcPr>
          <w:p>
            <w:pPr>
              <w:spacing w:after="0"/>
              <w:rPr>
                <w:sz w:val="1"/>
                <w:szCs w:val="1"/>
                <w:color w:val="auto"/>
              </w:rPr>
            </w:pPr>
          </w:p>
        </w:tc>
      </w:tr>
      <w:tr>
        <w:trPr>
          <w:trHeight w:val="147"/>
        </w:trPr>
        <w:tc>
          <w:tcPr>
            <w:tcW w:w="7720" w:type="dxa"/>
            <w:vAlign w:val="bottom"/>
            <w:tcBorders>
              <w:bottom w:val="single" w:sz="8" w:color="009CCC"/>
            </w:tcBorders>
          </w:tcPr>
          <w:p>
            <w:pPr>
              <w:spacing w:after="0"/>
              <w:rPr>
                <w:sz w:val="20"/>
                <w:szCs w:val="20"/>
                <w:color w:val="auto"/>
              </w:rPr>
            </w:pPr>
            <w:r>
              <w:rPr>
                <w:rFonts w:ascii="Arial" w:cs="Arial" w:eastAsia="Arial" w:hAnsi="Arial"/>
                <w:sz w:val="12"/>
                <w:szCs w:val="12"/>
                <w:b w:val="1"/>
                <w:bCs w:val="1"/>
                <w:color w:val="009CCC"/>
              </w:rPr>
              <w:t>Responsibilities</w:t>
            </w:r>
          </w:p>
        </w:tc>
        <w:tc>
          <w:tcPr>
            <w:tcW w:w="1620" w:type="dxa"/>
            <w:vAlign w:val="bottom"/>
            <w:tcBorders>
              <w:bottom w:val="single" w:sz="8" w:color="009CCC"/>
            </w:tcBorders>
          </w:tcPr>
          <w:p>
            <w:pPr>
              <w:ind w:left="80"/>
              <w:spacing w:after="0"/>
              <w:rPr>
                <w:sz w:val="20"/>
                <w:szCs w:val="20"/>
                <w:color w:val="auto"/>
              </w:rPr>
            </w:pPr>
            <w:r>
              <w:rPr>
                <w:rFonts w:ascii="Arial" w:cs="Arial" w:eastAsia="Arial" w:hAnsi="Arial"/>
                <w:sz w:val="12"/>
                <w:szCs w:val="12"/>
                <w:b w:val="1"/>
                <w:bCs w:val="1"/>
                <w:color w:val="009CCC"/>
              </w:rPr>
              <w:t>(*Committee Chair)</w:t>
            </w:r>
          </w:p>
        </w:tc>
        <w:tc>
          <w:tcPr>
            <w:tcW w:w="920" w:type="dxa"/>
            <w:vAlign w:val="bottom"/>
            <w:tcBorders>
              <w:bottom w:val="single" w:sz="8" w:color="009CCC"/>
            </w:tcBorders>
          </w:tcPr>
          <w:p>
            <w:pPr>
              <w:jc w:val="center"/>
              <w:ind w:left="111"/>
              <w:spacing w:after="0"/>
              <w:rPr>
                <w:sz w:val="20"/>
                <w:szCs w:val="20"/>
                <w:color w:val="auto"/>
              </w:rPr>
            </w:pPr>
            <w:r>
              <w:rPr>
                <w:rFonts w:ascii="Arial" w:cs="Arial" w:eastAsia="Arial" w:hAnsi="Arial"/>
                <w:sz w:val="12"/>
                <w:szCs w:val="12"/>
                <w:b w:val="1"/>
                <w:bCs w:val="1"/>
                <w:color w:val="009CCC"/>
                <w:w w:val="99"/>
              </w:rPr>
              <w:t>Held in 2017</w:t>
            </w:r>
          </w:p>
        </w:tc>
        <w:tc>
          <w:tcPr>
            <w:tcW w:w="0" w:type="dxa"/>
            <w:vAlign w:val="bottom"/>
          </w:tcPr>
          <w:p>
            <w:pPr>
              <w:spacing w:after="0"/>
              <w:rPr>
                <w:sz w:val="1"/>
                <w:szCs w:val="1"/>
                <w:color w:val="auto"/>
              </w:rPr>
            </w:pPr>
          </w:p>
        </w:tc>
      </w:tr>
      <w:tr>
        <w:trPr>
          <w:trHeight w:val="155"/>
        </w:trPr>
        <w:tc>
          <w:tcPr>
            <w:tcW w:w="7720" w:type="dxa"/>
            <w:vAlign w:val="bottom"/>
            <w:shd w:val="clear" w:color="auto" w:fill="CDE5F7"/>
          </w:tcPr>
          <w:p>
            <w:pPr>
              <w:ind w:left="40"/>
              <w:spacing w:after="0" w:line="155" w:lineRule="exact"/>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Appointing, terminating, compensating and overseeing the Company's independent auditor and selecting the lead</w:t>
            </w:r>
          </w:p>
        </w:tc>
        <w:tc>
          <w:tcPr>
            <w:tcW w:w="1620" w:type="dxa"/>
            <w:vAlign w:val="bottom"/>
            <w:shd w:val="clear" w:color="auto" w:fill="CDE5F7"/>
          </w:tcPr>
          <w:p>
            <w:pPr>
              <w:ind w:left="80"/>
              <w:spacing w:after="0" w:line="155" w:lineRule="exact"/>
              <w:rPr>
                <w:sz w:val="20"/>
                <w:szCs w:val="20"/>
                <w:color w:val="auto"/>
              </w:rPr>
            </w:pPr>
            <w:r>
              <w:rPr>
                <w:rFonts w:ascii="Arial" w:cs="Arial" w:eastAsia="Arial" w:hAnsi="Arial"/>
                <w:sz w:val="15"/>
                <w:szCs w:val="15"/>
                <w:color w:val="7B7C80"/>
              </w:rPr>
              <w:t>Betsy Bernard</w:t>
            </w:r>
          </w:p>
        </w:tc>
        <w:tc>
          <w:tcPr>
            <w:tcW w:w="920" w:type="dxa"/>
            <w:vAlign w:val="bottom"/>
            <w:shd w:val="clear" w:color="auto" w:fill="CDE5F7"/>
          </w:tcPr>
          <w:p>
            <w:pPr>
              <w:jc w:val="center"/>
              <w:ind w:left="131"/>
              <w:spacing w:after="0" w:line="155" w:lineRule="exact"/>
              <w:rPr>
                <w:sz w:val="20"/>
                <w:szCs w:val="20"/>
                <w:color w:val="auto"/>
              </w:rPr>
            </w:pPr>
            <w:r>
              <w:rPr>
                <w:rFonts w:ascii="Arial" w:cs="Arial" w:eastAsia="Arial" w:hAnsi="Arial"/>
                <w:sz w:val="15"/>
                <w:szCs w:val="15"/>
                <w:color w:val="7B7C80"/>
                <w:w w:val="95"/>
              </w:rPr>
              <w:t>8</w:t>
            </w:r>
          </w:p>
        </w:tc>
        <w:tc>
          <w:tcPr>
            <w:tcW w:w="0" w:type="dxa"/>
            <w:vAlign w:val="bottom"/>
          </w:tcPr>
          <w:p>
            <w:pPr>
              <w:spacing w:after="0"/>
              <w:rPr>
                <w:sz w:val="1"/>
                <w:szCs w:val="1"/>
                <w:color w:val="auto"/>
              </w:rPr>
            </w:pPr>
          </w:p>
        </w:tc>
      </w:tr>
      <w:tr>
        <w:trPr>
          <w:trHeight w:val="183"/>
        </w:trPr>
        <w:tc>
          <w:tcPr>
            <w:tcW w:w="7720" w:type="dxa"/>
            <w:vAlign w:val="bottom"/>
            <w:shd w:val="clear" w:color="auto" w:fill="CDE5F7"/>
          </w:tcPr>
          <w:p>
            <w:pPr>
              <w:ind w:left="180"/>
              <w:spacing w:after="0"/>
              <w:rPr>
                <w:sz w:val="20"/>
                <w:szCs w:val="20"/>
                <w:color w:val="auto"/>
              </w:rPr>
            </w:pPr>
            <w:r>
              <w:rPr>
                <w:rFonts w:ascii="Arial" w:cs="Arial" w:eastAsia="Arial" w:hAnsi="Arial"/>
                <w:sz w:val="15"/>
                <w:szCs w:val="15"/>
                <w:color w:val="7B7C80"/>
              </w:rPr>
              <w:t>audit partner;</w:t>
            </w:r>
          </w:p>
        </w:tc>
        <w:tc>
          <w:tcPr>
            <w:tcW w:w="1620" w:type="dxa"/>
            <w:vAlign w:val="bottom"/>
            <w:shd w:val="clear" w:color="auto" w:fill="CDE5F7"/>
          </w:tcPr>
          <w:p>
            <w:pPr>
              <w:ind w:left="80"/>
              <w:spacing w:after="0"/>
              <w:rPr>
                <w:sz w:val="20"/>
                <w:szCs w:val="20"/>
                <w:color w:val="auto"/>
              </w:rPr>
            </w:pPr>
            <w:r>
              <w:rPr>
                <w:rFonts w:ascii="Arial" w:cs="Arial" w:eastAsia="Arial" w:hAnsi="Arial"/>
                <w:sz w:val="15"/>
                <w:szCs w:val="15"/>
                <w:color w:val="7B7C80"/>
              </w:rPr>
              <w:t>C. Daniel Gelatt</w:t>
            </w:r>
          </w:p>
        </w:tc>
        <w:tc>
          <w:tcPr>
            <w:tcW w:w="920" w:type="dxa"/>
            <w:vAlign w:val="bottom"/>
            <w:shd w:val="clear" w:color="auto" w:fill="CDE5F7"/>
          </w:tcPr>
          <w:p>
            <w:pPr>
              <w:spacing w:after="0"/>
              <w:rPr>
                <w:sz w:val="15"/>
                <w:szCs w:val="15"/>
                <w:color w:val="auto"/>
              </w:rPr>
            </w:pPr>
          </w:p>
        </w:tc>
        <w:tc>
          <w:tcPr>
            <w:tcW w:w="0" w:type="dxa"/>
            <w:vAlign w:val="bottom"/>
          </w:tcPr>
          <w:p>
            <w:pPr>
              <w:spacing w:after="0"/>
              <w:rPr>
                <w:sz w:val="1"/>
                <w:szCs w:val="1"/>
                <w:color w:val="auto"/>
              </w:rPr>
            </w:pPr>
          </w:p>
        </w:tc>
      </w:tr>
      <w:tr>
        <w:trPr>
          <w:trHeight w:val="172"/>
        </w:trPr>
        <w:tc>
          <w:tcPr>
            <w:tcW w:w="7720" w:type="dxa"/>
            <w:vAlign w:val="bottom"/>
            <w:vMerge w:val="restart"/>
            <w:shd w:val="clear" w:color="auto" w:fill="CDE5F7"/>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Reviewing and reporting to the Board on the independent auditor's activities;</w:t>
            </w:r>
          </w:p>
        </w:tc>
        <w:tc>
          <w:tcPr>
            <w:tcW w:w="1620" w:type="dxa"/>
            <w:vAlign w:val="bottom"/>
            <w:shd w:val="clear" w:color="auto" w:fill="CDE5F7"/>
          </w:tcPr>
          <w:p>
            <w:pPr>
              <w:ind w:left="80"/>
              <w:spacing w:after="0"/>
              <w:rPr>
                <w:sz w:val="20"/>
                <w:szCs w:val="20"/>
                <w:color w:val="auto"/>
              </w:rPr>
            </w:pPr>
            <w:r>
              <w:rPr>
                <w:rFonts w:ascii="Arial" w:cs="Arial" w:eastAsia="Arial" w:hAnsi="Arial"/>
                <w:sz w:val="15"/>
                <w:szCs w:val="15"/>
                <w:color w:val="7B7C80"/>
              </w:rPr>
              <w:t>Sandra L. Helton*</w:t>
            </w:r>
          </w:p>
        </w:tc>
        <w:tc>
          <w:tcPr>
            <w:tcW w:w="920" w:type="dxa"/>
            <w:vAlign w:val="bottom"/>
            <w:shd w:val="clear" w:color="auto" w:fill="CDE5F7"/>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7720" w:type="dxa"/>
            <w:vAlign w:val="bottom"/>
            <w:vMerge w:val="continue"/>
            <w:shd w:val="clear" w:color="auto" w:fill="CDE5F7"/>
          </w:tcPr>
          <w:p>
            <w:pPr>
              <w:spacing w:after="0"/>
              <w:rPr>
                <w:sz w:val="14"/>
                <w:szCs w:val="14"/>
                <w:color w:val="auto"/>
              </w:rPr>
            </w:pPr>
          </w:p>
        </w:tc>
        <w:tc>
          <w:tcPr>
            <w:tcW w:w="1620" w:type="dxa"/>
            <w:vAlign w:val="bottom"/>
            <w:shd w:val="clear" w:color="auto" w:fill="CDE5F7"/>
          </w:tcPr>
          <w:p>
            <w:pPr>
              <w:ind w:left="80"/>
              <w:spacing w:after="0"/>
              <w:rPr>
                <w:sz w:val="20"/>
                <w:szCs w:val="20"/>
                <w:color w:val="auto"/>
              </w:rPr>
            </w:pPr>
            <w:r>
              <w:rPr>
                <w:rFonts w:ascii="Arial" w:cs="Arial" w:eastAsia="Arial" w:hAnsi="Arial"/>
                <w:sz w:val="15"/>
                <w:szCs w:val="15"/>
                <w:color w:val="7B7C80"/>
              </w:rPr>
              <w:t>Roger C. Hochschild</w:t>
            </w:r>
          </w:p>
        </w:tc>
        <w:tc>
          <w:tcPr>
            <w:tcW w:w="920" w:type="dxa"/>
            <w:vAlign w:val="bottom"/>
            <w:shd w:val="clear" w:color="auto" w:fill="CDE5F7"/>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7720" w:type="dxa"/>
            <w:vAlign w:val="bottom"/>
            <w:vMerge w:val="restart"/>
            <w:shd w:val="clear" w:color="auto" w:fill="CDE5F7"/>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Approving all audit engagement fees and preapproving compensation of the independent auditor for non audit</w:t>
            </w:r>
          </w:p>
        </w:tc>
        <w:tc>
          <w:tcPr>
            <w:tcW w:w="1620" w:type="dxa"/>
            <w:vAlign w:val="bottom"/>
            <w:shd w:val="clear" w:color="auto" w:fill="CDE5F7"/>
          </w:tcPr>
          <w:p>
            <w:pPr>
              <w:ind w:left="80"/>
              <w:spacing w:after="0" w:line="172" w:lineRule="exact"/>
              <w:rPr>
                <w:sz w:val="20"/>
                <w:szCs w:val="20"/>
                <w:color w:val="auto"/>
              </w:rPr>
            </w:pPr>
            <w:r>
              <w:rPr>
                <w:rFonts w:ascii="Arial" w:cs="Arial" w:eastAsia="Arial" w:hAnsi="Arial"/>
                <w:sz w:val="15"/>
                <w:szCs w:val="15"/>
                <w:color w:val="7B7C80"/>
              </w:rPr>
              <w:t>Scott M. Mills</w:t>
            </w:r>
          </w:p>
        </w:tc>
        <w:tc>
          <w:tcPr>
            <w:tcW w:w="920" w:type="dxa"/>
            <w:vAlign w:val="bottom"/>
            <w:shd w:val="clear" w:color="auto" w:fill="CDE5F7"/>
          </w:tcPr>
          <w:p>
            <w:pPr>
              <w:spacing w:after="0"/>
              <w:rPr>
                <w:sz w:val="14"/>
                <w:szCs w:val="14"/>
                <w:color w:val="auto"/>
              </w:rPr>
            </w:pPr>
          </w:p>
        </w:tc>
        <w:tc>
          <w:tcPr>
            <w:tcW w:w="0" w:type="dxa"/>
            <w:vAlign w:val="bottom"/>
          </w:tcPr>
          <w:p>
            <w:pPr>
              <w:spacing w:after="0"/>
              <w:rPr>
                <w:sz w:val="1"/>
                <w:szCs w:val="1"/>
                <w:color w:val="auto"/>
              </w:rPr>
            </w:pPr>
          </w:p>
        </w:tc>
      </w:tr>
      <w:tr>
        <w:trPr>
          <w:trHeight w:val="170"/>
        </w:trPr>
        <w:tc>
          <w:tcPr>
            <w:tcW w:w="7720" w:type="dxa"/>
            <w:vAlign w:val="bottom"/>
            <w:vMerge w:val="continue"/>
            <w:shd w:val="clear" w:color="auto" w:fill="CDE5F7"/>
          </w:tcPr>
          <w:p>
            <w:pPr>
              <w:spacing w:after="0"/>
              <w:rPr>
                <w:sz w:val="14"/>
                <w:szCs w:val="14"/>
                <w:color w:val="auto"/>
              </w:rPr>
            </w:pPr>
          </w:p>
        </w:tc>
        <w:tc>
          <w:tcPr>
            <w:tcW w:w="1620" w:type="dxa"/>
            <w:vAlign w:val="bottom"/>
            <w:shd w:val="clear" w:color="auto" w:fill="CDE5F7"/>
          </w:tcPr>
          <w:p>
            <w:pPr>
              <w:ind w:left="80"/>
              <w:spacing w:after="0" w:line="170" w:lineRule="exact"/>
              <w:rPr>
                <w:sz w:val="20"/>
                <w:szCs w:val="20"/>
                <w:color w:val="auto"/>
              </w:rPr>
            </w:pPr>
            <w:r>
              <w:rPr>
                <w:rFonts w:ascii="Arial" w:cs="Arial" w:eastAsia="Arial" w:hAnsi="Arial"/>
                <w:sz w:val="12"/>
                <w:szCs w:val="12"/>
                <w:color w:val="7B7C80"/>
              </w:rPr>
              <w:t>Diane C. Nordin</w:t>
            </w:r>
            <w:r>
              <w:rPr>
                <w:rFonts w:ascii="Arial" w:cs="Arial" w:eastAsia="Arial" w:hAnsi="Arial"/>
                <w:sz w:val="19"/>
                <w:szCs w:val="19"/>
                <w:color w:val="7B7C80"/>
                <w:vertAlign w:val="superscript"/>
              </w:rPr>
              <w:t>(1)</w:t>
            </w:r>
          </w:p>
        </w:tc>
        <w:tc>
          <w:tcPr>
            <w:tcW w:w="920" w:type="dxa"/>
            <w:vAlign w:val="bottom"/>
            <w:shd w:val="clear" w:color="auto" w:fill="CDE5F7"/>
          </w:tcPr>
          <w:p>
            <w:pPr>
              <w:spacing w:after="0"/>
              <w:rPr>
                <w:sz w:val="14"/>
                <w:szCs w:val="14"/>
                <w:color w:val="auto"/>
              </w:rPr>
            </w:pPr>
          </w:p>
        </w:tc>
        <w:tc>
          <w:tcPr>
            <w:tcW w:w="0" w:type="dxa"/>
            <w:vAlign w:val="bottom"/>
          </w:tcPr>
          <w:p>
            <w:pPr>
              <w:spacing w:after="0"/>
              <w:rPr>
                <w:sz w:val="1"/>
                <w:szCs w:val="1"/>
                <w:color w:val="auto"/>
              </w:rPr>
            </w:pPr>
          </w:p>
        </w:tc>
      </w:tr>
      <w:tr>
        <w:trPr>
          <w:trHeight w:val="179"/>
        </w:trPr>
        <w:tc>
          <w:tcPr>
            <w:tcW w:w="7720" w:type="dxa"/>
            <w:vAlign w:val="bottom"/>
            <w:shd w:val="clear" w:color="auto" w:fill="CDE5F7"/>
          </w:tcPr>
          <w:p>
            <w:pPr>
              <w:ind w:left="180"/>
              <w:spacing w:after="0"/>
              <w:rPr>
                <w:sz w:val="20"/>
                <w:szCs w:val="20"/>
                <w:color w:val="auto"/>
              </w:rPr>
            </w:pPr>
            <w:r>
              <w:rPr>
                <w:rFonts w:ascii="Arial" w:cs="Arial" w:eastAsia="Arial" w:hAnsi="Arial"/>
                <w:sz w:val="15"/>
                <w:szCs w:val="15"/>
                <w:color w:val="7B7C80"/>
              </w:rPr>
              <w:t>engagements, consistent with the Company's Auditor Independence Policy;</w:t>
            </w:r>
          </w:p>
        </w:tc>
        <w:tc>
          <w:tcPr>
            <w:tcW w:w="1620" w:type="dxa"/>
            <w:vAlign w:val="bottom"/>
            <w:shd w:val="clear" w:color="auto" w:fill="CDE5F7"/>
          </w:tcPr>
          <w:p>
            <w:pPr>
              <w:spacing w:after="0"/>
              <w:rPr>
                <w:sz w:val="15"/>
                <w:szCs w:val="15"/>
                <w:color w:val="auto"/>
              </w:rPr>
            </w:pPr>
          </w:p>
        </w:tc>
        <w:tc>
          <w:tcPr>
            <w:tcW w:w="920" w:type="dxa"/>
            <w:vAlign w:val="bottom"/>
            <w:shd w:val="clear" w:color="auto" w:fill="CDE5F7"/>
          </w:tcPr>
          <w:p>
            <w:pPr>
              <w:spacing w:after="0"/>
              <w:rPr>
                <w:sz w:val="15"/>
                <w:szCs w:val="15"/>
                <w:color w:val="auto"/>
              </w:rPr>
            </w:pPr>
          </w:p>
        </w:tc>
        <w:tc>
          <w:tcPr>
            <w:tcW w:w="0" w:type="dxa"/>
            <w:vAlign w:val="bottom"/>
          </w:tcPr>
          <w:p>
            <w:pPr>
              <w:spacing w:after="0"/>
              <w:rPr>
                <w:sz w:val="1"/>
                <w:szCs w:val="1"/>
                <w:color w:val="auto"/>
              </w:rPr>
            </w:pPr>
          </w:p>
        </w:tc>
      </w:tr>
      <w:tr>
        <w:trPr>
          <w:trHeight w:val="346"/>
        </w:trPr>
        <w:tc>
          <w:tcPr>
            <w:tcW w:w="7720" w:type="dxa"/>
            <w:vAlign w:val="bottom"/>
            <w:shd w:val="clear" w:color="auto" w:fill="CDE5F7"/>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Reviewing internal audit plans and results;</w:t>
            </w:r>
          </w:p>
        </w:tc>
        <w:tc>
          <w:tcPr>
            <w:tcW w:w="1620" w:type="dxa"/>
            <w:vAlign w:val="bottom"/>
            <w:shd w:val="clear" w:color="auto" w:fill="CDE5F7"/>
          </w:tcPr>
          <w:p>
            <w:pPr>
              <w:spacing w:after="0"/>
              <w:rPr>
                <w:sz w:val="24"/>
                <w:szCs w:val="24"/>
                <w:color w:val="auto"/>
              </w:rPr>
            </w:pPr>
          </w:p>
        </w:tc>
        <w:tc>
          <w:tcPr>
            <w:tcW w:w="920" w:type="dxa"/>
            <w:vAlign w:val="bottom"/>
            <w:shd w:val="clear" w:color="auto" w:fill="CDE5F7"/>
          </w:tcPr>
          <w:p>
            <w:pPr>
              <w:spacing w:after="0"/>
              <w:rPr>
                <w:sz w:val="24"/>
                <w:szCs w:val="24"/>
                <w:color w:val="auto"/>
              </w:rPr>
            </w:pPr>
          </w:p>
        </w:tc>
        <w:tc>
          <w:tcPr>
            <w:tcW w:w="0" w:type="dxa"/>
            <w:vAlign w:val="bottom"/>
          </w:tcPr>
          <w:p>
            <w:pPr>
              <w:spacing w:after="0"/>
              <w:rPr>
                <w:sz w:val="1"/>
                <w:szCs w:val="1"/>
                <w:color w:val="auto"/>
              </w:rPr>
            </w:pPr>
          </w:p>
        </w:tc>
      </w:tr>
      <w:tr>
        <w:trPr>
          <w:trHeight w:val="344"/>
        </w:trPr>
        <w:tc>
          <w:tcPr>
            <w:tcW w:w="7720" w:type="dxa"/>
            <w:vAlign w:val="bottom"/>
            <w:shd w:val="clear" w:color="auto" w:fill="CDE5F7"/>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Reviewing and reporting to the Board on accounting policies and legal and regulatory compliance; and</w:t>
            </w:r>
          </w:p>
        </w:tc>
        <w:tc>
          <w:tcPr>
            <w:tcW w:w="1620" w:type="dxa"/>
            <w:vAlign w:val="bottom"/>
            <w:shd w:val="clear" w:color="auto" w:fill="CDE5F7"/>
          </w:tcPr>
          <w:p>
            <w:pPr>
              <w:spacing w:after="0"/>
              <w:rPr>
                <w:sz w:val="24"/>
                <w:szCs w:val="24"/>
                <w:color w:val="auto"/>
              </w:rPr>
            </w:pPr>
          </w:p>
        </w:tc>
        <w:tc>
          <w:tcPr>
            <w:tcW w:w="920" w:type="dxa"/>
            <w:vAlign w:val="bottom"/>
            <w:shd w:val="clear" w:color="auto" w:fill="CDE5F7"/>
          </w:tcPr>
          <w:p>
            <w:pPr>
              <w:spacing w:after="0"/>
              <w:rPr>
                <w:sz w:val="24"/>
                <w:szCs w:val="24"/>
                <w:color w:val="auto"/>
              </w:rPr>
            </w:pPr>
          </w:p>
        </w:tc>
        <w:tc>
          <w:tcPr>
            <w:tcW w:w="0" w:type="dxa"/>
            <w:vAlign w:val="bottom"/>
          </w:tcPr>
          <w:p>
            <w:pPr>
              <w:spacing w:after="0"/>
              <w:rPr>
                <w:sz w:val="1"/>
                <w:szCs w:val="1"/>
                <w:color w:val="auto"/>
              </w:rPr>
            </w:pPr>
          </w:p>
        </w:tc>
      </w:tr>
      <w:tr>
        <w:trPr>
          <w:trHeight w:val="344"/>
        </w:trPr>
        <w:tc>
          <w:tcPr>
            <w:tcW w:w="7720" w:type="dxa"/>
            <w:vAlign w:val="bottom"/>
            <w:shd w:val="clear" w:color="auto" w:fill="CDE5F7"/>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Reviewing the Company's policies on risk assessment and management.</w:t>
            </w:r>
          </w:p>
        </w:tc>
        <w:tc>
          <w:tcPr>
            <w:tcW w:w="1620" w:type="dxa"/>
            <w:vAlign w:val="bottom"/>
            <w:shd w:val="clear" w:color="auto" w:fill="CDE5F7"/>
          </w:tcPr>
          <w:p>
            <w:pPr>
              <w:spacing w:after="0"/>
              <w:rPr>
                <w:sz w:val="24"/>
                <w:szCs w:val="24"/>
                <w:color w:val="auto"/>
              </w:rPr>
            </w:pPr>
          </w:p>
        </w:tc>
        <w:tc>
          <w:tcPr>
            <w:tcW w:w="920" w:type="dxa"/>
            <w:vAlign w:val="bottom"/>
            <w:shd w:val="clear" w:color="auto" w:fill="CDE5F7"/>
          </w:tcPr>
          <w:p>
            <w:pPr>
              <w:spacing w:after="0"/>
              <w:rPr>
                <w:sz w:val="24"/>
                <w:szCs w:val="24"/>
                <w:color w:val="auto"/>
              </w:rPr>
            </w:pPr>
          </w:p>
        </w:tc>
        <w:tc>
          <w:tcPr>
            <w:tcW w:w="0" w:type="dxa"/>
            <w:vAlign w:val="bottom"/>
          </w:tcPr>
          <w:p>
            <w:pPr>
              <w:spacing w:after="0"/>
              <w:rPr>
                <w:sz w:val="1"/>
                <w:szCs w:val="1"/>
                <w:color w:val="auto"/>
              </w:rPr>
            </w:pPr>
          </w:p>
        </w:tc>
      </w:tr>
      <w:tr>
        <w:trPr>
          <w:trHeight w:val="337"/>
        </w:trPr>
        <w:tc>
          <w:tcPr>
            <w:tcW w:w="7720" w:type="dxa"/>
            <w:vAlign w:val="bottom"/>
            <w:shd w:val="clear" w:color="auto" w:fill="CDE5F7"/>
          </w:tcPr>
          <w:p>
            <w:pPr>
              <w:spacing w:after="0"/>
              <w:rPr>
                <w:sz w:val="20"/>
                <w:szCs w:val="20"/>
                <w:color w:val="auto"/>
              </w:rPr>
            </w:pPr>
            <w:r>
              <w:rPr>
                <w:rFonts w:ascii="Arial" w:cs="Arial" w:eastAsia="Arial" w:hAnsi="Arial"/>
                <w:sz w:val="15"/>
                <w:szCs w:val="15"/>
                <w:color w:val="7B7C80"/>
              </w:rPr>
              <w:t>All members of the Audit Committee are financially literate and are independent, as defined in the Nasdaq listing</w:t>
            </w:r>
          </w:p>
        </w:tc>
        <w:tc>
          <w:tcPr>
            <w:tcW w:w="1620" w:type="dxa"/>
            <w:vAlign w:val="bottom"/>
            <w:shd w:val="clear" w:color="auto" w:fill="CDE5F7"/>
          </w:tcPr>
          <w:p>
            <w:pPr>
              <w:spacing w:after="0"/>
              <w:rPr>
                <w:sz w:val="24"/>
                <w:szCs w:val="24"/>
                <w:color w:val="auto"/>
              </w:rPr>
            </w:pPr>
          </w:p>
        </w:tc>
        <w:tc>
          <w:tcPr>
            <w:tcW w:w="920" w:type="dxa"/>
            <w:vAlign w:val="bottom"/>
            <w:shd w:val="clear" w:color="auto" w:fill="CDE5F7"/>
          </w:tcPr>
          <w:p>
            <w:pPr>
              <w:spacing w:after="0"/>
              <w:rPr>
                <w:sz w:val="24"/>
                <w:szCs w:val="24"/>
                <w:color w:val="auto"/>
              </w:rPr>
            </w:pPr>
          </w:p>
        </w:tc>
        <w:tc>
          <w:tcPr>
            <w:tcW w:w="0" w:type="dxa"/>
            <w:vAlign w:val="bottom"/>
          </w:tcPr>
          <w:p>
            <w:pPr>
              <w:spacing w:after="0"/>
              <w:rPr>
                <w:sz w:val="1"/>
                <w:szCs w:val="1"/>
                <w:color w:val="auto"/>
              </w:rPr>
            </w:pPr>
          </w:p>
        </w:tc>
      </w:tr>
      <w:tr>
        <w:trPr>
          <w:trHeight w:val="175"/>
        </w:trPr>
        <w:tc>
          <w:tcPr>
            <w:tcW w:w="7720" w:type="dxa"/>
            <w:vAlign w:val="bottom"/>
            <w:shd w:val="clear" w:color="auto" w:fill="CDE5F7"/>
          </w:tcPr>
          <w:p>
            <w:pPr>
              <w:spacing w:after="0" w:line="169" w:lineRule="exact"/>
              <w:rPr>
                <w:sz w:val="20"/>
                <w:szCs w:val="20"/>
                <w:color w:val="auto"/>
              </w:rPr>
            </w:pPr>
            <w:r>
              <w:rPr>
                <w:rFonts w:ascii="Arial" w:cs="Arial" w:eastAsia="Arial" w:hAnsi="Arial"/>
                <w:sz w:val="15"/>
                <w:szCs w:val="15"/>
                <w:color w:val="7B7C80"/>
              </w:rPr>
              <w:t>standards, and Ms. Helton is a financial expert, as defined by the Sarbanes-Oxley Act.</w:t>
            </w:r>
          </w:p>
        </w:tc>
        <w:tc>
          <w:tcPr>
            <w:tcW w:w="1620" w:type="dxa"/>
            <w:vAlign w:val="bottom"/>
            <w:shd w:val="clear" w:color="auto" w:fill="CDE5F7"/>
          </w:tcPr>
          <w:p>
            <w:pPr>
              <w:spacing w:after="0"/>
              <w:rPr>
                <w:sz w:val="15"/>
                <w:szCs w:val="15"/>
                <w:color w:val="auto"/>
              </w:rPr>
            </w:pPr>
          </w:p>
        </w:tc>
        <w:tc>
          <w:tcPr>
            <w:tcW w:w="920" w:type="dxa"/>
            <w:vAlign w:val="bottom"/>
            <w:shd w:val="clear" w:color="auto" w:fill="CDE5F7"/>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7720" w:type="dxa"/>
            <w:vAlign w:val="bottom"/>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Evaluating the performance of the CEO and determining his compensation relative to his goals and objectives;</w:t>
            </w:r>
          </w:p>
        </w:tc>
        <w:tc>
          <w:tcPr>
            <w:tcW w:w="1620" w:type="dxa"/>
            <w:vAlign w:val="bottom"/>
            <w:shd w:val="clear" w:color="auto" w:fill="E7E7E8"/>
          </w:tcPr>
          <w:p>
            <w:pPr>
              <w:ind w:left="80"/>
              <w:spacing w:after="0"/>
              <w:rPr>
                <w:sz w:val="20"/>
                <w:szCs w:val="20"/>
                <w:color w:val="auto"/>
              </w:rPr>
            </w:pPr>
            <w:r>
              <w:rPr>
                <w:rFonts w:ascii="Arial" w:cs="Arial" w:eastAsia="Arial" w:hAnsi="Arial"/>
                <w:sz w:val="15"/>
                <w:szCs w:val="15"/>
                <w:color w:val="7B7C80"/>
              </w:rPr>
              <w:t>Michael T. Dan*</w:t>
            </w:r>
          </w:p>
        </w:tc>
        <w:tc>
          <w:tcPr>
            <w:tcW w:w="920" w:type="dxa"/>
            <w:vAlign w:val="bottom"/>
            <w:shd w:val="clear" w:color="auto" w:fill="E7E7E8"/>
          </w:tcPr>
          <w:p>
            <w:pPr>
              <w:jc w:val="center"/>
              <w:ind w:left="131"/>
              <w:spacing w:after="0"/>
              <w:rPr>
                <w:sz w:val="20"/>
                <w:szCs w:val="20"/>
                <w:color w:val="auto"/>
              </w:rPr>
            </w:pPr>
            <w:r>
              <w:rPr>
                <w:rFonts w:ascii="Arial" w:cs="Arial" w:eastAsia="Arial" w:hAnsi="Arial"/>
                <w:sz w:val="15"/>
                <w:szCs w:val="15"/>
                <w:color w:val="7B7C80"/>
                <w:w w:val="95"/>
              </w:rPr>
              <w:t>6</w:t>
            </w:r>
          </w:p>
        </w:tc>
        <w:tc>
          <w:tcPr>
            <w:tcW w:w="0" w:type="dxa"/>
            <w:vAlign w:val="bottom"/>
          </w:tcPr>
          <w:p>
            <w:pPr>
              <w:spacing w:after="0"/>
              <w:rPr>
                <w:sz w:val="1"/>
                <w:szCs w:val="1"/>
                <w:color w:val="auto"/>
              </w:rPr>
            </w:pPr>
          </w:p>
        </w:tc>
      </w:tr>
      <w:tr>
        <w:trPr>
          <w:trHeight w:val="172"/>
        </w:trPr>
        <w:tc>
          <w:tcPr>
            <w:tcW w:w="7720" w:type="dxa"/>
            <w:vAlign w:val="bottom"/>
            <w:vMerge w:val="restart"/>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Approving compensation for all other officers of the Company and Principal Life at the level of Senior Vice</w:t>
            </w:r>
          </w:p>
        </w:tc>
        <w:tc>
          <w:tcPr>
            <w:tcW w:w="1620" w:type="dxa"/>
            <w:vAlign w:val="bottom"/>
            <w:shd w:val="clear" w:color="auto" w:fill="E7E7E8"/>
          </w:tcPr>
          <w:p>
            <w:pPr>
              <w:ind w:left="80"/>
              <w:spacing w:after="0"/>
              <w:rPr>
                <w:sz w:val="20"/>
                <w:szCs w:val="20"/>
                <w:color w:val="auto"/>
              </w:rPr>
            </w:pPr>
            <w:r>
              <w:rPr>
                <w:rFonts w:ascii="Arial" w:cs="Arial" w:eastAsia="Arial" w:hAnsi="Arial"/>
                <w:sz w:val="15"/>
                <w:szCs w:val="15"/>
                <w:color w:val="7B7C80"/>
              </w:rPr>
              <w:t>C. Daniel Gelatt</w:t>
            </w:r>
          </w:p>
        </w:tc>
        <w:tc>
          <w:tcPr>
            <w:tcW w:w="92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7720" w:type="dxa"/>
            <w:vAlign w:val="bottom"/>
            <w:vMerge w:val="continue"/>
            <w:shd w:val="clear" w:color="auto" w:fill="E7E7E8"/>
          </w:tcPr>
          <w:p>
            <w:pPr>
              <w:spacing w:after="0"/>
              <w:rPr>
                <w:sz w:val="13"/>
                <w:szCs w:val="13"/>
                <w:color w:val="auto"/>
              </w:rPr>
            </w:pPr>
          </w:p>
        </w:tc>
        <w:tc>
          <w:tcPr>
            <w:tcW w:w="1620" w:type="dxa"/>
            <w:vAlign w:val="bottom"/>
            <w:shd w:val="clear" w:color="auto" w:fill="E7E7E8"/>
          </w:tcPr>
          <w:p>
            <w:pPr>
              <w:ind w:left="80"/>
              <w:spacing w:after="0" w:line="161" w:lineRule="exact"/>
              <w:rPr>
                <w:sz w:val="20"/>
                <w:szCs w:val="20"/>
                <w:color w:val="auto"/>
              </w:rPr>
            </w:pPr>
            <w:r>
              <w:rPr>
                <w:rFonts w:ascii="Arial" w:cs="Arial" w:eastAsia="Arial" w:hAnsi="Arial"/>
                <w:sz w:val="15"/>
                <w:szCs w:val="15"/>
                <w:color w:val="7B7C80"/>
              </w:rPr>
              <w:t>Roger C. Hochschild</w:t>
            </w:r>
          </w:p>
        </w:tc>
        <w:tc>
          <w:tcPr>
            <w:tcW w:w="920" w:type="dxa"/>
            <w:vAlign w:val="bottom"/>
            <w:shd w:val="clear" w:color="auto" w:fill="E7E7E8"/>
          </w:tcPr>
          <w:p>
            <w:pPr>
              <w:spacing w:after="0"/>
              <w:rPr>
                <w:sz w:val="13"/>
                <w:szCs w:val="13"/>
                <w:color w:val="auto"/>
              </w:rPr>
            </w:pPr>
          </w:p>
        </w:tc>
        <w:tc>
          <w:tcPr>
            <w:tcW w:w="0" w:type="dxa"/>
            <w:vAlign w:val="bottom"/>
          </w:tcPr>
          <w:p>
            <w:pPr>
              <w:spacing w:after="0"/>
              <w:rPr>
                <w:sz w:val="1"/>
                <w:szCs w:val="1"/>
                <w:color w:val="auto"/>
              </w:rPr>
            </w:pPr>
          </w:p>
        </w:tc>
      </w:tr>
      <w:tr>
        <w:trPr>
          <w:trHeight w:val="183"/>
        </w:trPr>
        <w:tc>
          <w:tcPr>
            <w:tcW w:w="7720" w:type="dxa"/>
            <w:vAlign w:val="bottom"/>
            <w:shd w:val="clear" w:color="auto" w:fill="E7E7E8"/>
          </w:tcPr>
          <w:p>
            <w:pPr>
              <w:ind w:left="180"/>
              <w:spacing w:after="0"/>
              <w:rPr>
                <w:sz w:val="20"/>
                <w:szCs w:val="20"/>
                <w:color w:val="auto"/>
              </w:rPr>
            </w:pPr>
            <w:r>
              <w:rPr>
                <w:rFonts w:ascii="Arial" w:cs="Arial" w:eastAsia="Arial" w:hAnsi="Arial"/>
                <w:sz w:val="15"/>
                <w:szCs w:val="15"/>
                <w:color w:val="7B7C80"/>
              </w:rPr>
              <w:t>President and above ("Executives");</w:t>
            </w:r>
          </w:p>
        </w:tc>
        <w:tc>
          <w:tcPr>
            <w:tcW w:w="1620" w:type="dxa"/>
            <w:vAlign w:val="bottom"/>
            <w:shd w:val="clear" w:color="auto" w:fill="E7E7E8"/>
          </w:tcPr>
          <w:p>
            <w:pPr>
              <w:ind w:left="80"/>
              <w:spacing w:after="0"/>
              <w:rPr>
                <w:sz w:val="20"/>
                <w:szCs w:val="20"/>
                <w:color w:val="auto"/>
              </w:rPr>
            </w:pPr>
            <w:r>
              <w:rPr>
                <w:rFonts w:ascii="Arial" w:cs="Arial" w:eastAsia="Arial" w:hAnsi="Arial"/>
                <w:sz w:val="15"/>
                <w:szCs w:val="15"/>
                <w:color w:val="7B7C80"/>
              </w:rPr>
              <w:t>Scott M. Mills</w:t>
            </w:r>
          </w:p>
        </w:tc>
        <w:tc>
          <w:tcPr>
            <w:tcW w:w="920" w:type="dxa"/>
            <w:vAlign w:val="bottom"/>
            <w:shd w:val="clear" w:color="auto" w:fill="E7E7E8"/>
          </w:tcPr>
          <w:p>
            <w:pPr>
              <w:spacing w:after="0"/>
              <w:rPr>
                <w:sz w:val="15"/>
                <w:szCs w:val="15"/>
                <w:color w:val="auto"/>
              </w:rPr>
            </w:pPr>
          </w:p>
        </w:tc>
        <w:tc>
          <w:tcPr>
            <w:tcW w:w="0" w:type="dxa"/>
            <w:vAlign w:val="bottom"/>
          </w:tcPr>
          <w:p>
            <w:pPr>
              <w:spacing w:after="0"/>
              <w:rPr>
                <w:sz w:val="1"/>
                <w:szCs w:val="1"/>
                <w:color w:val="auto"/>
              </w:rPr>
            </w:pPr>
          </w:p>
        </w:tc>
      </w:tr>
      <w:tr>
        <w:trPr>
          <w:trHeight w:val="207"/>
        </w:trPr>
        <w:tc>
          <w:tcPr>
            <w:tcW w:w="7720" w:type="dxa"/>
            <w:vAlign w:val="bottom"/>
            <w:vMerge w:val="restart"/>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Approving employment, severance or change of control agreements and perquisites for Executives;</w:t>
            </w:r>
          </w:p>
        </w:tc>
        <w:tc>
          <w:tcPr>
            <w:tcW w:w="1620" w:type="dxa"/>
            <w:vAlign w:val="bottom"/>
            <w:shd w:val="clear" w:color="auto" w:fill="E7E7E8"/>
          </w:tcPr>
          <w:p>
            <w:pPr>
              <w:ind w:left="80"/>
              <w:spacing w:after="0" w:line="207" w:lineRule="exact"/>
              <w:rPr>
                <w:sz w:val="20"/>
                <w:szCs w:val="20"/>
                <w:color w:val="auto"/>
              </w:rPr>
            </w:pPr>
            <w:r>
              <w:rPr>
                <w:rFonts w:ascii="Arial" w:cs="Arial" w:eastAsia="Arial" w:hAnsi="Arial"/>
                <w:sz w:val="14"/>
                <w:szCs w:val="14"/>
                <w:color w:val="7B7C80"/>
              </w:rPr>
              <w:t>Diane C. Nordin</w:t>
            </w:r>
            <w:r>
              <w:rPr>
                <w:rFonts w:ascii="Arial" w:cs="Arial" w:eastAsia="Arial" w:hAnsi="Arial"/>
                <w:sz w:val="23"/>
                <w:szCs w:val="23"/>
                <w:color w:val="7B7C80"/>
                <w:vertAlign w:val="superscript"/>
              </w:rPr>
              <w:t>(1)</w:t>
            </w:r>
          </w:p>
        </w:tc>
        <w:tc>
          <w:tcPr>
            <w:tcW w:w="920" w:type="dxa"/>
            <w:vAlign w:val="bottom"/>
            <w:shd w:val="clear" w:color="auto" w:fill="E7E7E8"/>
          </w:tcPr>
          <w:p>
            <w:pPr>
              <w:spacing w:after="0"/>
              <w:rPr>
                <w:sz w:val="17"/>
                <w:szCs w:val="17"/>
                <w:color w:val="auto"/>
              </w:rPr>
            </w:pPr>
          </w:p>
        </w:tc>
        <w:tc>
          <w:tcPr>
            <w:tcW w:w="0" w:type="dxa"/>
            <w:vAlign w:val="bottom"/>
          </w:tcPr>
          <w:p>
            <w:pPr>
              <w:spacing w:after="0"/>
              <w:rPr>
                <w:sz w:val="1"/>
                <w:szCs w:val="1"/>
                <w:color w:val="auto"/>
              </w:rPr>
            </w:pPr>
          </w:p>
        </w:tc>
      </w:tr>
      <w:tr>
        <w:trPr>
          <w:trHeight w:val="179"/>
        </w:trPr>
        <w:tc>
          <w:tcPr>
            <w:tcW w:w="7720" w:type="dxa"/>
            <w:vAlign w:val="bottom"/>
            <w:vMerge w:val="continue"/>
            <w:shd w:val="clear" w:color="auto" w:fill="E7E7E8"/>
          </w:tcPr>
          <w:p>
            <w:pPr>
              <w:spacing w:after="0"/>
              <w:rPr>
                <w:sz w:val="15"/>
                <w:szCs w:val="15"/>
                <w:color w:val="auto"/>
              </w:rPr>
            </w:pPr>
          </w:p>
        </w:tc>
        <w:tc>
          <w:tcPr>
            <w:tcW w:w="1620" w:type="dxa"/>
            <w:vAlign w:val="bottom"/>
            <w:shd w:val="clear" w:color="auto" w:fill="E7E7E8"/>
          </w:tcPr>
          <w:p>
            <w:pPr>
              <w:ind w:left="80"/>
              <w:spacing w:after="0"/>
              <w:rPr>
                <w:sz w:val="20"/>
                <w:szCs w:val="20"/>
                <w:color w:val="auto"/>
              </w:rPr>
            </w:pPr>
            <w:r>
              <w:rPr>
                <w:rFonts w:ascii="Arial" w:cs="Arial" w:eastAsia="Arial" w:hAnsi="Arial"/>
                <w:sz w:val="15"/>
                <w:szCs w:val="15"/>
                <w:color w:val="7B7C80"/>
              </w:rPr>
              <w:t>Elizabeth E. Tallett</w:t>
            </w:r>
          </w:p>
        </w:tc>
        <w:tc>
          <w:tcPr>
            <w:tcW w:w="920" w:type="dxa"/>
            <w:vAlign w:val="bottom"/>
            <w:shd w:val="clear" w:color="auto" w:fill="E7E7E8"/>
          </w:tcPr>
          <w:p>
            <w:pPr>
              <w:spacing w:after="0"/>
              <w:rPr>
                <w:sz w:val="15"/>
                <w:szCs w:val="15"/>
                <w:color w:val="auto"/>
              </w:rPr>
            </w:pPr>
          </w:p>
        </w:tc>
        <w:tc>
          <w:tcPr>
            <w:tcW w:w="0" w:type="dxa"/>
            <w:vAlign w:val="bottom"/>
          </w:tcPr>
          <w:p>
            <w:pPr>
              <w:spacing w:after="0"/>
              <w:rPr>
                <w:sz w:val="1"/>
                <w:szCs w:val="1"/>
                <w:color w:val="auto"/>
              </w:rPr>
            </w:pPr>
          </w:p>
        </w:tc>
      </w:tr>
      <w:tr>
        <w:trPr>
          <w:trHeight w:val="309"/>
        </w:trPr>
        <w:tc>
          <w:tcPr>
            <w:tcW w:w="7720" w:type="dxa"/>
            <w:vAlign w:val="bottom"/>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Overseeing Executive development and succession planning;</w:t>
            </w:r>
          </w:p>
        </w:tc>
        <w:tc>
          <w:tcPr>
            <w:tcW w:w="1620" w:type="dxa"/>
            <w:vAlign w:val="bottom"/>
            <w:shd w:val="clear" w:color="auto" w:fill="E7E7E8"/>
          </w:tcPr>
          <w:p>
            <w:pPr>
              <w:spacing w:after="0"/>
              <w:rPr>
                <w:sz w:val="24"/>
                <w:szCs w:val="24"/>
                <w:color w:val="auto"/>
              </w:rPr>
            </w:pPr>
          </w:p>
        </w:tc>
        <w:tc>
          <w:tcPr>
            <w:tcW w:w="920" w:type="dxa"/>
            <w:vAlign w:val="bottom"/>
            <w:shd w:val="clear" w:color="auto" w:fill="E7E7E8"/>
          </w:tcPr>
          <w:p>
            <w:pPr>
              <w:spacing w:after="0"/>
              <w:rPr>
                <w:sz w:val="24"/>
                <w:szCs w:val="24"/>
                <w:color w:val="auto"/>
              </w:rPr>
            </w:pPr>
          </w:p>
        </w:tc>
        <w:tc>
          <w:tcPr>
            <w:tcW w:w="0" w:type="dxa"/>
            <w:vAlign w:val="bottom"/>
          </w:tcPr>
          <w:p>
            <w:pPr>
              <w:spacing w:after="0"/>
              <w:rPr>
                <w:sz w:val="1"/>
                <w:szCs w:val="1"/>
                <w:color w:val="auto"/>
              </w:rPr>
            </w:pPr>
          </w:p>
        </w:tc>
      </w:tr>
      <w:tr>
        <w:trPr>
          <w:trHeight w:val="344"/>
        </w:trPr>
        <w:tc>
          <w:tcPr>
            <w:tcW w:w="7720" w:type="dxa"/>
            <w:vAlign w:val="bottom"/>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Approving employee compensation policies for all other employees;</w:t>
            </w:r>
          </w:p>
        </w:tc>
        <w:tc>
          <w:tcPr>
            <w:tcW w:w="1620" w:type="dxa"/>
            <w:vAlign w:val="bottom"/>
            <w:shd w:val="clear" w:color="auto" w:fill="E7E7E8"/>
          </w:tcPr>
          <w:p>
            <w:pPr>
              <w:spacing w:after="0"/>
              <w:rPr>
                <w:sz w:val="24"/>
                <w:szCs w:val="24"/>
                <w:color w:val="auto"/>
              </w:rPr>
            </w:pPr>
          </w:p>
        </w:tc>
        <w:tc>
          <w:tcPr>
            <w:tcW w:w="920" w:type="dxa"/>
            <w:vAlign w:val="bottom"/>
            <w:shd w:val="clear" w:color="auto" w:fill="E7E7E8"/>
          </w:tcPr>
          <w:p>
            <w:pPr>
              <w:spacing w:after="0"/>
              <w:rPr>
                <w:sz w:val="24"/>
                <w:szCs w:val="24"/>
                <w:color w:val="auto"/>
              </w:rPr>
            </w:pPr>
          </w:p>
        </w:tc>
        <w:tc>
          <w:tcPr>
            <w:tcW w:w="0" w:type="dxa"/>
            <w:vAlign w:val="bottom"/>
          </w:tcPr>
          <w:p>
            <w:pPr>
              <w:spacing w:after="0"/>
              <w:rPr>
                <w:sz w:val="1"/>
                <w:szCs w:val="1"/>
                <w:color w:val="auto"/>
              </w:rPr>
            </w:pPr>
          </w:p>
        </w:tc>
      </w:tr>
      <w:tr>
        <w:trPr>
          <w:trHeight w:val="344"/>
        </w:trPr>
        <w:tc>
          <w:tcPr>
            <w:tcW w:w="7720" w:type="dxa"/>
            <w:vAlign w:val="bottom"/>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Approving equity awards;</w:t>
            </w:r>
          </w:p>
        </w:tc>
        <w:tc>
          <w:tcPr>
            <w:tcW w:w="1620" w:type="dxa"/>
            <w:vAlign w:val="bottom"/>
            <w:shd w:val="clear" w:color="auto" w:fill="E7E7E8"/>
          </w:tcPr>
          <w:p>
            <w:pPr>
              <w:spacing w:after="0"/>
              <w:rPr>
                <w:sz w:val="24"/>
                <w:szCs w:val="24"/>
                <w:color w:val="auto"/>
              </w:rPr>
            </w:pPr>
          </w:p>
        </w:tc>
        <w:tc>
          <w:tcPr>
            <w:tcW w:w="920" w:type="dxa"/>
            <w:vAlign w:val="bottom"/>
            <w:shd w:val="clear" w:color="auto" w:fill="E7E7E8"/>
          </w:tcPr>
          <w:p>
            <w:pPr>
              <w:spacing w:after="0"/>
              <w:rPr>
                <w:sz w:val="24"/>
                <w:szCs w:val="24"/>
                <w:color w:val="auto"/>
              </w:rPr>
            </w:pPr>
          </w:p>
        </w:tc>
        <w:tc>
          <w:tcPr>
            <w:tcW w:w="0" w:type="dxa"/>
            <w:vAlign w:val="bottom"/>
          </w:tcPr>
          <w:p>
            <w:pPr>
              <w:spacing w:after="0"/>
              <w:rPr>
                <w:sz w:val="1"/>
                <w:szCs w:val="1"/>
                <w:color w:val="auto"/>
              </w:rPr>
            </w:pPr>
          </w:p>
        </w:tc>
      </w:tr>
      <w:tr>
        <w:trPr>
          <w:trHeight w:val="344"/>
        </w:trPr>
        <w:tc>
          <w:tcPr>
            <w:tcW w:w="7720" w:type="dxa"/>
            <w:vAlign w:val="bottom"/>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Administering the Company's incentive and other compensation plans that include Executives;</w:t>
            </w:r>
          </w:p>
        </w:tc>
        <w:tc>
          <w:tcPr>
            <w:tcW w:w="1620" w:type="dxa"/>
            <w:vAlign w:val="bottom"/>
            <w:shd w:val="clear" w:color="auto" w:fill="E7E7E8"/>
          </w:tcPr>
          <w:p>
            <w:pPr>
              <w:spacing w:after="0"/>
              <w:rPr>
                <w:sz w:val="24"/>
                <w:szCs w:val="24"/>
                <w:color w:val="auto"/>
              </w:rPr>
            </w:pPr>
          </w:p>
        </w:tc>
        <w:tc>
          <w:tcPr>
            <w:tcW w:w="920" w:type="dxa"/>
            <w:vAlign w:val="bottom"/>
            <w:shd w:val="clear" w:color="auto" w:fill="E7E7E8"/>
          </w:tcPr>
          <w:p>
            <w:pPr>
              <w:spacing w:after="0"/>
              <w:rPr>
                <w:sz w:val="24"/>
                <w:szCs w:val="24"/>
                <w:color w:val="auto"/>
              </w:rPr>
            </w:pPr>
          </w:p>
        </w:tc>
        <w:tc>
          <w:tcPr>
            <w:tcW w:w="0" w:type="dxa"/>
            <w:vAlign w:val="bottom"/>
          </w:tcPr>
          <w:p>
            <w:pPr>
              <w:spacing w:after="0"/>
              <w:rPr>
                <w:sz w:val="1"/>
                <w:szCs w:val="1"/>
                <w:color w:val="auto"/>
              </w:rPr>
            </w:pPr>
          </w:p>
        </w:tc>
      </w:tr>
      <w:tr>
        <w:trPr>
          <w:trHeight w:val="344"/>
        </w:trPr>
        <w:tc>
          <w:tcPr>
            <w:tcW w:w="7720" w:type="dxa"/>
            <w:vAlign w:val="bottom"/>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Acting on management's recommendations for broad based employee pension and welfare benefit plans;</w:t>
            </w:r>
          </w:p>
        </w:tc>
        <w:tc>
          <w:tcPr>
            <w:tcW w:w="1620" w:type="dxa"/>
            <w:vAlign w:val="bottom"/>
            <w:shd w:val="clear" w:color="auto" w:fill="E7E7E8"/>
          </w:tcPr>
          <w:p>
            <w:pPr>
              <w:spacing w:after="0"/>
              <w:rPr>
                <w:sz w:val="24"/>
                <w:szCs w:val="24"/>
                <w:color w:val="auto"/>
              </w:rPr>
            </w:pPr>
          </w:p>
        </w:tc>
        <w:tc>
          <w:tcPr>
            <w:tcW w:w="920" w:type="dxa"/>
            <w:vAlign w:val="bottom"/>
            <w:shd w:val="clear" w:color="auto" w:fill="E7E7E8"/>
          </w:tcPr>
          <w:p>
            <w:pPr>
              <w:spacing w:after="0"/>
              <w:rPr>
                <w:sz w:val="24"/>
                <w:szCs w:val="24"/>
                <w:color w:val="auto"/>
              </w:rPr>
            </w:pPr>
          </w:p>
        </w:tc>
        <w:tc>
          <w:tcPr>
            <w:tcW w:w="0" w:type="dxa"/>
            <w:vAlign w:val="bottom"/>
          </w:tcPr>
          <w:p>
            <w:pPr>
              <w:spacing w:after="0"/>
              <w:rPr>
                <w:sz w:val="1"/>
                <w:szCs w:val="1"/>
                <w:color w:val="auto"/>
              </w:rPr>
            </w:pPr>
          </w:p>
        </w:tc>
      </w:tr>
      <w:tr>
        <w:trPr>
          <w:trHeight w:val="325"/>
        </w:trPr>
        <w:tc>
          <w:tcPr>
            <w:tcW w:w="7720" w:type="dxa"/>
            <w:vAlign w:val="bottom"/>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Reviewing compensation programs to confirm that they encourage management to take appropriate risks;</w:t>
            </w:r>
          </w:p>
        </w:tc>
        <w:tc>
          <w:tcPr>
            <w:tcW w:w="1620" w:type="dxa"/>
            <w:vAlign w:val="bottom"/>
            <w:shd w:val="clear" w:color="auto" w:fill="E7E7E8"/>
          </w:tcPr>
          <w:p>
            <w:pPr>
              <w:spacing w:after="0"/>
              <w:rPr>
                <w:sz w:val="24"/>
                <w:szCs w:val="24"/>
                <w:color w:val="auto"/>
              </w:rPr>
            </w:pPr>
          </w:p>
        </w:tc>
        <w:tc>
          <w:tcPr>
            <w:tcW w:w="920" w:type="dxa"/>
            <w:vAlign w:val="bottom"/>
            <w:shd w:val="clear" w:color="auto" w:fill="E7E7E8"/>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7720" w:type="dxa"/>
            <w:vAlign w:val="bottom"/>
            <w:shd w:val="clear" w:color="auto" w:fill="E7E7E8"/>
          </w:tcPr>
          <w:p>
            <w:pPr>
              <w:ind w:left="180"/>
              <w:spacing w:after="0" w:line="169" w:lineRule="exact"/>
              <w:rPr>
                <w:sz w:val="20"/>
                <w:szCs w:val="20"/>
                <w:color w:val="auto"/>
              </w:rPr>
            </w:pPr>
            <w:r>
              <w:rPr>
                <w:rFonts w:ascii="Arial" w:cs="Arial" w:eastAsia="Arial" w:hAnsi="Arial"/>
                <w:sz w:val="15"/>
                <w:szCs w:val="15"/>
                <w:color w:val="7B7C80"/>
              </w:rPr>
              <w:t>discourage inappropriate risks and act consistently with the Company's business plan, policies and risk tolerance.</w:t>
            </w:r>
          </w:p>
        </w:tc>
        <w:tc>
          <w:tcPr>
            <w:tcW w:w="1620" w:type="dxa"/>
            <w:vAlign w:val="bottom"/>
            <w:shd w:val="clear" w:color="auto" w:fill="E7E7E8"/>
          </w:tcPr>
          <w:p>
            <w:pPr>
              <w:spacing w:after="0"/>
              <w:rPr>
                <w:sz w:val="14"/>
                <w:szCs w:val="14"/>
                <w:color w:val="auto"/>
              </w:rPr>
            </w:pPr>
          </w:p>
        </w:tc>
        <w:tc>
          <w:tcPr>
            <w:tcW w:w="92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86"/>
        </w:trPr>
        <w:tc>
          <w:tcPr>
            <w:tcW w:w="7720" w:type="dxa"/>
            <w:vAlign w:val="bottom"/>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Recommends Board candidates, Board committee assignments and service as Lead Director;</w:t>
            </w:r>
          </w:p>
        </w:tc>
        <w:tc>
          <w:tcPr>
            <w:tcW w:w="1620" w:type="dxa"/>
            <w:vAlign w:val="bottom"/>
          </w:tcPr>
          <w:p>
            <w:pPr>
              <w:ind w:left="80"/>
              <w:spacing w:after="0"/>
              <w:rPr>
                <w:sz w:val="20"/>
                <w:szCs w:val="20"/>
                <w:color w:val="auto"/>
              </w:rPr>
            </w:pPr>
            <w:r>
              <w:rPr>
                <w:rFonts w:ascii="Arial" w:cs="Arial" w:eastAsia="Arial" w:hAnsi="Arial"/>
                <w:sz w:val="15"/>
                <w:szCs w:val="15"/>
                <w:color w:val="7B7C80"/>
              </w:rPr>
              <w:t>Jocelyn Carter-Miller</w:t>
            </w:r>
          </w:p>
        </w:tc>
        <w:tc>
          <w:tcPr>
            <w:tcW w:w="920" w:type="dxa"/>
            <w:vAlign w:val="bottom"/>
          </w:tcPr>
          <w:p>
            <w:pPr>
              <w:jc w:val="center"/>
              <w:ind w:left="131"/>
              <w:spacing w:after="0"/>
              <w:rPr>
                <w:sz w:val="20"/>
                <w:szCs w:val="20"/>
                <w:color w:val="auto"/>
              </w:rPr>
            </w:pPr>
            <w:r>
              <w:rPr>
                <w:rFonts w:ascii="Arial" w:cs="Arial" w:eastAsia="Arial" w:hAnsi="Arial"/>
                <w:sz w:val="15"/>
                <w:szCs w:val="15"/>
                <w:color w:val="7B7C80"/>
                <w:w w:val="95"/>
              </w:rPr>
              <w:t>6</w:t>
            </w:r>
          </w:p>
        </w:tc>
        <w:tc>
          <w:tcPr>
            <w:tcW w:w="0" w:type="dxa"/>
            <w:vAlign w:val="bottom"/>
          </w:tcPr>
          <w:p>
            <w:pPr>
              <w:spacing w:after="0"/>
              <w:rPr>
                <w:sz w:val="1"/>
                <w:szCs w:val="1"/>
                <w:color w:val="auto"/>
              </w:rPr>
            </w:pPr>
          </w:p>
        </w:tc>
      </w:tr>
      <w:tr>
        <w:trPr>
          <w:trHeight w:val="172"/>
        </w:trPr>
        <w:tc>
          <w:tcPr>
            <w:tcW w:w="7720" w:type="dxa"/>
            <w:vAlign w:val="bottom"/>
            <w:vMerge w:val="restart"/>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Reviews and reports to the Board on Director independence, performance of individual Directors, process for the</w:t>
            </w:r>
          </w:p>
        </w:tc>
        <w:tc>
          <w:tcPr>
            <w:tcW w:w="1620" w:type="dxa"/>
            <w:vAlign w:val="bottom"/>
          </w:tcPr>
          <w:p>
            <w:pPr>
              <w:ind w:left="80"/>
              <w:spacing w:after="0"/>
              <w:rPr>
                <w:sz w:val="20"/>
                <w:szCs w:val="20"/>
                <w:color w:val="auto"/>
              </w:rPr>
            </w:pPr>
            <w:r>
              <w:rPr>
                <w:rFonts w:ascii="Arial" w:cs="Arial" w:eastAsia="Arial" w:hAnsi="Arial"/>
                <w:sz w:val="15"/>
                <w:szCs w:val="15"/>
                <w:color w:val="7B7C80"/>
              </w:rPr>
              <w:t>Michael T. Dan</w:t>
            </w:r>
          </w:p>
        </w:tc>
        <w:tc>
          <w:tcPr>
            <w:tcW w:w="9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7720" w:type="dxa"/>
            <w:vAlign w:val="bottom"/>
            <w:vMerge w:val="continue"/>
          </w:tcPr>
          <w:p>
            <w:pPr>
              <w:spacing w:after="0"/>
              <w:rPr>
                <w:sz w:val="13"/>
                <w:szCs w:val="13"/>
                <w:color w:val="auto"/>
              </w:rPr>
            </w:pPr>
          </w:p>
        </w:tc>
        <w:tc>
          <w:tcPr>
            <w:tcW w:w="1620" w:type="dxa"/>
            <w:vAlign w:val="bottom"/>
          </w:tcPr>
          <w:p>
            <w:pPr>
              <w:ind w:left="80"/>
              <w:spacing w:after="0" w:line="161" w:lineRule="exact"/>
              <w:rPr>
                <w:sz w:val="20"/>
                <w:szCs w:val="20"/>
                <w:color w:val="auto"/>
              </w:rPr>
            </w:pPr>
            <w:r>
              <w:rPr>
                <w:rFonts w:ascii="Arial" w:cs="Arial" w:eastAsia="Arial" w:hAnsi="Arial"/>
                <w:sz w:val="15"/>
                <w:szCs w:val="15"/>
                <w:color w:val="7B7C80"/>
              </w:rPr>
              <w:t>Dennis Ferro*</w:t>
            </w:r>
          </w:p>
        </w:tc>
        <w:tc>
          <w:tcPr>
            <w:tcW w:w="9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72"/>
        </w:trPr>
        <w:tc>
          <w:tcPr>
            <w:tcW w:w="7720" w:type="dxa"/>
            <w:vAlign w:val="bottom"/>
          </w:tcPr>
          <w:p>
            <w:pPr>
              <w:ind w:left="180"/>
              <w:spacing w:after="0"/>
              <w:rPr>
                <w:sz w:val="20"/>
                <w:szCs w:val="20"/>
                <w:color w:val="auto"/>
              </w:rPr>
            </w:pPr>
            <w:r>
              <w:rPr>
                <w:rFonts w:ascii="Arial" w:cs="Arial" w:eastAsia="Arial" w:hAnsi="Arial"/>
                <w:sz w:val="15"/>
                <w:szCs w:val="15"/>
                <w:color w:val="7B7C80"/>
              </w:rPr>
              <w:t>annual self evaluations of the Board and its performance and committee self evaluations, content of the Global</w:t>
            </w:r>
          </w:p>
        </w:tc>
        <w:tc>
          <w:tcPr>
            <w:tcW w:w="1620" w:type="dxa"/>
            <w:vAlign w:val="bottom"/>
          </w:tcPr>
          <w:p>
            <w:pPr>
              <w:ind w:left="80"/>
              <w:spacing w:after="0"/>
              <w:rPr>
                <w:sz w:val="20"/>
                <w:szCs w:val="20"/>
                <w:color w:val="auto"/>
              </w:rPr>
            </w:pPr>
            <w:r>
              <w:rPr>
                <w:rFonts w:ascii="Arial" w:cs="Arial" w:eastAsia="Arial" w:hAnsi="Arial"/>
                <w:sz w:val="15"/>
                <w:szCs w:val="15"/>
                <w:color w:val="7B7C80"/>
              </w:rPr>
              <w:t>Blair C. Pickerell</w:t>
            </w:r>
          </w:p>
        </w:tc>
        <w:tc>
          <w:tcPr>
            <w:tcW w:w="9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0"/>
        </w:trPr>
        <w:tc>
          <w:tcPr>
            <w:tcW w:w="7720" w:type="dxa"/>
            <w:vAlign w:val="bottom"/>
          </w:tcPr>
          <w:p>
            <w:pPr>
              <w:ind w:left="180"/>
              <w:spacing w:after="0"/>
              <w:rPr>
                <w:sz w:val="20"/>
                <w:szCs w:val="20"/>
                <w:color w:val="auto"/>
              </w:rPr>
            </w:pPr>
            <w:r>
              <w:rPr>
                <w:rFonts w:ascii="Arial" w:cs="Arial" w:eastAsia="Arial" w:hAnsi="Arial"/>
                <w:sz w:val="15"/>
                <w:szCs w:val="15"/>
                <w:color w:val="7B7C80"/>
              </w:rPr>
              <w:t>Code of Business Conduct and Ethics, Director compensation, and the Corporate Governance Guidelines;</w:t>
            </w:r>
          </w:p>
        </w:tc>
        <w:tc>
          <w:tcPr>
            <w:tcW w:w="1620" w:type="dxa"/>
            <w:vAlign w:val="bottom"/>
          </w:tcPr>
          <w:p>
            <w:pPr>
              <w:ind w:left="80"/>
              <w:spacing w:after="0"/>
              <w:rPr>
                <w:sz w:val="20"/>
                <w:szCs w:val="20"/>
                <w:color w:val="auto"/>
              </w:rPr>
            </w:pPr>
            <w:r>
              <w:rPr>
                <w:rFonts w:ascii="Arial" w:cs="Arial" w:eastAsia="Arial" w:hAnsi="Arial"/>
                <w:sz w:val="15"/>
                <w:szCs w:val="15"/>
                <w:color w:val="7B7C80"/>
              </w:rPr>
              <w:t>Elizabeth E. Tallett</w:t>
            </w:r>
          </w:p>
        </w:tc>
        <w:tc>
          <w:tcPr>
            <w:tcW w:w="92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-551180</wp:posOffset>
            </wp:positionV>
            <wp:extent cx="6510655" cy="86550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6510655" cy="865505"/>
                    </a:xfrm>
                    <a:prstGeom prst="rect">
                      <a:avLst/>
                    </a:prstGeom>
                    <a:noFill/>
                  </pic:spPr>
                </pic:pic>
              </a:graphicData>
            </a:graphic>
          </wp:anchor>
        </w:drawing>
      </w:r>
    </w:p>
    <w:p>
      <w:pPr>
        <w:spacing w:after="0" w:line="133" w:lineRule="exact"/>
        <w:rPr>
          <w:sz w:val="20"/>
          <w:szCs w:val="20"/>
          <w:color w:val="auto"/>
        </w:rPr>
      </w:pPr>
    </w:p>
    <w:p>
      <w:pPr>
        <w:ind w:left="180" w:right="2660" w:hanging="121"/>
        <w:spacing w:after="0" w:line="247" w:lineRule="auto"/>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Reviews environmental and corporate social responsibility matters as well as the Company's political contribution</w:t>
      </w:r>
      <w:r>
        <w:rPr>
          <w:rFonts w:ascii="Arial" w:cs="Arial" w:eastAsia="Arial" w:hAnsi="Arial"/>
          <w:sz w:val="15"/>
          <w:szCs w:val="15"/>
          <w:color w:val="009CCC"/>
        </w:rPr>
        <w:t xml:space="preserve"> </w:t>
      </w:r>
      <w:r>
        <w:rPr>
          <w:rFonts w:ascii="Arial" w:cs="Arial" w:eastAsia="Arial" w:hAnsi="Arial"/>
          <w:sz w:val="15"/>
          <w:szCs w:val="15"/>
          <w:color w:val="7B7C80"/>
        </w:rPr>
        <w:t>activities.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2322830</wp:posOffset>
            </wp:positionH>
            <wp:positionV relativeFrom="paragraph">
              <wp:posOffset>114935</wp:posOffset>
            </wp:positionV>
            <wp:extent cx="960120" cy="2838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980" w:space="200"/>
            <w:col w:w="10260"/>
          </w:cols>
          <w:pgMar w:left="240" w:top="142" w:right="219" w:bottom="1440" w:gutter="0" w:footer="0" w:header="0"/>
          <w:type w:val="continuous"/>
        </w:sectPr>
      </w:pPr>
    </w:p>
    <w:p>
      <w:pPr>
        <w:spacing w:after="0" w:line="121"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17</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type w:val="continuous"/>
        </w:sectPr>
      </w:pPr>
    </w:p>
    <w:bookmarkStart w:id="20" w:name="page21"/>
    <w:bookmarkEnd w:id="20"/>
    <w:p>
      <w:pPr>
        <w:ind w:left="8"/>
        <w:spacing w:after="0"/>
        <w:rPr>
          <w:rFonts w:ascii="Arial" w:cs="Arial" w:eastAsia="Arial" w:hAnsi="Arial"/>
          <w:sz w:val="14"/>
          <w:szCs w:val="14"/>
          <w:u w:val="single" w:color="auto"/>
          <w:color w:val="0000EE"/>
        </w:rPr>
      </w:pPr>
      <w:hyperlink w:anchor="page5">
        <w:r>
          <w:rPr>
            <w:rFonts w:ascii="Arial" w:cs="Arial" w:eastAsia="Arial" w:hAnsi="Arial"/>
            <w:sz w:val="14"/>
            <w:szCs w:val="14"/>
            <w:u w:val="single" w:color="auto"/>
            <w:color w:val="0000EE"/>
          </w:rPr>
          <w:t>Table of Contents</w:t>
        </w:r>
      </w:hyperlink>
    </w:p>
    <w:p>
      <w:pPr>
        <w:sectPr>
          <w:pgSz w:w="11900" w:h="16838" w:orient="portrait"/>
          <w:cols w:equalWidth="0" w:num="1">
            <w:col w:w="11448"/>
          </w:cols>
          <w:pgMar w:left="232" w:top="142" w:right="219" w:bottom="1440" w:gutter="0" w:footer="0" w:header="0"/>
        </w:sectPr>
      </w:pPr>
    </w:p>
    <w:p>
      <w:pPr>
        <w:spacing w:after="0" w:line="319"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13335</wp:posOffset>
            </wp:positionV>
            <wp:extent cx="698500" cy="10839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698500" cy="10839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268"/>
        <w:spacing w:after="0"/>
        <w:rPr>
          <w:sz w:val="20"/>
          <w:szCs w:val="20"/>
          <w:color w:val="auto"/>
        </w:rPr>
      </w:pPr>
      <w:r>
        <w:rPr>
          <w:rFonts w:ascii="Arial" w:cs="Arial" w:eastAsia="Arial" w:hAnsi="Arial"/>
          <w:sz w:val="15"/>
          <w:szCs w:val="15"/>
          <w:b w:val="1"/>
          <w:bCs w:val="1"/>
          <w:color w:val="FFFFFE"/>
        </w:rPr>
        <w:t>Finance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504190</wp:posOffset>
            </wp:positionV>
            <wp:extent cx="698500" cy="5676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698500" cy="567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left="208"/>
        <w:spacing w:after="0"/>
        <w:rPr>
          <w:sz w:val="20"/>
          <w:szCs w:val="20"/>
          <w:color w:val="auto"/>
        </w:rPr>
      </w:pPr>
      <w:r>
        <w:rPr>
          <w:rFonts w:ascii="Arial" w:cs="Arial" w:eastAsia="Arial" w:hAnsi="Arial"/>
          <w:sz w:val="15"/>
          <w:szCs w:val="15"/>
          <w:b w:val="1"/>
          <w:bCs w:val="1"/>
          <w:color w:val="FFFFFE"/>
        </w:rPr>
        <w:t>Strategic</w:t>
      </w:r>
    </w:p>
    <w:p>
      <w:pPr>
        <w:spacing w:after="0" w:line="17" w:lineRule="exact"/>
        <w:rPr>
          <w:sz w:val="20"/>
          <w:szCs w:val="20"/>
          <w:color w:val="auto"/>
        </w:rPr>
      </w:pPr>
    </w:p>
    <w:p>
      <w:pPr>
        <w:jc w:val="center"/>
        <w:ind w:left="208"/>
        <w:spacing w:after="0"/>
        <w:rPr>
          <w:sz w:val="20"/>
          <w:szCs w:val="20"/>
          <w:color w:val="auto"/>
        </w:rPr>
      </w:pPr>
      <w:r>
        <w:rPr>
          <w:rFonts w:ascii="Arial" w:cs="Arial" w:eastAsia="Arial" w:hAnsi="Arial"/>
          <w:sz w:val="15"/>
          <w:szCs w:val="15"/>
          <w:b w:val="1"/>
          <w:bCs w:val="1"/>
          <w:color w:val="FFFFFE"/>
        </w:rPr>
        <w:t>Issues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179705</wp:posOffset>
            </wp:positionV>
            <wp:extent cx="698500" cy="45847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698500" cy="458470"/>
                    </a:xfrm>
                    <a:prstGeom prst="rect">
                      <a:avLst/>
                    </a:prstGeom>
                    <a:noFill/>
                  </pic:spPr>
                </pic:pic>
              </a:graphicData>
            </a:graphic>
          </wp:anchor>
        </w:drawing>
      </w:r>
    </w:p>
    <w:p>
      <w:pPr>
        <w:spacing w:after="0" w:line="200" w:lineRule="exact"/>
        <w:rPr>
          <w:sz w:val="20"/>
          <w:szCs w:val="20"/>
          <w:color w:val="auto"/>
        </w:rPr>
      </w:pPr>
    </w:p>
    <w:p>
      <w:pPr>
        <w:spacing w:after="0" w:line="323" w:lineRule="exact"/>
        <w:rPr>
          <w:sz w:val="20"/>
          <w:szCs w:val="20"/>
          <w:color w:val="auto"/>
        </w:rPr>
      </w:pPr>
    </w:p>
    <w:p>
      <w:pPr>
        <w:jc w:val="right"/>
        <w:spacing w:after="0"/>
        <w:rPr>
          <w:sz w:val="20"/>
          <w:szCs w:val="20"/>
          <w:color w:val="auto"/>
        </w:rPr>
      </w:pPr>
      <w:r>
        <w:rPr>
          <w:rFonts w:ascii="Arial" w:cs="Arial" w:eastAsia="Arial" w:hAnsi="Arial"/>
          <w:sz w:val="15"/>
          <w:szCs w:val="15"/>
          <w:b w:val="1"/>
          <w:bCs w:val="1"/>
          <w:color w:val="FFFFFE"/>
        </w:rPr>
        <w:t>Executive</w:t>
      </w:r>
    </w:p>
    <w:p>
      <w:pPr>
        <w:spacing w:after="0" w:line="20" w:lineRule="exact"/>
        <w:rPr>
          <w:sz w:val="20"/>
          <w:szCs w:val="20"/>
          <w:color w:val="auto"/>
        </w:rPr>
      </w:pPr>
      <w:r>
        <w:rPr>
          <w:sz w:val="20"/>
          <w:szCs w:val="20"/>
          <w:color w:val="auto"/>
        </w:rPr>
        <w:br w:type="column"/>
      </w:r>
    </w:p>
    <w:p>
      <w:pPr>
        <w:spacing w:after="0" w:line="16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38"/>
        </w:trPr>
        <w:tc>
          <w:tcPr>
            <w:tcW w:w="7680" w:type="dxa"/>
            <w:vAlign w:val="bottom"/>
          </w:tcPr>
          <w:p>
            <w:pPr>
              <w:spacing w:after="0"/>
              <w:rPr>
                <w:sz w:val="12"/>
                <w:szCs w:val="12"/>
                <w:color w:val="auto"/>
              </w:rPr>
            </w:pPr>
          </w:p>
        </w:tc>
        <w:tc>
          <w:tcPr>
            <w:tcW w:w="1700" w:type="dxa"/>
            <w:vAlign w:val="bottom"/>
          </w:tcPr>
          <w:p>
            <w:pPr>
              <w:ind w:left="120"/>
              <w:spacing w:after="0"/>
              <w:rPr>
                <w:sz w:val="20"/>
                <w:szCs w:val="20"/>
                <w:color w:val="auto"/>
              </w:rPr>
            </w:pPr>
            <w:r>
              <w:rPr>
                <w:rFonts w:ascii="Arial" w:cs="Arial" w:eastAsia="Arial" w:hAnsi="Arial"/>
                <w:sz w:val="12"/>
                <w:szCs w:val="12"/>
                <w:b w:val="1"/>
                <w:bCs w:val="1"/>
                <w:color w:val="009CCC"/>
              </w:rPr>
              <w:t>Members</w:t>
            </w:r>
          </w:p>
        </w:tc>
        <w:tc>
          <w:tcPr>
            <w:tcW w:w="880" w:type="dxa"/>
            <w:vAlign w:val="bottom"/>
          </w:tcPr>
          <w:p>
            <w:pPr>
              <w:ind w:left="160"/>
              <w:spacing w:after="0"/>
              <w:rPr>
                <w:sz w:val="20"/>
                <w:szCs w:val="20"/>
                <w:color w:val="auto"/>
              </w:rPr>
            </w:pPr>
            <w:r>
              <w:rPr>
                <w:rFonts w:ascii="Arial" w:cs="Arial" w:eastAsia="Arial" w:hAnsi="Arial"/>
                <w:sz w:val="12"/>
                <w:szCs w:val="12"/>
                <w:b w:val="1"/>
                <w:bCs w:val="1"/>
                <w:color w:val="009CCC"/>
              </w:rPr>
              <w:t>Meetings</w:t>
            </w:r>
          </w:p>
        </w:tc>
        <w:tc>
          <w:tcPr>
            <w:tcW w:w="0" w:type="dxa"/>
            <w:vAlign w:val="bottom"/>
          </w:tcPr>
          <w:p>
            <w:pPr>
              <w:spacing w:after="0"/>
              <w:rPr>
                <w:sz w:val="1"/>
                <w:szCs w:val="1"/>
                <w:color w:val="auto"/>
              </w:rPr>
            </w:pPr>
          </w:p>
        </w:tc>
      </w:tr>
      <w:tr>
        <w:trPr>
          <w:trHeight w:val="147"/>
        </w:trPr>
        <w:tc>
          <w:tcPr>
            <w:tcW w:w="7680" w:type="dxa"/>
            <w:vAlign w:val="bottom"/>
            <w:tcBorders>
              <w:bottom w:val="single" w:sz="8" w:color="009CCC"/>
            </w:tcBorders>
          </w:tcPr>
          <w:p>
            <w:pPr>
              <w:spacing w:after="0"/>
              <w:rPr>
                <w:sz w:val="20"/>
                <w:szCs w:val="20"/>
                <w:color w:val="auto"/>
              </w:rPr>
            </w:pPr>
            <w:r>
              <w:rPr>
                <w:rFonts w:ascii="Arial" w:cs="Arial" w:eastAsia="Arial" w:hAnsi="Arial"/>
                <w:sz w:val="12"/>
                <w:szCs w:val="12"/>
                <w:b w:val="1"/>
                <w:bCs w:val="1"/>
                <w:color w:val="009CCC"/>
              </w:rPr>
              <w:t>Responsibilities</w:t>
            </w:r>
          </w:p>
        </w:tc>
        <w:tc>
          <w:tcPr>
            <w:tcW w:w="1700" w:type="dxa"/>
            <w:vAlign w:val="bottom"/>
            <w:tcBorders>
              <w:bottom w:val="single" w:sz="8" w:color="009CCC"/>
            </w:tcBorders>
          </w:tcPr>
          <w:p>
            <w:pPr>
              <w:ind w:left="120"/>
              <w:spacing w:after="0"/>
              <w:rPr>
                <w:sz w:val="20"/>
                <w:szCs w:val="20"/>
                <w:color w:val="auto"/>
              </w:rPr>
            </w:pPr>
            <w:r>
              <w:rPr>
                <w:rFonts w:ascii="Arial" w:cs="Arial" w:eastAsia="Arial" w:hAnsi="Arial"/>
                <w:sz w:val="12"/>
                <w:szCs w:val="12"/>
                <w:b w:val="1"/>
                <w:bCs w:val="1"/>
                <w:color w:val="009CCC"/>
              </w:rPr>
              <w:t>(*Committee Chair)</w:t>
            </w:r>
          </w:p>
        </w:tc>
        <w:tc>
          <w:tcPr>
            <w:tcW w:w="880" w:type="dxa"/>
            <w:vAlign w:val="bottom"/>
            <w:tcBorders>
              <w:bottom w:val="single" w:sz="8" w:color="009CCC"/>
            </w:tcBorders>
          </w:tcPr>
          <w:p>
            <w:pPr>
              <w:jc w:val="center"/>
              <w:ind w:left="71"/>
              <w:spacing w:after="0"/>
              <w:rPr>
                <w:sz w:val="20"/>
                <w:szCs w:val="20"/>
                <w:color w:val="auto"/>
              </w:rPr>
            </w:pPr>
            <w:r>
              <w:rPr>
                <w:rFonts w:ascii="Arial" w:cs="Arial" w:eastAsia="Arial" w:hAnsi="Arial"/>
                <w:sz w:val="12"/>
                <w:szCs w:val="12"/>
                <w:b w:val="1"/>
                <w:bCs w:val="1"/>
                <w:color w:val="009CCC"/>
                <w:w w:val="99"/>
              </w:rPr>
              <w:t>Held in 2017</w:t>
            </w:r>
          </w:p>
        </w:tc>
        <w:tc>
          <w:tcPr>
            <w:tcW w:w="0" w:type="dxa"/>
            <w:vAlign w:val="bottom"/>
          </w:tcPr>
          <w:p>
            <w:pPr>
              <w:spacing w:after="0"/>
              <w:rPr>
                <w:sz w:val="1"/>
                <w:szCs w:val="1"/>
                <w:color w:val="auto"/>
              </w:rPr>
            </w:pPr>
          </w:p>
        </w:tc>
      </w:tr>
      <w:tr>
        <w:trPr>
          <w:trHeight w:val="166"/>
        </w:trPr>
        <w:tc>
          <w:tcPr>
            <w:tcW w:w="7680" w:type="dxa"/>
            <w:vAlign w:val="bottom"/>
            <w:shd w:val="clear" w:color="auto" w:fill="E7E7E8"/>
          </w:tcPr>
          <w:p>
            <w:pPr>
              <w:ind w:left="40"/>
              <w:spacing w:after="0" w:line="166" w:lineRule="exact"/>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Assists the Board with financial, investment and capital management policies;</w:t>
            </w:r>
          </w:p>
        </w:tc>
        <w:tc>
          <w:tcPr>
            <w:tcW w:w="1700" w:type="dxa"/>
            <w:vAlign w:val="bottom"/>
            <w:shd w:val="clear" w:color="auto" w:fill="E7E7E8"/>
          </w:tcPr>
          <w:p>
            <w:pPr>
              <w:ind w:left="120"/>
              <w:spacing w:after="0" w:line="166" w:lineRule="exact"/>
              <w:rPr>
                <w:sz w:val="20"/>
                <w:szCs w:val="20"/>
                <w:color w:val="auto"/>
              </w:rPr>
            </w:pPr>
            <w:r>
              <w:rPr>
                <w:rFonts w:ascii="Arial" w:cs="Arial" w:eastAsia="Arial" w:hAnsi="Arial"/>
                <w:sz w:val="15"/>
                <w:szCs w:val="15"/>
                <w:color w:val="7B7C80"/>
              </w:rPr>
              <w:t>Betsy J. Bernard</w:t>
            </w:r>
          </w:p>
        </w:tc>
        <w:tc>
          <w:tcPr>
            <w:tcW w:w="880" w:type="dxa"/>
            <w:vAlign w:val="bottom"/>
            <w:shd w:val="clear" w:color="auto" w:fill="E7E7E8"/>
          </w:tcPr>
          <w:p>
            <w:pPr>
              <w:jc w:val="center"/>
              <w:ind w:left="91"/>
              <w:spacing w:after="0" w:line="166" w:lineRule="exact"/>
              <w:rPr>
                <w:sz w:val="20"/>
                <w:szCs w:val="20"/>
                <w:color w:val="auto"/>
              </w:rPr>
            </w:pPr>
            <w:r>
              <w:rPr>
                <w:rFonts w:ascii="Arial" w:cs="Arial" w:eastAsia="Arial" w:hAnsi="Arial"/>
                <w:sz w:val="15"/>
                <w:szCs w:val="15"/>
                <w:color w:val="7B7C80"/>
                <w:w w:val="95"/>
              </w:rPr>
              <w:t>7</w:t>
            </w:r>
          </w:p>
        </w:tc>
        <w:tc>
          <w:tcPr>
            <w:tcW w:w="0" w:type="dxa"/>
            <w:vAlign w:val="bottom"/>
          </w:tcPr>
          <w:p>
            <w:pPr>
              <w:spacing w:after="0"/>
              <w:rPr>
                <w:sz w:val="1"/>
                <w:szCs w:val="1"/>
                <w:color w:val="auto"/>
              </w:rPr>
            </w:pPr>
          </w:p>
        </w:tc>
      </w:tr>
      <w:tr>
        <w:trPr>
          <w:trHeight w:val="172"/>
        </w:trPr>
        <w:tc>
          <w:tcPr>
            <w:tcW w:w="7680" w:type="dxa"/>
            <w:vAlign w:val="bottom"/>
            <w:vMerge w:val="restart"/>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Reviews capital structure and plans, significant financial transactions, financial policies, credit ratings, matters of</w:t>
            </w:r>
          </w:p>
        </w:tc>
        <w:tc>
          <w:tcPr>
            <w:tcW w:w="1700" w:type="dxa"/>
            <w:vAlign w:val="bottom"/>
            <w:shd w:val="clear" w:color="auto" w:fill="E7E7E8"/>
          </w:tcPr>
          <w:p>
            <w:pPr>
              <w:ind w:left="120"/>
              <w:spacing w:after="0"/>
              <w:rPr>
                <w:sz w:val="20"/>
                <w:szCs w:val="20"/>
                <w:color w:val="auto"/>
              </w:rPr>
            </w:pPr>
            <w:r>
              <w:rPr>
                <w:rFonts w:ascii="Arial" w:cs="Arial" w:eastAsia="Arial" w:hAnsi="Arial"/>
                <w:sz w:val="15"/>
                <w:szCs w:val="15"/>
                <w:color w:val="7B7C80"/>
              </w:rPr>
              <w:t>Jocelyn Carter-Miller*</w:t>
            </w:r>
          </w:p>
        </w:tc>
        <w:tc>
          <w:tcPr>
            <w:tcW w:w="88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7680" w:type="dxa"/>
            <w:vAlign w:val="bottom"/>
            <w:vMerge w:val="continue"/>
            <w:shd w:val="clear" w:color="auto" w:fill="E7E7E8"/>
          </w:tcPr>
          <w:p>
            <w:pPr>
              <w:spacing w:after="0"/>
              <w:rPr>
                <w:sz w:val="13"/>
                <w:szCs w:val="13"/>
                <w:color w:val="auto"/>
              </w:rPr>
            </w:pPr>
          </w:p>
        </w:tc>
        <w:tc>
          <w:tcPr>
            <w:tcW w:w="1700" w:type="dxa"/>
            <w:vAlign w:val="bottom"/>
            <w:shd w:val="clear" w:color="auto" w:fill="E7E7E8"/>
          </w:tcPr>
          <w:p>
            <w:pPr>
              <w:ind w:left="120"/>
              <w:spacing w:after="0" w:line="161" w:lineRule="exact"/>
              <w:rPr>
                <w:sz w:val="20"/>
                <w:szCs w:val="20"/>
                <w:color w:val="auto"/>
              </w:rPr>
            </w:pPr>
            <w:r>
              <w:rPr>
                <w:rFonts w:ascii="Arial" w:cs="Arial" w:eastAsia="Arial" w:hAnsi="Arial"/>
                <w:sz w:val="15"/>
                <w:szCs w:val="15"/>
                <w:color w:val="7B7C80"/>
              </w:rPr>
              <w:t>Dennis H. Ferro</w:t>
            </w:r>
          </w:p>
        </w:tc>
        <w:tc>
          <w:tcPr>
            <w:tcW w:w="880" w:type="dxa"/>
            <w:vAlign w:val="bottom"/>
            <w:shd w:val="clear" w:color="auto" w:fill="E7E7E8"/>
          </w:tcPr>
          <w:p>
            <w:pPr>
              <w:spacing w:after="0"/>
              <w:rPr>
                <w:sz w:val="13"/>
                <w:szCs w:val="13"/>
                <w:color w:val="auto"/>
              </w:rPr>
            </w:pPr>
          </w:p>
        </w:tc>
        <w:tc>
          <w:tcPr>
            <w:tcW w:w="0" w:type="dxa"/>
            <w:vAlign w:val="bottom"/>
          </w:tcPr>
          <w:p>
            <w:pPr>
              <w:spacing w:after="0"/>
              <w:rPr>
                <w:sz w:val="1"/>
                <w:szCs w:val="1"/>
                <w:color w:val="auto"/>
              </w:rPr>
            </w:pPr>
          </w:p>
        </w:tc>
      </w:tr>
      <w:tr>
        <w:trPr>
          <w:trHeight w:val="172"/>
        </w:trPr>
        <w:tc>
          <w:tcPr>
            <w:tcW w:w="7680" w:type="dxa"/>
            <w:vAlign w:val="bottom"/>
            <w:shd w:val="clear" w:color="auto" w:fill="E7E7E8"/>
          </w:tcPr>
          <w:p>
            <w:pPr>
              <w:ind w:left="180"/>
              <w:spacing w:after="0"/>
              <w:rPr>
                <w:sz w:val="20"/>
                <w:szCs w:val="20"/>
                <w:color w:val="auto"/>
              </w:rPr>
            </w:pPr>
            <w:r>
              <w:rPr>
                <w:rFonts w:ascii="Arial" w:cs="Arial" w:eastAsia="Arial" w:hAnsi="Arial"/>
                <w:sz w:val="15"/>
                <w:szCs w:val="15"/>
                <w:color w:val="7B7C80"/>
              </w:rPr>
              <w:t>corporate finance, including issuance of debt and equity, shareholder dividends, proposed mergers, acquisitions</w:t>
            </w:r>
          </w:p>
        </w:tc>
        <w:tc>
          <w:tcPr>
            <w:tcW w:w="1700" w:type="dxa"/>
            <w:vAlign w:val="bottom"/>
            <w:shd w:val="clear" w:color="auto" w:fill="E7E7E8"/>
          </w:tcPr>
          <w:p>
            <w:pPr>
              <w:ind w:left="120"/>
              <w:spacing w:after="0"/>
              <w:rPr>
                <w:sz w:val="20"/>
                <w:szCs w:val="20"/>
                <w:color w:val="auto"/>
              </w:rPr>
            </w:pPr>
            <w:r>
              <w:rPr>
                <w:rFonts w:ascii="Arial" w:cs="Arial" w:eastAsia="Arial" w:hAnsi="Arial"/>
                <w:sz w:val="15"/>
                <w:szCs w:val="15"/>
                <w:color w:val="7B7C80"/>
              </w:rPr>
              <w:t>Sandra L. Helton</w:t>
            </w:r>
          </w:p>
        </w:tc>
        <w:tc>
          <w:tcPr>
            <w:tcW w:w="88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90"/>
        </w:trPr>
        <w:tc>
          <w:tcPr>
            <w:tcW w:w="7680" w:type="dxa"/>
            <w:vAlign w:val="bottom"/>
            <w:shd w:val="clear" w:color="auto" w:fill="E7E7E8"/>
          </w:tcPr>
          <w:p>
            <w:pPr>
              <w:ind w:left="180"/>
              <w:spacing w:after="0"/>
              <w:rPr>
                <w:sz w:val="20"/>
                <w:szCs w:val="20"/>
                <w:color w:val="auto"/>
              </w:rPr>
            </w:pPr>
            <w:r>
              <w:rPr>
                <w:rFonts w:ascii="Arial" w:cs="Arial" w:eastAsia="Arial" w:hAnsi="Arial"/>
                <w:sz w:val="15"/>
                <w:szCs w:val="15"/>
                <w:color w:val="7B7C80"/>
              </w:rPr>
              <w:t>and divestitures; Reviews and provides guidance on financial goals;</w:t>
            </w:r>
          </w:p>
        </w:tc>
        <w:tc>
          <w:tcPr>
            <w:tcW w:w="1700" w:type="dxa"/>
            <w:vAlign w:val="bottom"/>
            <w:shd w:val="clear" w:color="auto" w:fill="E7E7E8"/>
          </w:tcPr>
          <w:p>
            <w:pPr>
              <w:ind w:left="120"/>
              <w:spacing w:after="0"/>
              <w:rPr>
                <w:sz w:val="20"/>
                <w:szCs w:val="20"/>
                <w:color w:val="auto"/>
              </w:rPr>
            </w:pPr>
            <w:r>
              <w:rPr>
                <w:rFonts w:ascii="Arial" w:cs="Arial" w:eastAsia="Arial" w:hAnsi="Arial"/>
                <w:sz w:val="15"/>
                <w:szCs w:val="15"/>
                <w:color w:val="7B7C80"/>
              </w:rPr>
              <w:t>Blair Pickerell</w:t>
            </w:r>
          </w:p>
        </w:tc>
        <w:tc>
          <w:tcPr>
            <w:tcW w:w="880" w:type="dxa"/>
            <w:vAlign w:val="bottom"/>
            <w:shd w:val="clear" w:color="auto" w:fill="E7E7E8"/>
          </w:tcPr>
          <w:p>
            <w:pPr>
              <w:spacing w:after="0"/>
              <w:rPr>
                <w:sz w:val="16"/>
                <w:szCs w:val="16"/>
                <w:color w:val="auto"/>
              </w:rPr>
            </w:pPr>
          </w:p>
        </w:tc>
        <w:tc>
          <w:tcPr>
            <w:tcW w:w="0" w:type="dxa"/>
            <w:vAlign w:val="bottom"/>
          </w:tcPr>
          <w:p>
            <w:pPr>
              <w:spacing w:after="0"/>
              <w:rPr>
                <w:sz w:val="1"/>
                <w:szCs w:val="1"/>
                <w:color w:val="auto"/>
              </w:rPr>
            </w:pPr>
          </w:p>
        </w:tc>
      </w:tr>
      <w:tr>
        <w:trPr>
          <w:trHeight w:val="325"/>
        </w:trPr>
        <w:tc>
          <w:tcPr>
            <w:tcW w:w="7680" w:type="dxa"/>
            <w:vAlign w:val="bottom"/>
            <w:shd w:val="clear" w:color="auto" w:fill="E7E7E8"/>
          </w:tcPr>
          <w:p>
            <w:pPr>
              <w:ind w:left="40"/>
              <w:spacing w:after="0"/>
              <w:rPr>
                <w:sz w:val="20"/>
                <w:szCs w:val="20"/>
                <w:color w:val="auto"/>
              </w:rPr>
            </w:pPr>
            <w:r>
              <w:rPr>
                <w:rFonts w:ascii="Arial" w:cs="Arial" w:eastAsia="Arial" w:hAnsi="Arial"/>
                <w:sz w:val="15"/>
                <w:szCs w:val="15"/>
                <w:color w:val="009CCC"/>
              </w:rPr>
              <w:t xml:space="preserve">• </w:t>
            </w:r>
            <w:r>
              <w:rPr>
                <w:rFonts w:ascii="Arial" w:cs="Arial" w:eastAsia="Arial" w:hAnsi="Arial"/>
                <w:sz w:val="15"/>
                <w:szCs w:val="15"/>
                <w:color w:val="7B7C80"/>
              </w:rPr>
              <w:t>Oversees investment policies, strategies and programs; Reviews policies and procedures governing the use of</w:t>
            </w:r>
          </w:p>
        </w:tc>
        <w:tc>
          <w:tcPr>
            <w:tcW w:w="1700" w:type="dxa"/>
            <w:vAlign w:val="bottom"/>
            <w:shd w:val="clear" w:color="auto" w:fill="E7E7E8"/>
          </w:tcPr>
          <w:p>
            <w:pPr>
              <w:spacing w:after="0"/>
              <w:rPr>
                <w:sz w:val="24"/>
                <w:szCs w:val="24"/>
                <w:color w:val="auto"/>
              </w:rPr>
            </w:pPr>
          </w:p>
        </w:tc>
        <w:tc>
          <w:tcPr>
            <w:tcW w:w="880" w:type="dxa"/>
            <w:vAlign w:val="bottom"/>
            <w:shd w:val="clear" w:color="auto" w:fill="E7E7E8"/>
          </w:tcPr>
          <w:p>
            <w:pPr>
              <w:spacing w:after="0"/>
              <w:rPr>
                <w:sz w:val="24"/>
                <w:szCs w:val="24"/>
                <w:color w:val="auto"/>
              </w:rPr>
            </w:pPr>
          </w:p>
        </w:tc>
        <w:tc>
          <w:tcPr>
            <w:tcW w:w="0" w:type="dxa"/>
            <w:vAlign w:val="bottom"/>
          </w:tcPr>
          <w:p>
            <w:pPr>
              <w:spacing w:after="0"/>
              <w:rPr>
                <w:sz w:val="1"/>
                <w:szCs w:val="1"/>
                <w:color w:val="auto"/>
              </w:rPr>
            </w:pPr>
          </w:p>
        </w:tc>
      </w:tr>
      <w:tr>
        <w:trPr>
          <w:trHeight w:val="172"/>
        </w:trPr>
        <w:tc>
          <w:tcPr>
            <w:tcW w:w="7680" w:type="dxa"/>
            <w:vAlign w:val="bottom"/>
            <w:shd w:val="clear" w:color="auto" w:fill="E7E7E8"/>
          </w:tcPr>
          <w:p>
            <w:pPr>
              <w:ind w:left="180"/>
              <w:spacing w:after="0"/>
              <w:rPr>
                <w:sz w:val="20"/>
                <w:szCs w:val="20"/>
                <w:color w:val="auto"/>
              </w:rPr>
            </w:pPr>
            <w:r>
              <w:rPr>
                <w:rFonts w:ascii="Arial" w:cs="Arial" w:eastAsia="Arial" w:hAnsi="Arial"/>
                <w:sz w:val="15"/>
                <w:szCs w:val="15"/>
                <w:color w:val="7B7C80"/>
              </w:rPr>
              <w:t>financial instruments including derivatives; and assists the Board in overseeing and reviewing information</w:t>
            </w:r>
          </w:p>
        </w:tc>
        <w:tc>
          <w:tcPr>
            <w:tcW w:w="1700" w:type="dxa"/>
            <w:vAlign w:val="bottom"/>
            <w:shd w:val="clear" w:color="auto" w:fill="E7E7E8"/>
          </w:tcPr>
          <w:p>
            <w:pPr>
              <w:spacing w:after="0"/>
              <w:rPr>
                <w:sz w:val="14"/>
                <w:szCs w:val="14"/>
                <w:color w:val="auto"/>
              </w:rPr>
            </w:pPr>
          </w:p>
        </w:tc>
        <w:tc>
          <w:tcPr>
            <w:tcW w:w="88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7680" w:type="dxa"/>
            <w:vAlign w:val="bottom"/>
            <w:shd w:val="clear" w:color="auto" w:fill="E7E7E8"/>
          </w:tcPr>
          <w:p>
            <w:pPr>
              <w:ind w:left="180"/>
              <w:spacing w:after="0"/>
              <w:rPr>
                <w:sz w:val="20"/>
                <w:szCs w:val="20"/>
                <w:color w:val="auto"/>
              </w:rPr>
            </w:pPr>
            <w:r>
              <w:rPr>
                <w:rFonts w:ascii="Arial" w:cs="Arial" w:eastAsia="Arial" w:hAnsi="Arial"/>
                <w:sz w:val="15"/>
                <w:szCs w:val="15"/>
                <w:color w:val="7B7C80"/>
              </w:rPr>
              <w:t>regarding enterprise financial risk management, including the policies, procedures and practices to manage</w:t>
            </w:r>
          </w:p>
        </w:tc>
        <w:tc>
          <w:tcPr>
            <w:tcW w:w="1700" w:type="dxa"/>
            <w:vAlign w:val="bottom"/>
            <w:shd w:val="clear" w:color="auto" w:fill="E7E7E8"/>
          </w:tcPr>
          <w:p>
            <w:pPr>
              <w:spacing w:after="0"/>
              <w:rPr>
                <w:sz w:val="14"/>
                <w:szCs w:val="14"/>
                <w:color w:val="auto"/>
              </w:rPr>
            </w:pPr>
          </w:p>
        </w:tc>
        <w:tc>
          <w:tcPr>
            <w:tcW w:w="88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175"/>
        </w:trPr>
        <w:tc>
          <w:tcPr>
            <w:tcW w:w="7680" w:type="dxa"/>
            <w:vAlign w:val="bottom"/>
            <w:shd w:val="clear" w:color="auto" w:fill="E7E7E8"/>
          </w:tcPr>
          <w:p>
            <w:pPr>
              <w:ind w:left="180"/>
              <w:spacing w:after="0" w:line="169" w:lineRule="exact"/>
              <w:rPr>
                <w:sz w:val="20"/>
                <w:szCs w:val="20"/>
                <w:color w:val="auto"/>
              </w:rPr>
            </w:pPr>
            <w:r>
              <w:rPr>
                <w:rFonts w:ascii="Arial" w:cs="Arial" w:eastAsia="Arial" w:hAnsi="Arial"/>
                <w:sz w:val="15"/>
                <w:szCs w:val="15"/>
                <w:color w:val="7B7C80"/>
              </w:rPr>
              <w:t>liquidity, credit market, product and pricing risks and tax planning.</w:t>
            </w:r>
          </w:p>
        </w:tc>
        <w:tc>
          <w:tcPr>
            <w:tcW w:w="1700" w:type="dxa"/>
            <w:vAlign w:val="bottom"/>
            <w:shd w:val="clear" w:color="auto" w:fill="E7E7E8"/>
          </w:tcPr>
          <w:p>
            <w:pPr>
              <w:spacing w:after="0"/>
              <w:rPr>
                <w:sz w:val="15"/>
                <w:szCs w:val="15"/>
                <w:color w:val="auto"/>
              </w:rPr>
            </w:pPr>
          </w:p>
        </w:tc>
        <w:tc>
          <w:tcPr>
            <w:tcW w:w="880" w:type="dxa"/>
            <w:vAlign w:val="bottom"/>
            <w:shd w:val="clear" w:color="auto" w:fill="E7E7E8"/>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7680" w:type="dxa"/>
            <w:vAlign w:val="bottom"/>
            <w:shd w:val="clear" w:color="auto" w:fill="CDE5F7"/>
          </w:tcPr>
          <w:p>
            <w:pPr>
              <w:spacing w:after="0"/>
              <w:rPr>
                <w:sz w:val="20"/>
                <w:szCs w:val="20"/>
                <w:color w:val="auto"/>
              </w:rPr>
            </w:pPr>
            <w:r>
              <w:rPr>
                <w:rFonts w:ascii="Arial" w:cs="Arial" w:eastAsia="Arial" w:hAnsi="Arial"/>
                <w:sz w:val="15"/>
                <w:szCs w:val="15"/>
                <w:color w:val="7B7C80"/>
              </w:rPr>
              <w:t>Plans the Board's annual strategic retreat.</w:t>
            </w:r>
          </w:p>
        </w:tc>
        <w:tc>
          <w:tcPr>
            <w:tcW w:w="1700" w:type="dxa"/>
            <w:vAlign w:val="bottom"/>
            <w:shd w:val="clear" w:color="auto" w:fill="CDE5F7"/>
          </w:tcPr>
          <w:p>
            <w:pPr>
              <w:ind w:left="120"/>
              <w:spacing w:after="0"/>
              <w:rPr>
                <w:sz w:val="20"/>
                <w:szCs w:val="20"/>
                <w:color w:val="auto"/>
              </w:rPr>
            </w:pPr>
            <w:r>
              <w:rPr>
                <w:rFonts w:ascii="Arial" w:cs="Arial" w:eastAsia="Arial" w:hAnsi="Arial"/>
                <w:sz w:val="15"/>
                <w:szCs w:val="15"/>
                <w:color w:val="7B7C80"/>
              </w:rPr>
              <w:t>Betsy Bernard*</w:t>
            </w:r>
          </w:p>
        </w:tc>
        <w:tc>
          <w:tcPr>
            <w:tcW w:w="880" w:type="dxa"/>
            <w:vAlign w:val="bottom"/>
            <w:shd w:val="clear" w:color="auto" w:fill="CDE5F7"/>
          </w:tcPr>
          <w:p>
            <w:pPr>
              <w:jc w:val="center"/>
              <w:ind w:left="91"/>
              <w:spacing w:after="0"/>
              <w:rPr>
                <w:sz w:val="20"/>
                <w:szCs w:val="20"/>
                <w:color w:val="auto"/>
              </w:rPr>
            </w:pPr>
            <w:r>
              <w:rPr>
                <w:rFonts w:ascii="Arial" w:cs="Arial" w:eastAsia="Arial" w:hAnsi="Arial"/>
                <w:sz w:val="15"/>
                <w:szCs w:val="15"/>
                <w:color w:val="7B7C80"/>
                <w:w w:val="95"/>
              </w:rPr>
              <w:t>3</w:t>
            </w:r>
          </w:p>
        </w:tc>
        <w:tc>
          <w:tcPr>
            <w:tcW w:w="0" w:type="dxa"/>
            <w:vAlign w:val="bottom"/>
          </w:tcPr>
          <w:p>
            <w:pPr>
              <w:spacing w:after="0"/>
              <w:rPr>
                <w:sz w:val="1"/>
                <w:szCs w:val="1"/>
                <w:color w:val="auto"/>
              </w:rPr>
            </w:pPr>
          </w:p>
        </w:tc>
      </w:tr>
      <w:tr>
        <w:trPr>
          <w:trHeight w:val="172"/>
        </w:trPr>
        <w:tc>
          <w:tcPr>
            <w:tcW w:w="7680" w:type="dxa"/>
            <w:vAlign w:val="bottom"/>
            <w:shd w:val="clear" w:color="auto" w:fill="CDE5F7"/>
          </w:tcPr>
          <w:p>
            <w:pPr>
              <w:spacing w:after="0"/>
              <w:rPr>
                <w:sz w:val="14"/>
                <w:szCs w:val="14"/>
                <w:color w:val="auto"/>
              </w:rPr>
            </w:pPr>
          </w:p>
        </w:tc>
        <w:tc>
          <w:tcPr>
            <w:tcW w:w="1700" w:type="dxa"/>
            <w:vAlign w:val="bottom"/>
            <w:shd w:val="clear" w:color="auto" w:fill="CDE5F7"/>
          </w:tcPr>
          <w:p>
            <w:pPr>
              <w:ind w:left="120"/>
              <w:spacing w:after="0"/>
              <w:rPr>
                <w:sz w:val="20"/>
                <w:szCs w:val="20"/>
                <w:color w:val="auto"/>
              </w:rPr>
            </w:pPr>
            <w:r>
              <w:rPr>
                <w:rFonts w:ascii="Arial" w:cs="Arial" w:eastAsia="Arial" w:hAnsi="Arial"/>
                <w:sz w:val="15"/>
                <w:szCs w:val="15"/>
                <w:color w:val="7B7C80"/>
              </w:rPr>
              <w:t>Roger C. Hochschild</w:t>
            </w:r>
          </w:p>
        </w:tc>
        <w:tc>
          <w:tcPr>
            <w:tcW w:w="880" w:type="dxa"/>
            <w:vAlign w:val="bottom"/>
            <w:shd w:val="clear" w:color="auto" w:fill="CDE5F7"/>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7680" w:type="dxa"/>
            <w:vAlign w:val="bottom"/>
            <w:shd w:val="clear" w:color="auto" w:fill="CDE5F7"/>
          </w:tcPr>
          <w:p>
            <w:pPr>
              <w:spacing w:after="0"/>
              <w:rPr>
                <w:sz w:val="14"/>
                <w:szCs w:val="14"/>
                <w:color w:val="auto"/>
              </w:rPr>
            </w:pPr>
          </w:p>
        </w:tc>
        <w:tc>
          <w:tcPr>
            <w:tcW w:w="1700" w:type="dxa"/>
            <w:vAlign w:val="bottom"/>
            <w:shd w:val="clear" w:color="auto" w:fill="CDE5F7"/>
          </w:tcPr>
          <w:p>
            <w:pPr>
              <w:ind w:left="120"/>
              <w:spacing w:after="0" w:line="172" w:lineRule="exact"/>
              <w:rPr>
                <w:sz w:val="20"/>
                <w:szCs w:val="20"/>
                <w:color w:val="auto"/>
              </w:rPr>
            </w:pPr>
            <w:r>
              <w:rPr>
                <w:rFonts w:ascii="Arial" w:cs="Arial" w:eastAsia="Arial" w:hAnsi="Arial"/>
                <w:sz w:val="15"/>
                <w:szCs w:val="15"/>
                <w:color w:val="7B7C80"/>
              </w:rPr>
              <w:t>Scott M. Mills</w:t>
            </w:r>
          </w:p>
        </w:tc>
        <w:tc>
          <w:tcPr>
            <w:tcW w:w="880" w:type="dxa"/>
            <w:vAlign w:val="bottom"/>
            <w:shd w:val="clear" w:color="auto" w:fill="CDE5F7"/>
          </w:tcPr>
          <w:p>
            <w:pPr>
              <w:spacing w:after="0"/>
              <w:rPr>
                <w:sz w:val="14"/>
                <w:szCs w:val="14"/>
                <w:color w:val="auto"/>
              </w:rPr>
            </w:pPr>
          </w:p>
        </w:tc>
        <w:tc>
          <w:tcPr>
            <w:tcW w:w="0" w:type="dxa"/>
            <w:vAlign w:val="bottom"/>
          </w:tcPr>
          <w:p>
            <w:pPr>
              <w:spacing w:after="0"/>
              <w:rPr>
                <w:sz w:val="1"/>
                <w:szCs w:val="1"/>
                <w:color w:val="auto"/>
              </w:rPr>
            </w:pPr>
          </w:p>
        </w:tc>
      </w:tr>
      <w:tr>
        <w:trPr>
          <w:trHeight w:val="207"/>
        </w:trPr>
        <w:tc>
          <w:tcPr>
            <w:tcW w:w="7680" w:type="dxa"/>
            <w:vAlign w:val="bottom"/>
            <w:shd w:val="clear" w:color="auto" w:fill="CDE5F7"/>
          </w:tcPr>
          <w:p>
            <w:pPr>
              <w:spacing w:after="0"/>
              <w:rPr>
                <w:sz w:val="17"/>
                <w:szCs w:val="17"/>
                <w:color w:val="auto"/>
              </w:rPr>
            </w:pPr>
          </w:p>
        </w:tc>
        <w:tc>
          <w:tcPr>
            <w:tcW w:w="1700" w:type="dxa"/>
            <w:vAlign w:val="bottom"/>
            <w:shd w:val="clear" w:color="auto" w:fill="CDE5F7"/>
          </w:tcPr>
          <w:p>
            <w:pPr>
              <w:ind w:left="120"/>
              <w:spacing w:after="0" w:line="207" w:lineRule="exact"/>
              <w:rPr>
                <w:sz w:val="20"/>
                <w:szCs w:val="20"/>
                <w:color w:val="auto"/>
              </w:rPr>
            </w:pPr>
            <w:r>
              <w:rPr>
                <w:rFonts w:ascii="Arial" w:cs="Arial" w:eastAsia="Arial" w:hAnsi="Arial"/>
                <w:sz w:val="14"/>
                <w:szCs w:val="14"/>
                <w:color w:val="7B7C80"/>
              </w:rPr>
              <w:t>Diane C. Nordin</w:t>
            </w:r>
            <w:r>
              <w:rPr>
                <w:rFonts w:ascii="Arial" w:cs="Arial" w:eastAsia="Arial" w:hAnsi="Arial"/>
                <w:sz w:val="23"/>
                <w:szCs w:val="23"/>
                <w:color w:val="7B7C80"/>
                <w:vertAlign w:val="superscript"/>
              </w:rPr>
              <w:t>(2)</w:t>
            </w:r>
          </w:p>
        </w:tc>
        <w:tc>
          <w:tcPr>
            <w:tcW w:w="880" w:type="dxa"/>
            <w:vAlign w:val="bottom"/>
            <w:shd w:val="clear" w:color="auto" w:fill="CDE5F7"/>
          </w:tcPr>
          <w:p>
            <w:pPr>
              <w:spacing w:after="0"/>
              <w:rPr>
                <w:sz w:val="17"/>
                <w:szCs w:val="17"/>
                <w:color w:val="auto"/>
              </w:rPr>
            </w:pPr>
          </w:p>
        </w:tc>
        <w:tc>
          <w:tcPr>
            <w:tcW w:w="0" w:type="dxa"/>
            <w:vAlign w:val="bottom"/>
          </w:tcPr>
          <w:p>
            <w:pPr>
              <w:spacing w:after="0"/>
              <w:rPr>
                <w:sz w:val="1"/>
                <w:szCs w:val="1"/>
                <w:color w:val="auto"/>
              </w:rPr>
            </w:pPr>
          </w:p>
        </w:tc>
      </w:tr>
      <w:tr>
        <w:trPr>
          <w:trHeight w:val="175"/>
        </w:trPr>
        <w:tc>
          <w:tcPr>
            <w:tcW w:w="7680" w:type="dxa"/>
            <w:vAlign w:val="bottom"/>
            <w:shd w:val="clear" w:color="auto" w:fill="CDE5F7"/>
          </w:tcPr>
          <w:p>
            <w:pPr>
              <w:spacing w:after="0"/>
              <w:rPr>
                <w:sz w:val="15"/>
                <w:szCs w:val="15"/>
                <w:color w:val="auto"/>
              </w:rPr>
            </w:pPr>
          </w:p>
        </w:tc>
        <w:tc>
          <w:tcPr>
            <w:tcW w:w="1700" w:type="dxa"/>
            <w:vAlign w:val="bottom"/>
            <w:shd w:val="clear" w:color="auto" w:fill="CDE5F7"/>
          </w:tcPr>
          <w:p>
            <w:pPr>
              <w:ind w:left="120"/>
              <w:spacing w:after="0" w:line="169" w:lineRule="exact"/>
              <w:rPr>
                <w:sz w:val="20"/>
                <w:szCs w:val="20"/>
                <w:color w:val="auto"/>
              </w:rPr>
            </w:pPr>
            <w:r>
              <w:rPr>
                <w:rFonts w:ascii="Arial" w:cs="Arial" w:eastAsia="Arial" w:hAnsi="Arial"/>
                <w:sz w:val="15"/>
                <w:szCs w:val="15"/>
                <w:color w:val="7B7C80"/>
              </w:rPr>
              <w:t>Blair C. Pickerell</w:t>
            </w:r>
          </w:p>
        </w:tc>
        <w:tc>
          <w:tcPr>
            <w:tcW w:w="880" w:type="dxa"/>
            <w:vAlign w:val="bottom"/>
            <w:shd w:val="clear" w:color="auto" w:fill="CDE5F7"/>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7680" w:type="dxa"/>
            <w:vAlign w:val="bottom"/>
            <w:shd w:val="clear" w:color="auto" w:fill="E7E7E8"/>
          </w:tcPr>
          <w:p>
            <w:pPr>
              <w:spacing w:after="0"/>
              <w:rPr>
                <w:sz w:val="20"/>
                <w:szCs w:val="20"/>
                <w:color w:val="auto"/>
              </w:rPr>
            </w:pPr>
            <w:r>
              <w:rPr>
                <w:rFonts w:ascii="Arial" w:cs="Arial" w:eastAsia="Arial" w:hAnsi="Arial"/>
                <w:sz w:val="15"/>
                <w:szCs w:val="15"/>
                <w:color w:val="7B7C80"/>
              </w:rPr>
              <w:t>Acts on matters delegated by the Board which must be approved by its independent members. Has the authority of</w:t>
            </w:r>
          </w:p>
        </w:tc>
        <w:tc>
          <w:tcPr>
            <w:tcW w:w="1700" w:type="dxa"/>
            <w:vAlign w:val="bottom"/>
            <w:shd w:val="clear" w:color="auto" w:fill="E7E7E8"/>
          </w:tcPr>
          <w:p>
            <w:pPr>
              <w:ind w:left="120"/>
              <w:spacing w:after="0"/>
              <w:rPr>
                <w:sz w:val="20"/>
                <w:szCs w:val="20"/>
                <w:color w:val="auto"/>
              </w:rPr>
            </w:pPr>
            <w:r>
              <w:rPr>
                <w:rFonts w:ascii="Arial" w:cs="Arial" w:eastAsia="Arial" w:hAnsi="Arial"/>
                <w:sz w:val="15"/>
                <w:szCs w:val="15"/>
                <w:color w:val="7B7C80"/>
              </w:rPr>
              <w:t>Betsy J. Bernard</w:t>
            </w:r>
          </w:p>
        </w:tc>
        <w:tc>
          <w:tcPr>
            <w:tcW w:w="880" w:type="dxa"/>
            <w:vAlign w:val="bottom"/>
            <w:shd w:val="clear" w:color="auto" w:fill="E7E7E8"/>
          </w:tcPr>
          <w:p>
            <w:pPr>
              <w:jc w:val="center"/>
              <w:ind w:left="91"/>
              <w:spacing w:after="0"/>
              <w:rPr>
                <w:sz w:val="20"/>
                <w:szCs w:val="20"/>
                <w:color w:val="auto"/>
              </w:rPr>
            </w:pPr>
            <w:r>
              <w:rPr>
                <w:rFonts w:ascii="Arial" w:cs="Arial" w:eastAsia="Arial" w:hAnsi="Arial"/>
                <w:sz w:val="15"/>
                <w:szCs w:val="15"/>
                <w:color w:val="7B7C80"/>
              </w:rPr>
              <w:t>None</w:t>
            </w:r>
          </w:p>
        </w:tc>
        <w:tc>
          <w:tcPr>
            <w:tcW w:w="0" w:type="dxa"/>
            <w:vAlign w:val="bottom"/>
          </w:tcPr>
          <w:p>
            <w:pPr>
              <w:spacing w:after="0"/>
              <w:rPr>
                <w:sz w:val="1"/>
                <w:szCs w:val="1"/>
                <w:color w:val="auto"/>
              </w:rPr>
            </w:pPr>
          </w:p>
        </w:tc>
      </w:tr>
      <w:tr>
        <w:trPr>
          <w:trHeight w:val="171"/>
        </w:trPr>
        <w:tc>
          <w:tcPr>
            <w:tcW w:w="7680" w:type="dxa"/>
            <w:vAlign w:val="bottom"/>
            <w:shd w:val="clear" w:color="auto" w:fill="E7E7E8"/>
          </w:tcPr>
          <w:p>
            <w:pPr>
              <w:spacing w:after="0" w:line="172" w:lineRule="exact"/>
              <w:rPr>
                <w:sz w:val="20"/>
                <w:szCs w:val="20"/>
                <w:color w:val="auto"/>
              </w:rPr>
            </w:pPr>
            <w:r>
              <w:rPr>
                <w:rFonts w:ascii="Arial" w:cs="Arial" w:eastAsia="Arial" w:hAnsi="Arial"/>
                <w:sz w:val="15"/>
                <w:szCs w:val="15"/>
                <w:color w:val="7B7C80"/>
              </w:rPr>
              <w:t>the Board between Board meetings unless the Board has directed otherwise or as mandated by law and in the By</w:t>
            </w:r>
          </w:p>
        </w:tc>
        <w:tc>
          <w:tcPr>
            <w:tcW w:w="1700" w:type="dxa"/>
            <w:vAlign w:val="bottom"/>
            <w:shd w:val="clear" w:color="auto" w:fill="E7E7E8"/>
          </w:tcPr>
          <w:p>
            <w:pPr>
              <w:ind w:left="120"/>
              <w:spacing w:after="0" w:line="172" w:lineRule="exact"/>
              <w:rPr>
                <w:sz w:val="20"/>
                <w:szCs w:val="20"/>
                <w:color w:val="auto"/>
              </w:rPr>
            </w:pPr>
            <w:r>
              <w:rPr>
                <w:rFonts w:ascii="Arial" w:cs="Arial" w:eastAsia="Arial" w:hAnsi="Arial"/>
                <w:sz w:val="15"/>
                <w:szCs w:val="15"/>
                <w:color w:val="7B7C80"/>
              </w:rPr>
              <w:t>Sandra L. Helton</w:t>
            </w:r>
          </w:p>
        </w:tc>
        <w:tc>
          <w:tcPr>
            <w:tcW w:w="88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r>
        <w:trPr>
          <w:trHeight w:val="207"/>
        </w:trPr>
        <w:tc>
          <w:tcPr>
            <w:tcW w:w="7680" w:type="dxa"/>
            <w:vAlign w:val="bottom"/>
            <w:shd w:val="clear" w:color="auto" w:fill="E7E7E8"/>
          </w:tcPr>
          <w:p>
            <w:pPr>
              <w:spacing w:after="0"/>
              <w:rPr>
                <w:sz w:val="20"/>
                <w:szCs w:val="20"/>
                <w:color w:val="auto"/>
              </w:rPr>
            </w:pPr>
            <w:r>
              <w:rPr>
                <w:rFonts w:ascii="Arial" w:cs="Arial" w:eastAsia="Arial" w:hAnsi="Arial"/>
                <w:sz w:val="15"/>
                <w:szCs w:val="15"/>
                <w:color w:val="7B7C80"/>
              </w:rPr>
              <w:t>Laws.</w:t>
            </w:r>
          </w:p>
        </w:tc>
        <w:tc>
          <w:tcPr>
            <w:tcW w:w="1700" w:type="dxa"/>
            <w:vAlign w:val="bottom"/>
            <w:shd w:val="clear" w:color="auto" w:fill="E7E7E8"/>
          </w:tcPr>
          <w:p>
            <w:pPr>
              <w:ind w:left="120"/>
              <w:spacing w:after="0" w:line="207" w:lineRule="exact"/>
              <w:rPr>
                <w:sz w:val="20"/>
                <w:szCs w:val="20"/>
                <w:color w:val="auto"/>
              </w:rPr>
            </w:pPr>
            <w:r>
              <w:rPr>
                <w:rFonts w:ascii="Arial" w:cs="Arial" w:eastAsia="Arial" w:hAnsi="Arial"/>
                <w:sz w:val="14"/>
                <w:szCs w:val="14"/>
                <w:color w:val="7B7C80"/>
              </w:rPr>
              <w:t>Daniel J. Houston</w:t>
            </w:r>
            <w:r>
              <w:rPr>
                <w:rFonts w:ascii="Arial" w:cs="Arial" w:eastAsia="Arial" w:hAnsi="Arial"/>
                <w:sz w:val="23"/>
                <w:szCs w:val="23"/>
                <w:color w:val="7B7C80"/>
                <w:vertAlign w:val="superscript"/>
              </w:rPr>
              <w:t>*</w:t>
            </w:r>
          </w:p>
        </w:tc>
        <w:tc>
          <w:tcPr>
            <w:tcW w:w="880" w:type="dxa"/>
            <w:vAlign w:val="bottom"/>
            <w:shd w:val="clear" w:color="auto" w:fill="E7E7E8"/>
          </w:tcPr>
          <w:p>
            <w:pPr>
              <w:spacing w:after="0"/>
              <w:rPr>
                <w:sz w:val="17"/>
                <w:szCs w:val="17"/>
                <w:color w:val="auto"/>
              </w:rPr>
            </w:pPr>
          </w:p>
        </w:tc>
        <w:tc>
          <w:tcPr>
            <w:tcW w:w="0" w:type="dxa"/>
            <w:vAlign w:val="bottom"/>
          </w:tcPr>
          <w:p>
            <w:pPr>
              <w:spacing w:after="0"/>
              <w:rPr>
                <w:sz w:val="1"/>
                <w:szCs w:val="1"/>
                <w:color w:val="auto"/>
              </w:rPr>
            </w:pPr>
          </w:p>
        </w:tc>
      </w:tr>
      <w:tr>
        <w:trPr>
          <w:trHeight w:val="169"/>
        </w:trPr>
        <w:tc>
          <w:tcPr>
            <w:tcW w:w="7680" w:type="dxa"/>
            <w:vAlign w:val="bottom"/>
            <w:shd w:val="clear" w:color="auto" w:fill="E7E7E8"/>
          </w:tcPr>
          <w:p>
            <w:pPr>
              <w:spacing w:after="0"/>
              <w:rPr>
                <w:sz w:val="14"/>
                <w:szCs w:val="14"/>
                <w:color w:val="auto"/>
              </w:rPr>
            </w:pPr>
          </w:p>
        </w:tc>
        <w:tc>
          <w:tcPr>
            <w:tcW w:w="1700" w:type="dxa"/>
            <w:vAlign w:val="bottom"/>
            <w:shd w:val="clear" w:color="auto" w:fill="E7E7E8"/>
          </w:tcPr>
          <w:p>
            <w:pPr>
              <w:ind w:left="120"/>
              <w:spacing w:after="0" w:line="169" w:lineRule="exact"/>
              <w:rPr>
                <w:sz w:val="20"/>
                <w:szCs w:val="20"/>
                <w:color w:val="auto"/>
              </w:rPr>
            </w:pPr>
            <w:r>
              <w:rPr>
                <w:rFonts w:ascii="Arial" w:cs="Arial" w:eastAsia="Arial" w:hAnsi="Arial"/>
                <w:sz w:val="15"/>
                <w:szCs w:val="15"/>
                <w:color w:val="7B7C80"/>
              </w:rPr>
              <w:t>Elizabeth E. Tallett</w:t>
            </w:r>
          </w:p>
        </w:tc>
        <w:tc>
          <w:tcPr>
            <w:tcW w:w="880" w:type="dxa"/>
            <w:vAlign w:val="bottom"/>
            <w:shd w:val="clear" w:color="auto" w:fill="E7E7E8"/>
          </w:tcPr>
          <w:p>
            <w:pPr>
              <w:spacing w:after="0"/>
              <w:rPr>
                <w:sz w:val="14"/>
                <w:szCs w:val="14"/>
                <w:color w:val="auto"/>
              </w:rPr>
            </w:pPr>
          </w:p>
        </w:tc>
        <w:tc>
          <w:tcPr>
            <w:tcW w:w="0" w:type="dxa"/>
            <w:vAlign w:val="bottom"/>
          </w:tcPr>
          <w:p>
            <w:pPr>
              <w:spacing w:after="0"/>
              <w:rPr>
                <w:sz w:val="1"/>
                <w:szCs w:val="1"/>
                <w:color w:val="auto"/>
              </w:rPr>
            </w:pPr>
          </w:p>
        </w:tc>
      </w:tr>
    </w:tbl>
    <w:p>
      <w:pPr>
        <w:spacing w:after="0" w:line="198" w:lineRule="exact"/>
        <w:rPr>
          <w:sz w:val="20"/>
          <w:szCs w:val="20"/>
          <w:color w:val="auto"/>
        </w:rPr>
      </w:pPr>
    </w:p>
    <w:p>
      <w:pPr>
        <w:sectPr>
          <w:pgSz w:w="11900" w:h="16838" w:orient="portrait"/>
          <w:cols w:equalWidth="0" w:num="2">
            <w:col w:w="888" w:space="300"/>
            <w:col w:w="10260"/>
          </w:cols>
          <w:pgMar w:left="232" w:top="142" w:right="219" w:bottom="1440" w:gutter="0" w:footer="0" w:header="0"/>
          <w:type w:val="continuous"/>
        </w:sectPr>
      </w:pPr>
    </w:p>
    <w:p>
      <w:pPr>
        <w:ind w:left="448" w:hanging="448"/>
        <w:spacing w:after="0"/>
        <w:tabs>
          <w:tab w:leader="none" w:pos="448" w:val="left"/>
        </w:tabs>
        <w:numPr>
          <w:ilvl w:val="0"/>
          <w:numId w:val="10"/>
        </w:numPr>
        <w:rPr>
          <w:rFonts w:ascii="Arial" w:cs="Arial" w:eastAsia="Arial" w:hAnsi="Arial"/>
          <w:sz w:val="12"/>
          <w:szCs w:val="12"/>
          <w:color w:val="7B7C80"/>
        </w:rPr>
      </w:pPr>
      <w:r>
        <w:rPr>
          <w:rFonts w:ascii="Arial" w:cs="Arial" w:eastAsia="Arial" w:hAnsi="Arial"/>
          <w:sz w:val="12"/>
          <w:szCs w:val="12"/>
          <w:color w:val="7B7C80"/>
        </w:rPr>
        <w:t>Effective October 25, 2017</w:t>
      </w:r>
    </w:p>
    <w:p>
      <w:pPr>
        <w:ind w:left="448" w:hanging="448"/>
        <w:spacing w:after="0"/>
        <w:tabs>
          <w:tab w:leader="none" w:pos="448" w:val="left"/>
        </w:tabs>
        <w:numPr>
          <w:ilvl w:val="0"/>
          <w:numId w:val="10"/>
        </w:numPr>
        <w:rPr>
          <w:rFonts w:ascii="Arial" w:cs="Arial" w:eastAsia="Arial" w:hAnsi="Arial"/>
          <w:sz w:val="12"/>
          <w:szCs w:val="12"/>
          <w:color w:val="7B7C80"/>
        </w:rPr>
      </w:pPr>
      <w:r>
        <w:rPr>
          <w:rFonts w:ascii="Arial" w:cs="Arial" w:eastAsia="Arial" w:hAnsi="Arial"/>
          <w:sz w:val="12"/>
          <w:szCs w:val="12"/>
          <w:color w:val="7B7C80"/>
        </w:rPr>
        <w:t>Effective November 28, 2017</w:t>
      </w:r>
    </w:p>
    <w:p>
      <w:pPr>
        <w:spacing w:after="0" w:line="163"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Sustainability</w:t>
      </w:r>
    </w:p>
    <w:p>
      <w:pPr>
        <w:spacing w:after="0" w:line="201" w:lineRule="exact"/>
        <w:rPr>
          <w:sz w:val="20"/>
          <w:szCs w:val="20"/>
          <w:color w:val="auto"/>
        </w:rPr>
      </w:pPr>
    </w:p>
    <w:p>
      <w:pPr>
        <w:ind w:left="8"/>
        <w:spacing w:after="0"/>
        <w:rPr>
          <w:sz w:val="20"/>
          <w:szCs w:val="20"/>
          <w:color w:val="auto"/>
        </w:rPr>
      </w:pPr>
      <w:r>
        <w:rPr>
          <w:rFonts w:ascii="Arial" w:cs="Arial" w:eastAsia="Arial" w:hAnsi="Arial"/>
          <w:sz w:val="15"/>
          <w:szCs w:val="15"/>
          <w:color w:val="009CCC"/>
        </w:rPr>
        <w:t>Doing what matters most for our global community</w:t>
      </w:r>
    </w:p>
    <w:p>
      <w:pPr>
        <w:spacing w:after="0" w:line="183" w:lineRule="exact"/>
        <w:rPr>
          <w:sz w:val="20"/>
          <w:szCs w:val="20"/>
          <w:color w:val="auto"/>
        </w:rPr>
      </w:pPr>
    </w:p>
    <w:p>
      <w:pPr>
        <w:jc w:val="both"/>
        <w:ind w:left="8"/>
        <w:spacing w:after="0" w:line="247" w:lineRule="auto"/>
        <w:rPr>
          <w:sz w:val="20"/>
          <w:szCs w:val="20"/>
          <w:color w:val="auto"/>
        </w:rPr>
      </w:pPr>
      <w:r>
        <w:rPr>
          <w:rFonts w:ascii="Arial" w:cs="Arial" w:eastAsia="Arial" w:hAnsi="Arial"/>
          <w:sz w:val="15"/>
          <w:szCs w:val="15"/>
          <w:color w:val="7B7C80"/>
        </w:rPr>
        <w:t>Principal aims to provide not only positive financial outcomes for our clients, but also positive outcomes for the global community in which it operates. Our commitment to clients means we will invest, conserve, volunteer and lead responsibly and sustainably to help realize the promise of a better future. And a better world.</w:t>
      </w:r>
    </w:p>
    <w:p>
      <w:pPr>
        <w:spacing w:after="0" w:line="172" w:lineRule="exact"/>
        <w:rPr>
          <w:sz w:val="20"/>
          <w:szCs w:val="20"/>
          <w:color w:val="auto"/>
        </w:rPr>
      </w:pPr>
    </w:p>
    <w:p>
      <w:pPr>
        <w:ind w:left="8"/>
        <w:spacing w:after="0"/>
        <w:rPr>
          <w:sz w:val="20"/>
          <w:szCs w:val="20"/>
          <w:color w:val="auto"/>
        </w:rPr>
      </w:pPr>
      <w:r>
        <w:rPr>
          <w:rFonts w:ascii="Arial" w:cs="Arial" w:eastAsia="Arial" w:hAnsi="Arial"/>
          <w:sz w:val="15"/>
          <w:szCs w:val="15"/>
          <w:color w:val="7B7C80"/>
        </w:rPr>
        <w:t>As evidence, we're humbled to have been named a Most Ethical Company by the Ethisphere Institute for the eighth year in a row in 2018.</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4"/>
          <w:szCs w:val="14"/>
          <w:color w:val="7B7C80"/>
        </w:rPr>
        <w:t>A full review of Principal's environmental, social and governance (ESG) practices can be found in our Corporate Social Responsibility Report available on www.principal.com.</w:t>
      </w:r>
    </w:p>
    <w:p>
      <w:pPr>
        <w:spacing w:after="0" w:line="11" w:lineRule="exact"/>
        <w:rPr>
          <w:sz w:val="20"/>
          <w:szCs w:val="20"/>
          <w:color w:val="auto"/>
        </w:rPr>
      </w:pPr>
    </w:p>
    <w:p>
      <w:pPr>
        <w:ind w:left="8"/>
        <w:spacing w:after="0"/>
        <w:rPr>
          <w:sz w:val="20"/>
          <w:szCs w:val="20"/>
          <w:color w:val="auto"/>
        </w:rPr>
      </w:pPr>
      <w:r>
        <w:rPr>
          <w:rFonts w:ascii="Arial" w:cs="Arial" w:eastAsia="Arial" w:hAnsi="Arial"/>
          <w:sz w:val="15"/>
          <w:szCs w:val="15"/>
          <w:color w:val="7B7C80"/>
        </w:rPr>
        <w:t>A summary is below:</w:t>
      </w:r>
    </w:p>
    <w:p>
      <w:pPr>
        <w:spacing w:after="0" w:line="183"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Giving back: Helping people is an important part of our culture at Principal. That's why employees, along with the Principal Financial Group Foundation, work together to give back. Our focus is on creating strong communities where people can live, work and play, helping people make progress toward long-term financial security, and supporting educational partnerships that build a pipeline for future talent. Highlights of recent developments and results include:</w:t>
      </w:r>
    </w:p>
    <w:p>
      <w:pPr>
        <w:spacing w:after="0" w:line="175" w:lineRule="exact"/>
        <w:rPr>
          <w:sz w:val="20"/>
          <w:szCs w:val="20"/>
          <w:color w:val="auto"/>
        </w:rPr>
      </w:pPr>
    </w:p>
    <w:p>
      <w:pPr>
        <w:ind w:left="448" w:hanging="448"/>
        <w:spacing w:after="0"/>
        <w:tabs>
          <w:tab w:leader="none" w:pos="448" w:val="left"/>
        </w:tabs>
        <w:numPr>
          <w:ilvl w:val="0"/>
          <w:numId w:val="11"/>
        </w:numPr>
        <w:rPr>
          <w:rFonts w:ascii="Arial" w:cs="Arial" w:eastAsia="Arial" w:hAnsi="Arial"/>
          <w:sz w:val="15"/>
          <w:szCs w:val="15"/>
          <w:color w:val="7B7C80"/>
        </w:rPr>
      </w:pPr>
      <w:r>
        <w:rPr>
          <w:rFonts w:ascii="Arial" w:cs="Arial" w:eastAsia="Arial" w:hAnsi="Arial"/>
          <w:sz w:val="15"/>
          <w:szCs w:val="15"/>
          <w:color w:val="7B7C80"/>
        </w:rPr>
        <w:t>Our employees gave more than $4.02 million to 438 organizations in 230+ communities around the world in 2017.</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11"/>
        </w:numPr>
        <w:rPr>
          <w:rFonts w:ascii="Arial" w:cs="Arial" w:eastAsia="Arial" w:hAnsi="Arial"/>
          <w:sz w:val="15"/>
          <w:szCs w:val="15"/>
          <w:color w:val="7B7C80"/>
        </w:rPr>
      </w:pPr>
      <w:r>
        <w:rPr>
          <w:rFonts w:ascii="Arial" w:cs="Arial" w:eastAsia="Arial" w:hAnsi="Arial"/>
          <w:sz w:val="15"/>
          <w:szCs w:val="15"/>
          <w:color w:val="7B7C80"/>
        </w:rPr>
        <w:t>We've raised $13.5 million to support Iowa kids through our sponsorship of the Principal Charity Classic, an annual PGA TOUR Champions event, over 11 years.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1"/>
        </w:numPr>
        <w:rPr>
          <w:rFonts w:ascii="Arial" w:cs="Arial" w:eastAsia="Arial" w:hAnsi="Arial"/>
          <w:sz w:val="15"/>
          <w:szCs w:val="15"/>
          <w:color w:val="7B7C80"/>
        </w:rPr>
      </w:pPr>
      <w:r>
        <w:rPr>
          <w:rFonts w:ascii="Arial" w:cs="Arial" w:eastAsia="Arial" w:hAnsi="Arial"/>
          <w:sz w:val="15"/>
          <w:szCs w:val="15"/>
          <w:color w:val="7B7C80"/>
        </w:rPr>
        <w:t>1,623 employees logged 30,357 volunteer hours in 2017.</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1"/>
        </w:numPr>
        <w:rPr>
          <w:rFonts w:ascii="Arial" w:cs="Arial" w:eastAsia="Arial" w:hAnsi="Arial"/>
          <w:sz w:val="15"/>
          <w:szCs w:val="15"/>
          <w:color w:val="7B7C80"/>
        </w:rPr>
      </w:pPr>
      <w:r>
        <w:rPr>
          <w:rFonts w:ascii="Arial" w:cs="Arial" w:eastAsia="Arial" w:hAnsi="Arial"/>
          <w:sz w:val="15"/>
          <w:szCs w:val="15"/>
          <w:color w:val="7B7C80"/>
        </w:rPr>
        <w:t>Our Global Impact trip to India in 2017 enabled eight employees, selected from around the world, to help young people in poverty build skills for future employment.</w:t>
      </w:r>
    </w:p>
    <w:p>
      <w:pPr>
        <w:spacing w:after="0" w:line="183"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Sustaining the environment: We work to lessen our environmental impact by reducing our carbon footprint, using energy and water efficiently, and minimizing waste, while engaging our employees, stakeholders, and supply chain through awareness initiatives. Our specific programs include a food diversion and composting program, LEED certifications, and employee grassroots "Green Team" recycling efforts. Recent sustainability results include:</w:t>
      </w:r>
    </w:p>
    <w:p>
      <w:pPr>
        <w:spacing w:after="0" w:line="186" w:lineRule="exact"/>
        <w:rPr>
          <w:sz w:val="20"/>
          <w:szCs w:val="20"/>
          <w:color w:val="auto"/>
        </w:rPr>
      </w:pPr>
    </w:p>
    <w:p>
      <w:pPr>
        <w:ind w:left="448" w:hanging="448"/>
        <w:spacing w:after="0"/>
        <w:tabs>
          <w:tab w:leader="none" w:pos="448" w:val="left"/>
        </w:tabs>
        <w:numPr>
          <w:ilvl w:val="0"/>
          <w:numId w:val="12"/>
        </w:numPr>
        <w:rPr>
          <w:rFonts w:ascii="Arial" w:cs="Arial" w:eastAsia="Arial" w:hAnsi="Arial"/>
          <w:sz w:val="15"/>
          <w:szCs w:val="15"/>
          <w:color w:val="7B7C80"/>
        </w:rPr>
      </w:pPr>
      <w:r>
        <w:rPr>
          <w:rFonts w:ascii="Arial" w:cs="Arial" w:eastAsia="Arial" w:hAnsi="Arial"/>
          <w:sz w:val="15"/>
          <w:szCs w:val="15"/>
          <w:color w:val="7B7C80"/>
        </w:rPr>
        <w:t>We've reduced our 2010 baseline carbon emissions by nearly 29% since 2011.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114300</wp:posOffset>
            </wp:positionV>
            <wp:extent cx="960120" cy="2838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300"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18</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type w:val="continuous"/>
        </w:sectPr>
      </w:pPr>
    </w:p>
    <w:bookmarkStart w:id="21" w:name="page22"/>
    <w:bookmarkEnd w:id="21"/>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ind w:left="448" w:hanging="448"/>
        <w:spacing w:after="0"/>
        <w:tabs>
          <w:tab w:leader="none" w:pos="448" w:val="left"/>
        </w:tabs>
        <w:numPr>
          <w:ilvl w:val="0"/>
          <w:numId w:val="13"/>
        </w:numPr>
        <w:rPr>
          <w:rFonts w:ascii="Arial" w:cs="Arial" w:eastAsia="Arial" w:hAnsi="Arial"/>
          <w:sz w:val="15"/>
          <w:szCs w:val="15"/>
          <w:color w:val="7B7C80"/>
        </w:rPr>
      </w:pPr>
      <w:r>
        <w:rPr>
          <w:rFonts w:ascii="Arial" w:cs="Arial" w:eastAsia="Arial" w:hAnsi="Arial"/>
          <w:sz w:val="15"/>
          <w:szCs w:val="15"/>
          <w:color w:val="7B7C80"/>
        </w:rPr>
        <w:t>We've recycled 90% of the removed materials during a multi-year corporate campus renovation in Des Moines, to date.</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13"/>
        </w:numPr>
        <w:rPr>
          <w:rFonts w:ascii="Arial" w:cs="Arial" w:eastAsia="Arial" w:hAnsi="Arial"/>
          <w:sz w:val="15"/>
          <w:szCs w:val="15"/>
          <w:color w:val="7B7C80"/>
        </w:rPr>
      </w:pPr>
      <w:r>
        <w:rPr>
          <w:rFonts w:ascii="Arial" w:cs="Arial" w:eastAsia="Arial" w:hAnsi="Arial"/>
          <w:sz w:val="15"/>
          <w:szCs w:val="15"/>
          <w:color w:val="7B7C80"/>
        </w:rPr>
        <w:t>Our employees' grassroots Green Team kept more than 10,200 pounds of office supplies, electronics and paper out of landfills in 2017.</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3"/>
        </w:numPr>
        <w:rPr>
          <w:rFonts w:ascii="Arial" w:cs="Arial" w:eastAsia="Arial" w:hAnsi="Arial"/>
          <w:sz w:val="15"/>
          <w:szCs w:val="15"/>
          <w:color w:val="7B7C80"/>
        </w:rPr>
      </w:pPr>
      <w:r>
        <w:rPr>
          <w:rFonts w:ascii="Arial" w:cs="Arial" w:eastAsia="Arial" w:hAnsi="Arial"/>
          <w:sz w:val="15"/>
          <w:szCs w:val="15"/>
          <w:color w:val="7B7C80"/>
        </w:rPr>
        <w:t>We composted or donated 27,453 lbs. of food from our corporate campus cafes in 2017.</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3"/>
        </w:numPr>
        <w:rPr>
          <w:rFonts w:ascii="Arial" w:cs="Arial" w:eastAsia="Arial" w:hAnsi="Arial"/>
          <w:sz w:val="15"/>
          <w:szCs w:val="15"/>
          <w:color w:val="7B7C80"/>
        </w:rPr>
      </w:pPr>
      <w:r>
        <w:rPr>
          <w:rFonts w:ascii="Arial" w:cs="Arial" w:eastAsia="Arial" w:hAnsi="Arial"/>
          <w:sz w:val="15"/>
          <w:szCs w:val="15"/>
          <w:color w:val="7B7C80"/>
        </w:rPr>
        <w:t>3 of our corporate campus buildings are LEED Certified.</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13"/>
        </w:numPr>
        <w:rPr>
          <w:rFonts w:ascii="Arial" w:cs="Arial" w:eastAsia="Arial" w:hAnsi="Arial"/>
          <w:sz w:val="15"/>
          <w:szCs w:val="15"/>
          <w:color w:val="7B7C80"/>
        </w:rPr>
      </w:pPr>
      <w:r>
        <w:rPr>
          <w:rFonts w:ascii="Arial" w:cs="Arial" w:eastAsia="Arial" w:hAnsi="Arial"/>
          <w:sz w:val="15"/>
          <w:szCs w:val="15"/>
          <w:color w:val="7B7C80"/>
        </w:rPr>
        <w:t>We've earned a Leadership score on our response to the Carbon Disclosure Project's Climate Change questionnaire each year since and including 2013.</w:t>
      </w:r>
    </w:p>
    <w:p>
      <w:pPr>
        <w:spacing w:after="0" w:line="183"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Investing responsibly: Our asset management affiliate Principal Global Investors integrates ESG investing principles into its approach to portfolio management. With a client-first focus, Principal Global Investors' signatory status to the United Nations-sponsored Principles for Responsible Investment gives us a voice in defining and shaping the ongoing global ESG discussion. We continuously assess the latest ESG developments and seek the most effective way to incorporate best market practices into our investment process. Recent developments and achievements include:</w:t>
      </w:r>
    </w:p>
    <w:p>
      <w:pPr>
        <w:spacing w:after="0" w:line="175" w:lineRule="exact"/>
        <w:rPr>
          <w:sz w:val="20"/>
          <w:szCs w:val="20"/>
          <w:color w:val="auto"/>
        </w:rPr>
      </w:pPr>
    </w:p>
    <w:p>
      <w:pPr>
        <w:ind w:left="448" w:hanging="448"/>
        <w:spacing w:after="0"/>
        <w:tabs>
          <w:tab w:leader="none" w:pos="448"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Received an A+ from the United Nations Principles for Responsible Investment on its assessment of ESG investment practices in 2017.</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Robust and evolving training programs for our research analysts to enhance awareness of ESG considerations.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Principal Global Fixed Income manages nearly $130 million of assets in renewable energy and green bonds.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85% of the office portfolio managed by our real estate management affiliate, Principal Real Estate Investors, is green certified (LEED/Energy Star).</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Principal Real Estate Investors has racked up 16.4% in energy savings in this portfolio since 2008, avoiding $38 million in energy costs.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Principal Real Estate Investors has reduced 107,779 metric tons of GHG emissions in this portfolio since 2008.</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Principal Real Estate Investors was named a 2017 ENERGY STAR Partner of the Year.</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4"/>
        </w:numPr>
        <w:rPr>
          <w:rFonts w:ascii="Arial" w:cs="Arial" w:eastAsia="Arial" w:hAnsi="Arial"/>
          <w:sz w:val="15"/>
          <w:szCs w:val="15"/>
          <w:color w:val="7B7C80"/>
        </w:rPr>
      </w:pPr>
      <w:r>
        <w:rPr>
          <w:rFonts w:ascii="Arial" w:cs="Arial" w:eastAsia="Arial" w:hAnsi="Arial"/>
          <w:sz w:val="15"/>
          <w:szCs w:val="15"/>
          <w:color w:val="7B7C80"/>
        </w:rPr>
        <w:t>Several private funds managed by Principal Real Estate Investors received 4 Star designations from the Global Real Estate Sustainable Benchmark in 2017</w:t>
      </w:r>
    </w:p>
    <w:p>
      <w:pPr>
        <w:spacing w:after="0" w:line="183"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Advancing a culture of diversity and inclusion: We define diversity as 'the mix.' We define inclusion as making the most of the 'the mix.' Our robust Diversity and Inclusion initiative manifests itself in a variety of ways, including nearly a dozen active Employee Resource Groups, inclusion programs, Board of Directors diversity, and recruitment of world-class talent. Highlights of recent results include:</w:t>
      </w:r>
    </w:p>
    <w:p>
      <w:pPr>
        <w:spacing w:after="0" w:line="186" w:lineRule="exact"/>
        <w:rPr>
          <w:sz w:val="20"/>
          <w:szCs w:val="20"/>
          <w:color w:val="auto"/>
        </w:rPr>
      </w:pPr>
    </w:p>
    <w:p>
      <w:pPr>
        <w:ind w:left="448" w:hanging="448"/>
        <w:spacing w:after="0"/>
        <w:tabs>
          <w:tab w:leader="none" w:pos="448" w:val="left"/>
        </w:tabs>
        <w:numPr>
          <w:ilvl w:val="0"/>
          <w:numId w:val="15"/>
        </w:numPr>
        <w:rPr>
          <w:rFonts w:ascii="Arial" w:cs="Arial" w:eastAsia="Arial" w:hAnsi="Arial"/>
          <w:sz w:val="15"/>
          <w:szCs w:val="15"/>
          <w:color w:val="7B7C80"/>
        </w:rPr>
      </w:pPr>
      <w:r>
        <w:rPr>
          <w:rFonts w:ascii="Arial" w:cs="Arial" w:eastAsia="Arial" w:hAnsi="Arial"/>
          <w:sz w:val="15"/>
          <w:szCs w:val="15"/>
          <w:color w:val="7B7C80"/>
        </w:rPr>
        <w:t>Women and minorities comprise more than 50% of our Board of Directors.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5"/>
        </w:numPr>
        <w:rPr>
          <w:rFonts w:ascii="Arial" w:cs="Arial" w:eastAsia="Arial" w:hAnsi="Arial"/>
          <w:sz w:val="15"/>
          <w:szCs w:val="15"/>
          <w:color w:val="7B7C80"/>
        </w:rPr>
      </w:pPr>
      <w:r>
        <w:rPr>
          <w:rFonts w:ascii="Arial" w:cs="Arial" w:eastAsia="Arial" w:hAnsi="Arial"/>
          <w:sz w:val="15"/>
          <w:szCs w:val="15"/>
          <w:color w:val="7B7C80"/>
        </w:rPr>
        <w:t>Ranked No. 6 on Forbes 2018 list of America's Best Employers for Diversity.</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15"/>
        </w:numPr>
        <w:rPr>
          <w:rFonts w:ascii="Arial" w:cs="Arial" w:eastAsia="Arial" w:hAnsi="Arial"/>
          <w:sz w:val="15"/>
          <w:szCs w:val="15"/>
          <w:color w:val="7B7C80"/>
        </w:rPr>
      </w:pPr>
      <w:r>
        <w:rPr>
          <w:rFonts w:ascii="Arial" w:cs="Arial" w:eastAsia="Arial" w:hAnsi="Arial"/>
          <w:sz w:val="15"/>
          <w:szCs w:val="15"/>
          <w:color w:val="7B7C80"/>
        </w:rPr>
        <w:t>Earned a perfect score on the Human Rights Campaign Foundation's Corporate Equality Index for third year in a row in 2018.</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5"/>
        </w:numPr>
        <w:rPr>
          <w:rFonts w:ascii="Arial" w:cs="Arial" w:eastAsia="Arial" w:hAnsi="Arial"/>
          <w:sz w:val="15"/>
          <w:szCs w:val="15"/>
          <w:color w:val="7B7C80"/>
        </w:rPr>
      </w:pPr>
      <w:r>
        <w:rPr>
          <w:rFonts w:ascii="Arial" w:cs="Arial" w:eastAsia="Arial" w:hAnsi="Arial"/>
          <w:sz w:val="15"/>
          <w:szCs w:val="15"/>
          <w:color w:val="7B7C80"/>
        </w:rPr>
        <w:t>Earned the 2018 Military Friendly Employer designation by Victory Media.</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5"/>
        </w:numPr>
        <w:rPr>
          <w:rFonts w:ascii="Arial" w:cs="Arial" w:eastAsia="Arial" w:hAnsi="Arial"/>
          <w:sz w:val="15"/>
          <w:szCs w:val="15"/>
          <w:color w:val="7B7C80"/>
        </w:rPr>
      </w:pPr>
      <w:r>
        <w:rPr>
          <w:rFonts w:ascii="Arial" w:cs="Arial" w:eastAsia="Arial" w:hAnsi="Arial"/>
          <w:sz w:val="15"/>
          <w:szCs w:val="15"/>
          <w:color w:val="7B7C80"/>
        </w:rPr>
        <w:t>Recognized in 2017 with WorldatWork Seal of Distinction for support of employees at work and at home.</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15"/>
        </w:numPr>
        <w:rPr>
          <w:rFonts w:ascii="Arial" w:cs="Arial" w:eastAsia="Arial" w:hAnsi="Arial"/>
          <w:sz w:val="15"/>
          <w:szCs w:val="15"/>
          <w:color w:val="7B7C80"/>
        </w:rPr>
      </w:pPr>
      <w:r>
        <w:rPr>
          <w:rFonts w:ascii="Arial" w:cs="Arial" w:eastAsia="Arial" w:hAnsi="Arial"/>
          <w:sz w:val="15"/>
          <w:szCs w:val="15"/>
          <w:color w:val="7B7C80"/>
        </w:rPr>
        <w:t>Named one of the 2017 NAFE Top Companies for Executive Women.</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5"/>
        </w:numPr>
        <w:rPr>
          <w:rFonts w:ascii="Arial" w:cs="Arial" w:eastAsia="Arial" w:hAnsi="Arial"/>
          <w:sz w:val="15"/>
          <w:szCs w:val="15"/>
          <w:color w:val="7B7C80"/>
        </w:rPr>
      </w:pPr>
      <w:r>
        <w:rPr>
          <w:rFonts w:ascii="Arial" w:cs="Arial" w:eastAsia="Arial" w:hAnsi="Arial"/>
          <w:sz w:val="15"/>
          <w:szCs w:val="15"/>
          <w:color w:val="7B7C80"/>
        </w:rPr>
        <w:t>Named one of the 2017 Working Mother 100 Best Companies for Women.</w:t>
      </w:r>
    </w:p>
    <w:p>
      <w:pPr>
        <w:spacing w:after="0" w:line="183" w:lineRule="exact"/>
        <w:rPr>
          <w:sz w:val="20"/>
          <w:szCs w:val="20"/>
          <w:color w:val="auto"/>
        </w:rPr>
      </w:pPr>
    </w:p>
    <w:p>
      <w:pPr>
        <w:jc w:val="both"/>
        <w:ind w:left="8"/>
        <w:spacing w:after="0" w:line="262" w:lineRule="auto"/>
        <w:rPr>
          <w:sz w:val="20"/>
          <w:szCs w:val="20"/>
          <w:color w:val="auto"/>
        </w:rPr>
      </w:pPr>
      <w:r>
        <w:rPr>
          <w:rFonts w:ascii="Arial" w:cs="Arial" w:eastAsia="Arial" w:hAnsi="Arial"/>
          <w:sz w:val="14"/>
          <w:szCs w:val="14"/>
          <w:color w:val="7B7C80"/>
        </w:rPr>
        <w:t>Promoting diversity among suppliers: Just as we value diversity among our employees, we value diversity among our suppliers and partners to help create innovative solutions and build stronger communities. Our Supplier Diversity Program seeks out qualified businesses to help meet current and future business needs. Principal is affiliated with a number of supplier diversity organizations to provide these connections, including: Women's Business Enterprise National Council, National Minority Supplier Development Council, United States Hispanic Chamber of Commerce, U.S. Pan Asian American Chamber of Commerce, National Gay &amp; Lesbian Chamber of Commerce, National Veteran Owned Business Association, U.S. Business Leadership Network Disability Supplier Diversity Program, Financial Services Roundtable for Supplier Diversity.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102235</wp:posOffset>
            </wp:positionV>
            <wp:extent cx="960120" cy="2838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1"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19</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22" w:name="page23"/>
    <w:bookmarkEnd w:id="22"/>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Directors' Compensation</w:t>
      </w:r>
    </w:p>
    <w:p>
      <w:pPr>
        <w:spacing w:after="0" w:line="227"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Directors serve on the Boards of the Company, Principal Life and Principal Financial Services, Inc. Directors who are also employees do not receive any compensation for their service as Directors. The Company provides competitive compensation to attract and retain high quality non-employee Directors. A substantial proportion of non-employee Director compensation is provided in the form of equity to help align such Directors' interests with the interests of shareholders.</w:t>
      </w:r>
    </w:p>
    <w:p>
      <w:pPr>
        <w:spacing w:after="0" w:line="175"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The non employee Director compensation program is reviewed annually. The Nominating and Governance Committee uses the Board's independent compensation consultant for this purpose. During 2017, Compensation Advisory Partners conducted an annual comprehensive review and assessment of Director compensation. The Company targets non employee Director compensation at approximately the median of the peer group used for Executive compensation comparisons ("Peer Group") (see page 30), which aligns with its Executive compensation philosophy. As a result of Compensation Advisory Partners November 2017 review and the Committee's discussion, Director compensation was changed effective November 27, 2017. These changes position Directors at the median of compensation within Principal's Peer Group and further simplifies the Director compensation program by eliminating fees for the non regularly scheduled Board and Committee meetings.</w:t>
      </w:r>
    </w:p>
    <w:p>
      <w:pPr>
        <w:spacing w:after="0" w:line="157" w:lineRule="exact"/>
        <w:rPr>
          <w:sz w:val="20"/>
          <w:szCs w:val="20"/>
          <w:color w:val="auto"/>
        </w:rPr>
      </w:pPr>
    </w:p>
    <w:tbl>
      <w:tblPr>
        <w:tblLayout w:type="fixed"/>
        <w:tblInd w:w="1360" w:type="dxa"/>
        <w:tblCellMar>
          <w:top w:w="0" w:type="dxa"/>
          <w:left w:w="0" w:type="dxa"/>
          <w:bottom w:w="0" w:type="dxa"/>
          <w:right w:w="0" w:type="dxa"/>
        </w:tblCellMar>
      </w:tblPr>
      <w:tr>
        <w:trPr>
          <w:trHeight w:val="139"/>
        </w:trPr>
        <w:tc>
          <w:tcPr>
            <w:tcW w:w="220" w:type="dxa"/>
            <w:vAlign w:val="bottom"/>
            <w:tcBorders>
              <w:top w:val="single" w:sz="8" w:color="009CCC"/>
            </w:tcBorders>
          </w:tcPr>
          <w:p>
            <w:pPr>
              <w:spacing w:after="0"/>
              <w:rPr>
                <w:sz w:val="12"/>
                <w:szCs w:val="12"/>
                <w:color w:val="auto"/>
              </w:rPr>
            </w:pPr>
          </w:p>
        </w:tc>
        <w:tc>
          <w:tcPr>
            <w:tcW w:w="4780" w:type="dxa"/>
            <w:vAlign w:val="bottom"/>
            <w:tcBorders>
              <w:top w:val="single" w:sz="8" w:color="009CCC"/>
            </w:tcBorders>
          </w:tcPr>
          <w:p>
            <w:pPr>
              <w:spacing w:after="0"/>
              <w:rPr>
                <w:sz w:val="12"/>
                <w:szCs w:val="12"/>
                <w:color w:val="auto"/>
              </w:rPr>
            </w:pPr>
          </w:p>
        </w:tc>
        <w:tc>
          <w:tcPr>
            <w:tcW w:w="2340" w:type="dxa"/>
            <w:vAlign w:val="bottom"/>
            <w:tcBorders>
              <w:top w:val="single" w:sz="8" w:color="009CCC"/>
            </w:tcBorders>
          </w:tcPr>
          <w:p>
            <w:pPr>
              <w:ind w:left="1140"/>
              <w:spacing w:after="0"/>
              <w:rPr>
                <w:sz w:val="20"/>
                <w:szCs w:val="20"/>
                <w:color w:val="auto"/>
              </w:rPr>
            </w:pPr>
            <w:r>
              <w:rPr>
                <w:rFonts w:ascii="Arial" w:cs="Arial" w:eastAsia="Arial" w:hAnsi="Arial"/>
                <w:sz w:val="12"/>
                <w:szCs w:val="12"/>
                <w:b w:val="1"/>
                <w:bCs w:val="1"/>
                <w:color w:val="009CCC"/>
              </w:rPr>
              <w:t>Effective Since</w:t>
            </w:r>
          </w:p>
        </w:tc>
        <w:tc>
          <w:tcPr>
            <w:tcW w:w="1240" w:type="dxa"/>
            <w:vAlign w:val="bottom"/>
            <w:tcBorders>
              <w:top w:val="single" w:sz="8" w:color="009CCC"/>
            </w:tcBorders>
          </w:tcPr>
          <w:p>
            <w:pPr>
              <w:ind w:left="100"/>
              <w:spacing w:after="0"/>
              <w:rPr>
                <w:sz w:val="20"/>
                <w:szCs w:val="20"/>
                <w:color w:val="auto"/>
              </w:rPr>
            </w:pPr>
            <w:r>
              <w:rPr>
                <w:rFonts w:ascii="Arial" w:cs="Arial" w:eastAsia="Arial" w:hAnsi="Arial"/>
                <w:sz w:val="12"/>
                <w:szCs w:val="12"/>
                <w:b w:val="1"/>
                <w:bCs w:val="1"/>
                <w:color w:val="009CCC"/>
              </w:rPr>
              <w:t>Effective</w:t>
            </w:r>
          </w:p>
        </w:tc>
      </w:tr>
      <w:tr>
        <w:trPr>
          <w:trHeight w:val="147"/>
        </w:trPr>
        <w:tc>
          <w:tcPr>
            <w:tcW w:w="220" w:type="dxa"/>
            <w:vAlign w:val="bottom"/>
            <w:tcBorders>
              <w:bottom w:val="single" w:sz="8" w:color="7B7C80"/>
            </w:tcBorders>
          </w:tcPr>
          <w:p>
            <w:pPr>
              <w:spacing w:after="0"/>
              <w:rPr>
                <w:sz w:val="12"/>
                <w:szCs w:val="12"/>
                <w:color w:val="auto"/>
              </w:rPr>
            </w:pPr>
          </w:p>
        </w:tc>
        <w:tc>
          <w:tcPr>
            <w:tcW w:w="4780" w:type="dxa"/>
            <w:vAlign w:val="bottom"/>
            <w:tcBorders>
              <w:bottom w:val="single" w:sz="8" w:color="7B7C80"/>
            </w:tcBorders>
          </w:tcPr>
          <w:p>
            <w:pPr>
              <w:spacing w:after="0"/>
              <w:rPr>
                <w:sz w:val="12"/>
                <w:szCs w:val="12"/>
                <w:color w:val="auto"/>
              </w:rPr>
            </w:pPr>
          </w:p>
        </w:tc>
        <w:tc>
          <w:tcPr>
            <w:tcW w:w="2340" w:type="dxa"/>
            <w:vAlign w:val="bottom"/>
            <w:tcBorders>
              <w:bottom w:val="single" w:sz="8" w:color="7B7C80"/>
            </w:tcBorders>
          </w:tcPr>
          <w:p>
            <w:pPr>
              <w:ind w:left="1140"/>
              <w:spacing w:after="0"/>
              <w:rPr>
                <w:sz w:val="20"/>
                <w:szCs w:val="20"/>
                <w:color w:val="auto"/>
              </w:rPr>
            </w:pPr>
            <w:r>
              <w:rPr>
                <w:rFonts w:ascii="Arial" w:cs="Arial" w:eastAsia="Arial" w:hAnsi="Arial"/>
                <w:sz w:val="12"/>
                <w:szCs w:val="12"/>
                <w:b w:val="1"/>
                <w:bCs w:val="1"/>
                <w:color w:val="009CCC"/>
              </w:rPr>
              <w:t>January 1, 2015</w:t>
            </w:r>
          </w:p>
        </w:tc>
        <w:tc>
          <w:tcPr>
            <w:tcW w:w="1240" w:type="dxa"/>
            <w:vAlign w:val="bottom"/>
            <w:tcBorders>
              <w:bottom w:val="single" w:sz="8" w:color="7B7C80"/>
            </w:tcBorders>
          </w:tcPr>
          <w:p>
            <w:pPr>
              <w:ind w:left="100"/>
              <w:spacing w:after="0"/>
              <w:rPr>
                <w:sz w:val="20"/>
                <w:szCs w:val="20"/>
                <w:color w:val="auto"/>
              </w:rPr>
            </w:pPr>
            <w:r>
              <w:rPr>
                <w:rFonts w:ascii="Arial" w:cs="Arial" w:eastAsia="Arial" w:hAnsi="Arial"/>
                <w:sz w:val="12"/>
                <w:szCs w:val="12"/>
                <w:b w:val="1"/>
                <w:bCs w:val="1"/>
                <w:color w:val="009CCC"/>
              </w:rPr>
              <w:t>November 27, 2017</w:t>
            </w:r>
          </w:p>
        </w:tc>
      </w:tr>
      <w:tr>
        <w:trPr>
          <w:trHeight w:val="198"/>
        </w:trPr>
        <w:tc>
          <w:tcPr>
            <w:tcW w:w="5000" w:type="dxa"/>
            <w:vAlign w:val="bottom"/>
            <w:tcBorders>
              <w:bottom w:val="single" w:sz="8" w:color="7B7C80"/>
            </w:tcBorders>
            <w:gridSpan w:val="2"/>
          </w:tcPr>
          <w:p>
            <w:pPr>
              <w:spacing w:after="0" w:line="198" w:lineRule="exact"/>
              <w:rPr>
                <w:sz w:val="20"/>
                <w:szCs w:val="20"/>
                <w:color w:val="auto"/>
              </w:rPr>
            </w:pPr>
            <w:r>
              <w:rPr>
                <w:rFonts w:ascii="Arial" w:cs="Arial" w:eastAsia="Arial" w:hAnsi="Arial"/>
                <w:sz w:val="14"/>
                <w:szCs w:val="14"/>
                <w:b w:val="1"/>
                <w:bCs w:val="1"/>
                <w:color w:val="7B7C80"/>
              </w:rPr>
              <w:t>Annual Cash Retainers</w:t>
            </w:r>
            <w:r>
              <w:rPr>
                <w:rFonts w:ascii="Arial" w:cs="Arial" w:eastAsia="Arial" w:hAnsi="Arial"/>
                <w:sz w:val="22"/>
                <w:szCs w:val="22"/>
                <w:b w:val="1"/>
                <w:bCs w:val="1"/>
                <w:color w:val="7B7C80"/>
                <w:vertAlign w:val="superscript"/>
              </w:rPr>
              <w:t>(1)</w:t>
            </w:r>
          </w:p>
        </w:tc>
        <w:tc>
          <w:tcPr>
            <w:tcW w:w="2340" w:type="dxa"/>
            <w:vAlign w:val="bottom"/>
            <w:tcBorders>
              <w:bottom w:val="single" w:sz="8" w:color="7B7C80"/>
            </w:tcBorders>
          </w:tcPr>
          <w:p>
            <w:pPr>
              <w:spacing w:after="0"/>
              <w:rPr>
                <w:sz w:val="17"/>
                <w:szCs w:val="17"/>
                <w:color w:val="auto"/>
              </w:rPr>
            </w:pPr>
          </w:p>
        </w:tc>
        <w:tc>
          <w:tcPr>
            <w:tcW w:w="1240" w:type="dxa"/>
            <w:vAlign w:val="bottom"/>
            <w:tcBorders>
              <w:bottom w:val="single" w:sz="8" w:color="7B7C80"/>
            </w:tcBorders>
          </w:tcPr>
          <w:p>
            <w:pPr>
              <w:spacing w:after="0"/>
              <w:rPr>
                <w:sz w:val="17"/>
                <w:szCs w:val="17"/>
                <w:color w:val="auto"/>
              </w:rPr>
            </w:pPr>
          </w:p>
        </w:tc>
      </w:tr>
      <w:tr>
        <w:trPr>
          <w:trHeight w:val="163"/>
        </w:trPr>
        <w:tc>
          <w:tcPr>
            <w:tcW w:w="220" w:type="dxa"/>
            <w:vAlign w:val="bottom"/>
            <w:tcBorders>
              <w:bottom w:val="single" w:sz="8" w:color="7B7C80"/>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w:t>
            </w:r>
          </w:p>
        </w:tc>
        <w:tc>
          <w:tcPr>
            <w:tcW w:w="4780" w:type="dxa"/>
            <w:vAlign w:val="bottom"/>
            <w:tcBorders>
              <w:bottom w:val="single" w:sz="8" w:color="7B7C80"/>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Board</w:t>
            </w:r>
          </w:p>
        </w:tc>
        <w:tc>
          <w:tcPr>
            <w:tcW w:w="2340" w:type="dxa"/>
            <w:vAlign w:val="bottom"/>
            <w:tcBorders>
              <w:bottom w:val="single" w:sz="8" w:color="7B7C80"/>
            </w:tcBorders>
            <w:shd w:val="clear" w:color="auto" w:fill="E7E6E7"/>
          </w:tcPr>
          <w:p>
            <w:pPr>
              <w:ind w:left="1140"/>
              <w:spacing w:after="0" w:line="164" w:lineRule="exact"/>
              <w:rPr>
                <w:sz w:val="20"/>
                <w:szCs w:val="20"/>
                <w:color w:val="auto"/>
              </w:rPr>
            </w:pPr>
            <w:r>
              <w:rPr>
                <w:rFonts w:ascii="Arial" w:cs="Arial" w:eastAsia="Arial" w:hAnsi="Arial"/>
                <w:sz w:val="15"/>
                <w:szCs w:val="15"/>
                <w:color w:val="7B7C80"/>
              </w:rPr>
              <w:t>$95,000</w:t>
            </w:r>
          </w:p>
        </w:tc>
        <w:tc>
          <w:tcPr>
            <w:tcW w:w="1240" w:type="dxa"/>
            <w:vAlign w:val="bottom"/>
            <w:tcBorders>
              <w:bottom w:val="single" w:sz="8" w:color="7B7C80"/>
            </w:tcBorders>
            <w:shd w:val="clear" w:color="auto" w:fill="E7E6E7"/>
          </w:tcPr>
          <w:p>
            <w:pPr>
              <w:ind w:left="100"/>
              <w:spacing w:after="0" w:line="164" w:lineRule="exact"/>
              <w:rPr>
                <w:sz w:val="20"/>
                <w:szCs w:val="20"/>
                <w:color w:val="auto"/>
              </w:rPr>
            </w:pPr>
            <w:r>
              <w:rPr>
                <w:rFonts w:ascii="Arial" w:cs="Arial" w:eastAsia="Arial" w:hAnsi="Arial"/>
                <w:sz w:val="15"/>
                <w:szCs w:val="15"/>
                <w:color w:val="7B7C80"/>
              </w:rPr>
              <w:t>$100,000</w:t>
            </w:r>
          </w:p>
        </w:tc>
      </w:tr>
      <w:tr>
        <w:trPr>
          <w:trHeight w:val="163"/>
        </w:trPr>
        <w:tc>
          <w:tcPr>
            <w:tcW w:w="22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w:t>
            </w:r>
          </w:p>
        </w:tc>
        <w:tc>
          <w:tcPr>
            <w:tcW w:w="478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Audit Committee Chair</w:t>
            </w:r>
          </w:p>
        </w:tc>
        <w:tc>
          <w:tcPr>
            <w:tcW w:w="2340" w:type="dxa"/>
            <w:vAlign w:val="bottom"/>
            <w:tcBorders>
              <w:bottom w:val="single" w:sz="8" w:color="7B7C80"/>
            </w:tcBorders>
          </w:tcPr>
          <w:p>
            <w:pPr>
              <w:ind w:left="1140"/>
              <w:spacing w:after="0" w:line="164" w:lineRule="exact"/>
              <w:rPr>
                <w:sz w:val="20"/>
                <w:szCs w:val="20"/>
                <w:color w:val="auto"/>
              </w:rPr>
            </w:pPr>
            <w:r>
              <w:rPr>
                <w:rFonts w:ascii="Arial" w:cs="Arial" w:eastAsia="Arial" w:hAnsi="Arial"/>
                <w:sz w:val="15"/>
                <w:szCs w:val="15"/>
                <w:color w:val="7B7C80"/>
              </w:rPr>
              <w:t>$20,000</w:t>
            </w:r>
          </w:p>
        </w:tc>
        <w:tc>
          <w:tcPr>
            <w:tcW w:w="1240" w:type="dxa"/>
            <w:vAlign w:val="bottom"/>
            <w:tcBorders>
              <w:bottom w:val="single" w:sz="8" w:color="7B7C80"/>
            </w:tcBorders>
          </w:tcPr>
          <w:p>
            <w:pPr>
              <w:ind w:left="100"/>
              <w:spacing w:after="0" w:line="164" w:lineRule="exact"/>
              <w:rPr>
                <w:sz w:val="20"/>
                <w:szCs w:val="20"/>
                <w:color w:val="auto"/>
              </w:rPr>
            </w:pPr>
            <w:r>
              <w:rPr>
                <w:rFonts w:ascii="Arial" w:cs="Arial" w:eastAsia="Arial" w:hAnsi="Arial"/>
                <w:sz w:val="15"/>
                <w:szCs w:val="15"/>
                <w:color w:val="7B7C80"/>
              </w:rPr>
              <w:t>$20,000</w:t>
            </w:r>
          </w:p>
        </w:tc>
      </w:tr>
      <w:tr>
        <w:trPr>
          <w:trHeight w:val="163"/>
        </w:trPr>
        <w:tc>
          <w:tcPr>
            <w:tcW w:w="5000" w:type="dxa"/>
            <w:vAlign w:val="bottom"/>
            <w:tcBorders>
              <w:bottom w:val="single" w:sz="8" w:color="7B7C80"/>
            </w:tcBorders>
            <w:gridSpan w:val="2"/>
            <w:shd w:val="clear" w:color="auto" w:fill="E7E6E7"/>
          </w:tcPr>
          <w:p>
            <w:pPr>
              <w:ind w:left="80"/>
              <w:spacing w:after="0" w:line="164" w:lineRule="exact"/>
              <w:rPr>
                <w:sz w:val="20"/>
                <w:szCs w:val="20"/>
                <w:color w:val="auto"/>
              </w:rPr>
            </w:pPr>
            <w:r>
              <w:rPr>
                <w:rFonts w:ascii="Arial" w:cs="Arial" w:eastAsia="Arial" w:hAnsi="Arial"/>
                <w:sz w:val="15"/>
                <w:szCs w:val="15"/>
                <w:color w:val="7B7C80"/>
              </w:rPr>
              <w:t>-  Human Resources Committee Chair</w:t>
            </w:r>
          </w:p>
        </w:tc>
        <w:tc>
          <w:tcPr>
            <w:tcW w:w="2340" w:type="dxa"/>
            <w:vAlign w:val="bottom"/>
            <w:tcBorders>
              <w:bottom w:val="single" w:sz="8" w:color="7B7C80"/>
            </w:tcBorders>
            <w:shd w:val="clear" w:color="auto" w:fill="E7E6E7"/>
          </w:tcPr>
          <w:p>
            <w:pPr>
              <w:ind w:left="1140"/>
              <w:spacing w:after="0" w:line="164" w:lineRule="exact"/>
              <w:rPr>
                <w:sz w:val="20"/>
                <w:szCs w:val="20"/>
                <w:color w:val="auto"/>
              </w:rPr>
            </w:pPr>
            <w:r>
              <w:rPr>
                <w:rFonts w:ascii="Arial" w:cs="Arial" w:eastAsia="Arial" w:hAnsi="Arial"/>
                <w:sz w:val="15"/>
                <w:szCs w:val="15"/>
                <w:color w:val="7B7C80"/>
              </w:rPr>
              <w:t>$17,500</w:t>
            </w:r>
          </w:p>
        </w:tc>
        <w:tc>
          <w:tcPr>
            <w:tcW w:w="1240" w:type="dxa"/>
            <w:vAlign w:val="bottom"/>
            <w:tcBorders>
              <w:bottom w:val="single" w:sz="8" w:color="7B7C80"/>
            </w:tcBorders>
            <w:shd w:val="clear" w:color="auto" w:fill="E7E6E7"/>
          </w:tcPr>
          <w:p>
            <w:pPr>
              <w:ind w:left="100"/>
              <w:spacing w:after="0" w:line="164" w:lineRule="exact"/>
              <w:rPr>
                <w:sz w:val="20"/>
                <w:szCs w:val="20"/>
                <w:color w:val="auto"/>
              </w:rPr>
            </w:pPr>
            <w:r>
              <w:rPr>
                <w:rFonts w:ascii="Arial" w:cs="Arial" w:eastAsia="Arial" w:hAnsi="Arial"/>
                <w:sz w:val="15"/>
                <w:szCs w:val="15"/>
                <w:color w:val="7B7C80"/>
              </w:rPr>
              <w:t>$20,000</w:t>
            </w:r>
          </w:p>
        </w:tc>
      </w:tr>
      <w:tr>
        <w:trPr>
          <w:trHeight w:val="163"/>
        </w:trPr>
        <w:tc>
          <w:tcPr>
            <w:tcW w:w="22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w:t>
            </w:r>
          </w:p>
        </w:tc>
        <w:tc>
          <w:tcPr>
            <w:tcW w:w="478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Finance Committee Chair</w:t>
            </w:r>
          </w:p>
        </w:tc>
        <w:tc>
          <w:tcPr>
            <w:tcW w:w="2340" w:type="dxa"/>
            <w:vAlign w:val="bottom"/>
            <w:tcBorders>
              <w:bottom w:val="single" w:sz="8" w:color="7B7C80"/>
            </w:tcBorders>
          </w:tcPr>
          <w:p>
            <w:pPr>
              <w:ind w:left="1140"/>
              <w:spacing w:after="0" w:line="164" w:lineRule="exact"/>
              <w:rPr>
                <w:sz w:val="20"/>
                <w:szCs w:val="20"/>
                <w:color w:val="auto"/>
              </w:rPr>
            </w:pPr>
            <w:r>
              <w:rPr>
                <w:rFonts w:ascii="Arial" w:cs="Arial" w:eastAsia="Arial" w:hAnsi="Arial"/>
                <w:sz w:val="15"/>
                <w:szCs w:val="15"/>
                <w:color w:val="7B7C80"/>
              </w:rPr>
              <w:t>$15,000</w:t>
            </w:r>
          </w:p>
        </w:tc>
        <w:tc>
          <w:tcPr>
            <w:tcW w:w="1240" w:type="dxa"/>
            <w:vAlign w:val="bottom"/>
            <w:tcBorders>
              <w:bottom w:val="single" w:sz="8" w:color="7B7C80"/>
            </w:tcBorders>
          </w:tcPr>
          <w:p>
            <w:pPr>
              <w:ind w:left="100"/>
              <w:spacing w:after="0" w:line="164" w:lineRule="exact"/>
              <w:rPr>
                <w:sz w:val="20"/>
                <w:szCs w:val="20"/>
                <w:color w:val="auto"/>
              </w:rPr>
            </w:pPr>
            <w:r>
              <w:rPr>
                <w:rFonts w:ascii="Arial" w:cs="Arial" w:eastAsia="Arial" w:hAnsi="Arial"/>
                <w:sz w:val="15"/>
                <w:szCs w:val="15"/>
                <w:color w:val="7B7C80"/>
              </w:rPr>
              <w:t>$20,000</w:t>
            </w:r>
          </w:p>
        </w:tc>
      </w:tr>
      <w:tr>
        <w:trPr>
          <w:trHeight w:val="163"/>
        </w:trPr>
        <w:tc>
          <w:tcPr>
            <w:tcW w:w="5000" w:type="dxa"/>
            <w:vAlign w:val="bottom"/>
            <w:tcBorders>
              <w:bottom w:val="single" w:sz="8" w:color="7B7C80"/>
            </w:tcBorders>
            <w:gridSpan w:val="2"/>
            <w:shd w:val="clear" w:color="auto" w:fill="E7E6E7"/>
          </w:tcPr>
          <w:p>
            <w:pPr>
              <w:ind w:left="80"/>
              <w:spacing w:after="0" w:line="164" w:lineRule="exact"/>
              <w:rPr>
                <w:sz w:val="20"/>
                <w:szCs w:val="20"/>
                <w:color w:val="auto"/>
              </w:rPr>
            </w:pPr>
            <w:r>
              <w:rPr>
                <w:rFonts w:ascii="Arial" w:cs="Arial" w:eastAsia="Arial" w:hAnsi="Arial"/>
                <w:sz w:val="15"/>
                <w:szCs w:val="15"/>
                <w:color w:val="7B7C80"/>
              </w:rPr>
              <w:t>-  Nominating &amp; Governance Committee Chair</w:t>
            </w:r>
          </w:p>
        </w:tc>
        <w:tc>
          <w:tcPr>
            <w:tcW w:w="2340" w:type="dxa"/>
            <w:vAlign w:val="bottom"/>
            <w:tcBorders>
              <w:bottom w:val="single" w:sz="8" w:color="7B7C80"/>
            </w:tcBorders>
            <w:shd w:val="clear" w:color="auto" w:fill="E7E6E7"/>
          </w:tcPr>
          <w:p>
            <w:pPr>
              <w:ind w:left="1140"/>
              <w:spacing w:after="0" w:line="164" w:lineRule="exact"/>
              <w:rPr>
                <w:sz w:val="20"/>
                <w:szCs w:val="20"/>
                <w:color w:val="auto"/>
              </w:rPr>
            </w:pPr>
            <w:r>
              <w:rPr>
                <w:rFonts w:ascii="Arial" w:cs="Arial" w:eastAsia="Arial" w:hAnsi="Arial"/>
                <w:sz w:val="15"/>
                <w:szCs w:val="15"/>
                <w:color w:val="7B7C80"/>
              </w:rPr>
              <w:t>$15,000</w:t>
            </w:r>
          </w:p>
        </w:tc>
        <w:tc>
          <w:tcPr>
            <w:tcW w:w="1240" w:type="dxa"/>
            <w:vAlign w:val="bottom"/>
            <w:tcBorders>
              <w:bottom w:val="single" w:sz="8" w:color="7B7C80"/>
            </w:tcBorders>
            <w:shd w:val="clear" w:color="auto" w:fill="E7E6E7"/>
          </w:tcPr>
          <w:p>
            <w:pPr>
              <w:ind w:left="100"/>
              <w:spacing w:after="0" w:line="164" w:lineRule="exact"/>
              <w:rPr>
                <w:sz w:val="20"/>
                <w:szCs w:val="20"/>
                <w:color w:val="auto"/>
              </w:rPr>
            </w:pPr>
            <w:r>
              <w:rPr>
                <w:rFonts w:ascii="Arial" w:cs="Arial" w:eastAsia="Arial" w:hAnsi="Arial"/>
                <w:sz w:val="15"/>
                <w:szCs w:val="15"/>
                <w:color w:val="7B7C80"/>
              </w:rPr>
              <w:t>$20,000</w:t>
            </w:r>
          </w:p>
        </w:tc>
      </w:tr>
      <w:tr>
        <w:trPr>
          <w:trHeight w:val="163"/>
        </w:trPr>
        <w:tc>
          <w:tcPr>
            <w:tcW w:w="22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w:t>
            </w:r>
          </w:p>
        </w:tc>
        <w:tc>
          <w:tcPr>
            <w:tcW w:w="478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Other Committee Chairs</w:t>
            </w:r>
          </w:p>
        </w:tc>
        <w:tc>
          <w:tcPr>
            <w:tcW w:w="2340" w:type="dxa"/>
            <w:vAlign w:val="bottom"/>
            <w:tcBorders>
              <w:bottom w:val="single" w:sz="8" w:color="7B7C80"/>
            </w:tcBorders>
          </w:tcPr>
          <w:p>
            <w:pPr>
              <w:ind w:left="1140"/>
              <w:spacing w:after="0" w:line="164" w:lineRule="exact"/>
              <w:rPr>
                <w:sz w:val="20"/>
                <w:szCs w:val="20"/>
                <w:color w:val="auto"/>
              </w:rPr>
            </w:pPr>
            <w:r>
              <w:rPr>
                <w:rFonts w:ascii="Arial" w:cs="Arial" w:eastAsia="Arial" w:hAnsi="Arial"/>
                <w:sz w:val="15"/>
                <w:szCs w:val="15"/>
                <w:color w:val="7B7C80"/>
              </w:rPr>
              <w:t>$5,000</w:t>
            </w:r>
          </w:p>
        </w:tc>
        <w:tc>
          <w:tcPr>
            <w:tcW w:w="1240" w:type="dxa"/>
            <w:vAlign w:val="bottom"/>
            <w:tcBorders>
              <w:bottom w:val="single" w:sz="8" w:color="7B7C80"/>
            </w:tcBorders>
          </w:tcPr>
          <w:p>
            <w:pPr>
              <w:ind w:left="100"/>
              <w:spacing w:after="0" w:line="164" w:lineRule="exact"/>
              <w:rPr>
                <w:sz w:val="20"/>
                <w:szCs w:val="20"/>
                <w:color w:val="auto"/>
              </w:rPr>
            </w:pPr>
            <w:r>
              <w:rPr>
                <w:rFonts w:ascii="Arial" w:cs="Arial" w:eastAsia="Arial" w:hAnsi="Arial"/>
                <w:sz w:val="15"/>
                <w:szCs w:val="15"/>
                <w:color w:val="7B7C80"/>
              </w:rPr>
              <w:t>$10,000</w:t>
            </w:r>
          </w:p>
        </w:tc>
      </w:tr>
      <w:tr>
        <w:trPr>
          <w:trHeight w:val="163"/>
        </w:trPr>
        <w:tc>
          <w:tcPr>
            <w:tcW w:w="220" w:type="dxa"/>
            <w:vAlign w:val="bottom"/>
            <w:tcBorders>
              <w:bottom w:val="single" w:sz="8" w:color="7B7C80"/>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w:t>
            </w:r>
          </w:p>
        </w:tc>
        <w:tc>
          <w:tcPr>
            <w:tcW w:w="4780" w:type="dxa"/>
            <w:vAlign w:val="bottom"/>
            <w:tcBorders>
              <w:bottom w:val="single" w:sz="8" w:color="7B7C80"/>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Lead Director</w:t>
            </w:r>
          </w:p>
        </w:tc>
        <w:tc>
          <w:tcPr>
            <w:tcW w:w="2340" w:type="dxa"/>
            <w:vAlign w:val="bottom"/>
            <w:tcBorders>
              <w:bottom w:val="single" w:sz="8" w:color="7B7C80"/>
            </w:tcBorders>
            <w:shd w:val="clear" w:color="auto" w:fill="E7E6E7"/>
          </w:tcPr>
          <w:p>
            <w:pPr>
              <w:ind w:left="1140"/>
              <w:spacing w:after="0" w:line="164" w:lineRule="exact"/>
              <w:rPr>
                <w:sz w:val="20"/>
                <w:szCs w:val="20"/>
                <w:color w:val="auto"/>
              </w:rPr>
            </w:pPr>
            <w:r>
              <w:rPr>
                <w:rFonts w:ascii="Arial" w:cs="Arial" w:eastAsia="Arial" w:hAnsi="Arial"/>
                <w:sz w:val="15"/>
                <w:szCs w:val="15"/>
                <w:color w:val="7B7C80"/>
              </w:rPr>
              <w:t>$25,000</w:t>
            </w:r>
          </w:p>
        </w:tc>
        <w:tc>
          <w:tcPr>
            <w:tcW w:w="1240" w:type="dxa"/>
            <w:vAlign w:val="bottom"/>
            <w:tcBorders>
              <w:bottom w:val="single" w:sz="8" w:color="7B7C80"/>
            </w:tcBorders>
            <w:shd w:val="clear" w:color="auto" w:fill="E7E6E7"/>
          </w:tcPr>
          <w:p>
            <w:pPr>
              <w:ind w:left="100"/>
              <w:spacing w:after="0" w:line="164" w:lineRule="exact"/>
              <w:rPr>
                <w:sz w:val="20"/>
                <w:szCs w:val="20"/>
                <w:color w:val="auto"/>
              </w:rPr>
            </w:pPr>
            <w:r>
              <w:rPr>
                <w:rFonts w:ascii="Arial" w:cs="Arial" w:eastAsia="Arial" w:hAnsi="Arial"/>
                <w:sz w:val="15"/>
                <w:szCs w:val="15"/>
                <w:color w:val="7B7C80"/>
              </w:rPr>
              <w:t>$25,000</w:t>
            </w:r>
          </w:p>
        </w:tc>
      </w:tr>
      <w:tr>
        <w:trPr>
          <w:trHeight w:val="198"/>
        </w:trPr>
        <w:tc>
          <w:tcPr>
            <w:tcW w:w="5000" w:type="dxa"/>
            <w:vAlign w:val="bottom"/>
            <w:tcBorders>
              <w:bottom w:val="single" w:sz="8" w:color="7B7C80"/>
            </w:tcBorders>
            <w:gridSpan w:val="2"/>
          </w:tcPr>
          <w:p>
            <w:pPr>
              <w:spacing w:after="0" w:line="198" w:lineRule="exact"/>
              <w:rPr>
                <w:sz w:val="20"/>
                <w:szCs w:val="20"/>
                <w:color w:val="auto"/>
              </w:rPr>
            </w:pPr>
            <w:r>
              <w:rPr>
                <w:rFonts w:ascii="Arial" w:cs="Arial" w:eastAsia="Arial" w:hAnsi="Arial"/>
                <w:sz w:val="14"/>
                <w:szCs w:val="14"/>
                <w:b w:val="1"/>
                <w:bCs w:val="1"/>
                <w:color w:val="7B7C80"/>
              </w:rPr>
              <w:t>Annual Restricted Stock Unit Retainer</w:t>
            </w:r>
            <w:r>
              <w:rPr>
                <w:rFonts w:ascii="Arial" w:cs="Arial" w:eastAsia="Arial" w:hAnsi="Arial"/>
                <w:sz w:val="22"/>
                <w:szCs w:val="22"/>
                <w:b w:val="1"/>
                <w:bCs w:val="1"/>
                <w:color w:val="7B7C80"/>
                <w:vertAlign w:val="superscript"/>
              </w:rPr>
              <w:t>(2)</w:t>
            </w:r>
          </w:p>
        </w:tc>
        <w:tc>
          <w:tcPr>
            <w:tcW w:w="2340" w:type="dxa"/>
            <w:vAlign w:val="bottom"/>
            <w:tcBorders>
              <w:bottom w:val="single" w:sz="8" w:color="7B7C80"/>
            </w:tcBorders>
          </w:tcPr>
          <w:p>
            <w:pPr>
              <w:spacing w:after="0"/>
              <w:rPr>
                <w:sz w:val="17"/>
                <w:szCs w:val="17"/>
                <w:color w:val="auto"/>
              </w:rPr>
            </w:pPr>
          </w:p>
        </w:tc>
        <w:tc>
          <w:tcPr>
            <w:tcW w:w="1240" w:type="dxa"/>
            <w:vAlign w:val="bottom"/>
            <w:tcBorders>
              <w:bottom w:val="single" w:sz="8" w:color="7B7C80"/>
            </w:tcBorders>
          </w:tcPr>
          <w:p>
            <w:pPr>
              <w:spacing w:after="0"/>
              <w:rPr>
                <w:sz w:val="17"/>
                <w:szCs w:val="17"/>
                <w:color w:val="auto"/>
              </w:rPr>
            </w:pPr>
          </w:p>
        </w:tc>
      </w:tr>
      <w:tr>
        <w:trPr>
          <w:trHeight w:val="163"/>
        </w:trPr>
        <w:tc>
          <w:tcPr>
            <w:tcW w:w="220" w:type="dxa"/>
            <w:vAlign w:val="bottom"/>
            <w:tcBorders>
              <w:bottom w:val="single" w:sz="8" w:color="7B7C80"/>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w:t>
            </w:r>
          </w:p>
        </w:tc>
        <w:tc>
          <w:tcPr>
            <w:tcW w:w="4780" w:type="dxa"/>
            <w:vAlign w:val="bottom"/>
            <w:tcBorders>
              <w:bottom w:val="single" w:sz="8" w:color="7B7C80"/>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Board</w:t>
            </w:r>
          </w:p>
        </w:tc>
        <w:tc>
          <w:tcPr>
            <w:tcW w:w="2340" w:type="dxa"/>
            <w:vAlign w:val="bottom"/>
            <w:tcBorders>
              <w:bottom w:val="single" w:sz="8" w:color="7B7C80"/>
            </w:tcBorders>
            <w:shd w:val="clear" w:color="auto" w:fill="E7E6E7"/>
          </w:tcPr>
          <w:p>
            <w:pPr>
              <w:ind w:left="1140"/>
              <w:spacing w:after="0" w:line="164" w:lineRule="exact"/>
              <w:rPr>
                <w:sz w:val="20"/>
                <w:szCs w:val="20"/>
                <w:color w:val="auto"/>
              </w:rPr>
            </w:pPr>
            <w:r>
              <w:rPr>
                <w:rFonts w:ascii="Arial" w:cs="Arial" w:eastAsia="Arial" w:hAnsi="Arial"/>
                <w:sz w:val="15"/>
                <w:szCs w:val="15"/>
                <w:color w:val="7B7C80"/>
              </w:rPr>
              <w:t>$130,000</w:t>
            </w:r>
          </w:p>
        </w:tc>
        <w:tc>
          <w:tcPr>
            <w:tcW w:w="1240" w:type="dxa"/>
            <w:vAlign w:val="bottom"/>
            <w:tcBorders>
              <w:bottom w:val="single" w:sz="8" w:color="7B7C80"/>
            </w:tcBorders>
            <w:shd w:val="clear" w:color="auto" w:fill="E7E6E7"/>
          </w:tcPr>
          <w:p>
            <w:pPr>
              <w:ind w:left="100"/>
              <w:spacing w:after="0" w:line="164" w:lineRule="exact"/>
              <w:rPr>
                <w:sz w:val="20"/>
                <w:szCs w:val="20"/>
                <w:color w:val="auto"/>
              </w:rPr>
            </w:pPr>
            <w:r>
              <w:rPr>
                <w:rFonts w:ascii="Arial" w:cs="Arial" w:eastAsia="Arial" w:hAnsi="Arial"/>
                <w:sz w:val="15"/>
                <w:szCs w:val="15"/>
                <w:color w:val="7B7C80"/>
              </w:rPr>
              <w:t>$165,000</w:t>
            </w:r>
          </w:p>
        </w:tc>
      </w:tr>
      <w:tr>
        <w:trPr>
          <w:trHeight w:val="163"/>
        </w:trPr>
        <w:tc>
          <w:tcPr>
            <w:tcW w:w="5000" w:type="dxa"/>
            <w:vAlign w:val="bottom"/>
            <w:tcBorders>
              <w:bottom w:val="single" w:sz="8" w:color="7B7C80"/>
            </w:tcBorders>
            <w:gridSpan w:val="2"/>
          </w:tcPr>
          <w:p>
            <w:pPr>
              <w:spacing w:after="0" w:line="164" w:lineRule="exact"/>
              <w:rPr>
                <w:sz w:val="20"/>
                <w:szCs w:val="20"/>
                <w:color w:val="auto"/>
              </w:rPr>
            </w:pPr>
            <w:r>
              <w:rPr>
                <w:rFonts w:ascii="Arial" w:cs="Arial" w:eastAsia="Arial" w:hAnsi="Arial"/>
                <w:sz w:val="15"/>
                <w:szCs w:val="15"/>
                <w:b w:val="1"/>
                <w:bCs w:val="1"/>
                <w:color w:val="7B7C80"/>
              </w:rPr>
              <w:t>Meeting Attendance Fees</w:t>
            </w:r>
          </w:p>
        </w:tc>
        <w:tc>
          <w:tcPr>
            <w:tcW w:w="2340" w:type="dxa"/>
            <w:vAlign w:val="bottom"/>
            <w:tcBorders>
              <w:bottom w:val="single" w:sz="8" w:color="7B7C80"/>
            </w:tcBorders>
          </w:tcPr>
          <w:p>
            <w:pPr>
              <w:spacing w:after="0"/>
              <w:rPr>
                <w:sz w:val="14"/>
                <w:szCs w:val="14"/>
                <w:color w:val="auto"/>
              </w:rPr>
            </w:pPr>
          </w:p>
        </w:tc>
        <w:tc>
          <w:tcPr>
            <w:tcW w:w="1240" w:type="dxa"/>
            <w:vAlign w:val="bottom"/>
            <w:tcBorders>
              <w:bottom w:val="single" w:sz="8" w:color="7B7C80"/>
            </w:tcBorders>
          </w:tcPr>
          <w:p>
            <w:pPr>
              <w:spacing w:after="0"/>
              <w:rPr>
                <w:sz w:val="14"/>
                <w:szCs w:val="14"/>
                <w:color w:val="auto"/>
              </w:rPr>
            </w:pPr>
          </w:p>
        </w:tc>
      </w:tr>
      <w:tr>
        <w:trPr>
          <w:trHeight w:val="163"/>
        </w:trPr>
        <w:tc>
          <w:tcPr>
            <w:tcW w:w="5000" w:type="dxa"/>
            <w:vAlign w:val="bottom"/>
            <w:tcBorders>
              <w:bottom w:val="single" w:sz="8" w:color="7B7C80"/>
            </w:tcBorders>
            <w:gridSpan w:val="2"/>
            <w:shd w:val="clear" w:color="auto" w:fill="E7E6E7"/>
          </w:tcPr>
          <w:p>
            <w:pPr>
              <w:ind w:left="80"/>
              <w:spacing w:after="0" w:line="164" w:lineRule="exact"/>
              <w:rPr>
                <w:sz w:val="20"/>
                <w:szCs w:val="20"/>
                <w:color w:val="auto"/>
              </w:rPr>
            </w:pPr>
            <w:r>
              <w:rPr>
                <w:rFonts w:ascii="Arial" w:cs="Arial" w:eastAsia="Arial" w:hAnsi="Arial"/>
                <w:sz w:val="15"/>
                <w:szCs w:val="15"/>
                <w:color w:val="7B7C80"/>
              </w:rPr>
              <w:t>-  Regularly Scheduled Board Meeting</w:t>
            </w:r>
          </w:p>
        </w:tc>
        <w:tc>
          <w:tcPr>
            <w:tcW w:w="2340" w:type="dxa"/>
            <w:vAlign w:val="bottom"/>
            <w:tcBorders>
              <w:bottom w:val="single" w:sz="8" w:color="7B7C80"/>
            </w:tcBorders>
            <w:shd w:val="clear" w:color="auto" w:fill="E7E6E7"/>
          </w:tcPr>
          <w:p>
            <w:pPr>
              <w:ind w:left="1140"/>
              <w:spacing w:after="0" w:line="164" w:lineRule="exact"/>
              <w:rPr>
                <w:sz w:val="20"/>
                <w:szCs w:val="20"/>
                <w:color w:val="auto"/>
              </w:rPr>
            </w:pPr>
            <w:r>
              <w:rPr>
                <w:rFonts w:ascii="Arial" w:cs="Arial" w:eastAsia="Arial" w:hAnsi="Arial"/>
                <w:sz w:val="15"/>
                <w:szCs w:val="15"/>
                <w:color w:val="7B7C80"/>
              </w:rPr>
              <w:t>No meeting fees</w:t>
            </w:r>
          </w:p>
        </w:tc>
        <w:tc>
          <w:tcPr>
            <w:tcW w:w="1240" w:type="dxa"/>
            <w:vAlign w:val="bottom"/>
            <w:tcBorders>
              <w:bottom w:val="single" w:sz="8" w:color="7B7C80"/>
            </w:tcBorders>
            <w:shd w:val="clear" w:color="auto" w:fill="E7E6E7"/>
          </w:tcPr>
          <w:p>
            <w:pPr>
              <w:ind w:left="100"/>
              <w:spacing w:after="0" w:line="164" w:lineRule="exact"/>
              <w:rPr>
                <w:sz w:val="20"/>
                <w:szCs w:val="20"/>
                <w:color w:val="auto"/>
              </w:rPr>
            </w:pPr>
            <w:r>
              <w:rPr>
                <w:rFonts w:ascii="Arial" w:cs="Arial" w:eastAsia="Arial" w:hAnsi="Arial"/>
                <w:sz w:val="15"/>
                <w:szCs w:val="15"/>
                <w:color w:val="7B7C80"/>
              </w:rPr>
              <w:t>NA</w:t>
            </w:r>
          </w:p>
        </w:tc>
      </w:tr>
      <w:tr>
        <w:trPr>
          <w:trHeight w:val="163"/>
        </w:trPr>
        <w:tc>
          <w:tcPr>
            <w:tcW w:w="5000" w:type="dxa"/>
            <w:vAlign w:val="bottom"/>
            <w:tcBorders>
              <w:bottom w:val="single" w:sz="8" w:color="7B7C80"/>
            </w:tcBorders>
            <w:gridSpan w:val="2"/>
          </w:tcPr>
          <w:p>
            <w:pPr>
              <w:ind w:left="80"/>
              <w:spacing w:after="0" w:line="164" w:lineRule="exact"/>
              <w:rPr>
                <w:sz w:val="20"/>
                <w:szCs w:val="20"/>
                <w:color w:val="auto"/>
              </w:rPr>
            </w:pPr>
            <w:r>
              <w:rPr>
                <w:rFonts w:ascii="Arial" w:cs="Arial" w:eastAsia="Arial" w:hAnsi="Arial"/>
                <w:sz w:val="15"/>
                <w:szCs w:val="15"/>
                <w:color w:val="7B7C80"/>
              </w:rPr>
              <w:t>-  Non regularly Scheduled Board Meetings (in person)</w:t>
            </w:r>
          </w:p>
        </w:tc>
        <w:tc>
          <w:tcPr>
            <w:tcW w:w="2340" w:type="dxa"/>
            <w:vAlign w:val="bottom"/>
            <w:tcBorders>
              <w:bottom w:val="single" w:sz="8" w:color="7B7C80"/>
            </w:tcBorders>
          </w:tcPr>
          <w:p>
            <w:pPr>
              <w:ind w:left="1140"/>
              <w:spacing w:after="0" w:line="164" w:lineRule="exact"/>
              <w:rPr>
                <w:sz w:val="20"/>
                <w:szCs w:val="20"/>
                <w:color w:val="auto"/>
              </w:rPr>
            </w:pPr>
            <w:r>
              <w:rPr>
                <w:rFonts w:ascii="Arial" w:cs="Arial" w:eastAsia="Arial" w:hAnsi="Arial"/>
                <w:sz w:val="15"/>
                <w:szCs w:val="15"/>
                <w:color w:val="7B7C80"/>
              </w:rPr>
              <w:t>$2,500 per day</w:t>
            </w:r>
          </w:p>
        </w:tc>
        <w:tc>
          <w:tcPr>
            <w:tcW w:w="1240" w:type="dxa"/>
            <w:vAlign w:val="bottom"/>
            <w:tcBorders>
              <w:bottom w:val="single" w:sz="8" w:color="7B7C80"/>
            </w:tcBorders>
          </w:tcPr>
          <w:p>
            <w:pPr>
              <w:ind w:left="100"/>
              <w:spacing w:after="0" w:line="164" w:lineRule="exact"/>
              <w:rPr>
                <w:sz w:val="20"/>
                <w:szCs w:val="20"/>
                <w:color w:val="auto"/>
              </w:rPr>
            </w:pPr>
            <w:r>
              <w:rPr>
                <w:rFonts w:ascii="Arial" w:cs="Arial" w:eastAsia="Arial" w:hAnsi="Arial"/>
                <w:sz w:val="15"/>
                <w:szCs w:val="15"/>
                <w:color w:val="7B7C80"/>
              </w:rPr>
              <w:t>NA</w:t>
            </w:r>
          </w:p>
        </w:tc>
      </w:tr>
      <w:tr>
        <w:trPr>
          <w:trHeight w:val="163"/>
        </w:trPr>
        <w:tc>
          <w:tcPr>
            <w:tcW w:w="5000" w:type="dxa"/>
            <w:vAlign w:val="bottom"/>
            <w:tcBorders>
              <w:bottom w:val="single" w:sz="8" w:color="7B7C80"/>
            </w:tcBorders>
            <w:gridSpan w:val="2"/>
            <w:shd w:val="clear" w:color="auto" w:fill="E7E6E7"/>
          </w:tcPr>
          <w:p>
            <w:pPr>
              <w:ind w:left="80"/>
              <w:spacing w:after="0" w:line="164" w:lineRule="exact"/>
              <w:rPr>
                <w:sz w:val="20"/>
                <w:szCs w:val="20"/>
                <w:color w:val="auto"/>
              </w:rPr>
            </w:pPr>
            <w:r>
              <w:rPr>
                <w:rFonts w:ascii="Arial" w:cs="Arial" w:eastAsia="Arial" w:hAnsi="Arial"/>
                <w:sz w:val="15"/>
                <w:szCs w:val="15"/>
                <w:color w:val="7B7C80"/>
              </w:rPr>
              <w:t>-  Non regularly Scheduled Board Meetings (Telephonic)</w:t>
            </w:r>
          </w:p>
        </w:tc>
        <w:tc>
          <w:tcPr>
            <w:tcW w:w="2340" w:type="dxa"/>
            <w:vAlign w:val="bottom"/>
            <w:tcBorders>
              <w:bottom w:val="single" w:sz="8" w:color="7B7C80"/>
            </w:tcBorders>
            <w:shd w:val="clear" w:color="auto" w:fill="E7E6E7"/>
          </w:tcPr>
          <w:p>
            <w:pPr>
              <w:ind w:left="1140"/>
              <w:spacing w:after="0" w:line="164" w:lineRule="exact"/>
              <w:rPr>
                <w:sz w:val="20"/>
                <w:szCs w:val="20"/>
                <w:color w:val="auto"/>
              </w:rPr>
            </w:pPr>
            <w:r>
              <w:rPr>
                <w:rFonts w:ascii="Arial" w:cs="Arial" w:eastAsia="Arial" w:hAnsi="Arial"/>
                <w:sz w:val="15"/>
                <w:szCs w:val="15"/>
                <w:color w:val="7B7C80"/>
              </w:rPr>
              <w:t>$1,000</w:t>
            </w:r>
          </w:p>
        </w:tc>
        <w:tc>
          <w:tcPr>
            <w:tcW w:w="1240" w:type="dxa"/>
            <w:vAlign w:val="bottom"/>
            <w:tcBorders>
              <w:bottom w:val="single" w:sz="8" w:color="7B7C80"/>
            </w:tcBorders>
            <w:shd w:val="clear" w:color="auto" w:fill="E7E6E7"/>
          </w:tcPr>
          <w:p>
            <w:pPr>
              <w:ind w:left="100"/>
              <w:spacing w:after="0" w:line="164" w:lineRule="exact"/>
              <w:rPr>
                <w:sz w:val="20"/>
                <w:szCs w:val="20"/>
                <w:color w:val="auto"/>
              </w:rPr>
            </w:pPr>
            <w:r>
              <w:rPr>
                <w:rFonts w:ascii="Arial" w:cs="Arial" w:eastAsia="Arial" w:hAnsi="Arial"/>
                <w:sz w:val="15"/>
                <w:szCs w:val="15"/>
                <w:color w:val="7B7C80"/>
              </w:rPr>
              <w:t>NA</w:t>
            </w:r>
          </w:p>
        </w:tc>
      </w:tr>
      <w:tr>
        <w:trPr>
          <w:trHeight w:val="163"/>
        </w:trPr>
        <w:tc>
          <w:tcPr>
            <w:tcW w:w="22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w:t>
            </w:r>
          </w:p>
        </w:tc>
        <w:tc>
          <w:tcPr>
            <w:tcW w:w="478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Committee Meeting</w:t>
            </w:r>
          </w:p>
        </w:tc>
        <w:tc>
          <w:tcPr>
            <w:tcW w:w="2340" w:type="dxa"/>
            <w:vAlign w:val="bottom"/>
            <w:tcBorders>
              <w:bottom w:val="single" w:sz="8" w:color="7B7C80"/>
            </w:tcBorders>
          </w:tcPr>
          <w:p>
            <w:pPr>
              <w:ind w:left="1140"/>
              <w:spacing w:after="0" w:line="164" w:lineRule="exact"/>
              <w:rPr>
                <w:sz w:val="20"/>
                <w:szCs w:val="20"/>
                <w:color w:val="auto"/>
              </w:rPr>
            </w:pPr>
            <w:r>
              <w:rPr>
                <w:rFonts w:ascii="Arial" w:cs="Arial" w:eastAsia="Arial" w:hAnsi="Arial"/>
                <w:sz w:val="15"/>
                <w:szCs w:val="15"/>
                <w:color w:val="7B7C80"/>
              </w:rPr>
              <w:t>$1,500</w:t>
            </w:r>
          </w:p>
        </w:tc>
        <w:tc>
          <w:tcPr>
            <w:tcW w:w="1240" w:type="dxa"/>
            <w:vAlign w:val="bottom"/>
            <w:tcBorders>
              <w:bottom w:val="single" w:sz="8" w:color="7B7C80"/>
            </w:tcBorders>
          </w:tcPr>
          <w:p>
            <w:pPr>
              <w:ind w:left="100"/>
              <w:spacing w:after="0" w:line="164" w:lineRule="exact"/>
              <w:rPr>
                <w:sz w:val="20"/>
                <w:szCs w:val="20"/>
                <w:color w:val="auto"/>
              </w:rPr>
            </w:pPr>
            <w:r>
              <w:rPr>
                <w:rFonts w:ascii="Arial" w:cs="Arial" w:eastAsia="Arial" w:hAnsi="Arial"/>
                <w:sz w:val="15"/>
                <w:szCs w:val="15"/>
                <w:color w:val="7B7C80"/>
              </w:rPr>
              <w:t>NA</w:t>
            </w:r>
          </w:p>
        </w:tc>
      </w:tr>
      <w:tr>
        <w:trPr>
          <w:trHeight w:val="166"/>
        </w:trPr>
        <w:tc>
          <w:tcPr>
            <w:tcW w:w="220" w:type="dxa"/>
            <w:vAlign w:val="bottom"/>
            <w:tcBorders>
              <w:bottom w:val="single" w:sz="8" w:color="009CCC"/>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w:t>
            </w:r>
          </w:p>
        </w:tc>
        <w:tc>
          <w:tcPr>
            <w:tcW w:w="4780" w:type="dxa"/>
            <w:vAlign w:val="bottom"/>
            <w:tcBorders>
              <w:bottom w:val="single" w:sz="8" w:color="009CCC"/>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Telephonic Committee Meeting</w:t>
            </w:r>
          </w:p>
        </w:tc>
        <w:tc>
          <w:tcPr>
            <w:tcW w:w="2340" w:type="dxa"/>
            <w:vAlign w:val="bottom"/>
            <w:tcBorders>
              <w:bottom w:val="single" w:sz="8" w:color="009CCC"/>
            </w:tcBorders>
            <w:shd w:val="clear" w:color="auto" w:fill="E7E6E7"/>
          </w:tcPr>
          <w:p>
            <w:pPr>
              <w:ind w:left="1140"/>
              <w:spacing w:after="0" w:line="164" w:lineRule="exact"/>
              <w:rPr>
                <w:sz w:val="20"/>
                <w:szCs w:val="20"/>
                <w:color w:val="auto"/>
              </w:rPr>
            </w:pPr>
            <w:r>
              <w:rPr>
                <w:rFonts w:ascii="Arial" w:cs="Arial" w:eastAsia="Arial" w:hAnsi="Arial"/>
                <w:sz w:val="15"/>
                <w:szCs w:val="15"/>
                <w:color w:val="7B7C80"/>
              </w:rPr>
              <w:t>$1,000</w:t>
            </w:r>
          </w:p>
        </w:tc>
        <w:tc>
          <w:tcPr>
            <w:tcW w:w="1240" w:type="dxa"/>
            <w:vAlign w:val="bottom"/>
            <w:tcBorders>
              <w:bottom w:val="single" w:sz="8" w:color="009CCC"/>
            </w:tcBorders>
            <w:shd w:val="clear" w:color="auto" w:fill="E7E6E7"/>
          </w:tcPr>
          <w:p>
            <w:pPr>
              <w:ind w:left="100"/>
              <w:spacing w:after="0" w:line="164" w:lineRule="exact"/>
              <w:rPr>
                <w:sz w:val="20"/>
                <w:szCs w:val="20"/>
                <w:color w:val="auto"/>
              </w:rPr>
            </w:pPr>
            <w:r>
              <w:rPr>
                <w:rFonts w:ascii="Arial" w:cs="Arial" w:eastAsia="Arial" w:hAnsi="Arial"/>
                <w:sz w:val="15"/>
                <w:szCs w:val="15"/>
                <w:color w:val="7B7C80"/>
              </w:rPr>
              <w:t>NA</w:t>
            </w:r>
          </w:p>
        </w:tc>
      </w:tr>
    </w:tbl>
    <w:p>
      <w:pPr>
        <w:spacing w:after="0" w:line="187" w:lineRule="exact"/>
        <w:rPr>
          <w:sz w:val="20"/>
          <w:szCs w:val="20"/>
          <w:color w:val="auto"/>
        </w:rPr>
      </w:pPr>
    </w:p>
    <w:p>
      <w:pPr>
        <w:ind w:left="1820" w:hanging="455"/>
        <w:spacing w:after="0"/>
        <w:tabs>
          <w:tab w:leader="none" w:pos="1820" w:val="left"/>
        </w:tabs>
        <w:numPr>
          <w:ilvl w:val="0"/>
          <w:numId w:val="16"/>
        </w:numPr>
        <w:rPr>
          <w:rFonts w:ascii="Arial" w:cs="Arial" w:eastAsia="Arial" w:hAnsi="Arial"/>
          <w:sz w:val="12"/>
          <w:szCs w:val="12"/>
          <w:color w:val="7B7C80"/>
        </w:rPr>
      </w:pPr>
      <w:r>
        <w:rPr>
          <w:rFonts w:ascii="Arial" w:cs="Arial" w:eastAsia="Arial" w:hAnsi="Arial"/>
          <w:sz w:val="12"/>
          <w:szCs w:val="12"/>
          <w:color w:val="7B7C80"/>
        </w:rPr>
        <w:t>Paid in two semiannual payments, in May and November, on a forward looking basis.</w:t>
      </w:r>
    </w:p>
    <w:p>
      <w:pPr>
        <w:spacing w:after="0" w:line="136" w:lineRule="exact"/>
        <w:rPr>
          <w:rFonts w:ascii="Arial" w:cs="Arial" w:eastAsia="Arial" w:hAnsi="Arial"/>
          <w:sz w:val="12"/>
          <w:szCs w:val="12"/>
          <w:color w:val="7B7C80"/>
        </w:rPr>
      </w:pPr>
    </w:p>
    <w:p>
      <w:pPr>
        <w:ind w:left="1820" w:hanging="455"/>
        <w:spacing w:after="0"/>
        <w:tabs>
          <w:tab w:leader="none" w:pos="1820" w:val="left"/>
        </w:tabs>
        <w:numPr>
          <w:ilvl w:val="0"/>
          <w:numId w:val="16"/>
        </w:numPr>
        <w:rPr>
          <w:rFonts w:ascii="Arial" w:cs="Arial" w:eastAsia="Arial" w:hAnsi="Arial"/>
          <w:sz w:val="12"/>
          <w:szCs w:val="12"/>
          <w:color w:val="7B7C80"/>
        </w:rPr>
      </w:pPr>
      <w:r>
        <w:rPr>
          <w:rFonts w:ascii="Arial" w:cs="Arial" w:eastAsia="Arial" w:hAnsi="Arial"/>
          <w:sz w:val="12"/>
          <w:szCs w:val="12"/>
          <w:color w:val="7B7C80"/>
        </w:rPr>
        <w:t>Grants are made at the time of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3195320</wp:posOffset>
            </wp:positionH>
            <wp:positionV relativeFrom="paragraph">
              <wp:posOffset>113665</wp:posOffset>
            </wp:positionV>
            <wp:extent cx="960120" cy="2838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9"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20</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23" w:name="page24"/>
    <w:bookmarkEnd w:id="23"/>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Fees Earned by Non Employee Directors in 2017</w:t>
      </w:r>
    </w:p>
    <w:p>
      <w:pPr>
        <w:spacing w:after="0" w:line="350" w:lineRule="exact"/>
        <w:rPr>
          <w:sz w:val="20"/>
          <w:szCs w:val="20"/>
          <w:color w:val="auto"/>
        </w:rPr>
      </w:pPr>
    </w:p>
    <w:tbl>
      <w:tblPr>
        <w:tblLayout w:type="fixed"/>
        <w:tblInd w:w="1368" w:type="dxa"/>
        <w:tblCellMar>
          <w:top w:w="0" w:type="dxa"/>
          <w:left w:w="0" w:type="dxa"/>
          <w:bottom w:w="0" w:type="dxa"/>
          <w:right w:w="0" w:type="dxa"/>
        </w:tblCellMar>
      </w:tblPr>
      <w:tr>
        <w:trPr>
          <w:trHeight w:val="149"/>
        </w:trPr>
        <w:tc>
          <w:tcPr>
            <w:tcW w:w="3380" w:type="dxa"/>
            <w:vAlign w:val="bottom"/>
            <w:tcBorders>
              <w:top w:val="single" w:sz="8" w:color="009CCC"/>
            </w:tcBorders>
          </w:tcPr>
          <w:p>
            <w:pPr>
              <w:spacing w:after="0"/>
              <w:rPr>
                <w:sz w:val="12"/>
                <w:szCs w:val="12"/>
                <w:color w:val="auto"/>
              </w:rPr>
            </w:pPr>
          </w:p>
        </w:tc>
        <w:tc>
          <w:tcPr>
            <w:tcW w:w="3140" w:type="dxa"/>
            <w:vAlign w:val="bottom"/>
            <w:tcBorders>
              <w:top w:val="single" w:sz="8" w:color="009CCC"/>
            </w:tcBorders>
            <w:gridSpan w:val="2"/>
          </w:tcPr>
          <w:p>
            <w:pPr>
              <w:jc w:val="right"/>
              <w:ind w:right="186"/>
              <w:spacing w:after="0"/>
              <w:rPr>
                <w:sz w:val="20"/>
                <w:szCs w:val="20"/>
                <w:color w:val="auto"/>
              </w:rPr>
            </w:pPr>
            <w:r>
              <w:rPr>
                <w:rFonts w:ascii="Arial" w:cs="Arial" w:eastAsia="Arial" w:hAnsi="Arial"/>
                <w:sz w:val="12"/>
                <w:szCs w:val="12"/>
                <w:b w:val="1"/>
                <w:bCs w:val="1"/>
                <w:color w:val="009CCC"/>
              </w:rPr>
              <w:t>Fees Earned or</w:t>
            </w:r>
          </w:p>
        </w:tc>
        <w:tc>
          <w:tcPr>
            <w:tcW w:w="340" w:type="dxa"/>
            <w:vAlign w:val="bottom"/>
            <w:tcBorders>
              <w:top w:val="single" w:sz="8" w:color="009CCC"/>
            </w:tcBorders>
          </w:tcPr>
          <w:p>
            <w:pPr>
              <w:spacing w:after="0"/>
              <w:rPr>
                <w:sz w:val="12"/>
                <w:szCs w:val="12"/>
                <w:color w:val="auto"/>
              </w:rPr>
            </w:pPr>
          </w:p>
        </w:tc>
        <w:tc>
          <w:tcPr>
            <w:tcW w:w="740" w:type="dxa"/>
            <w:vAlign w:val="bottom"/>
            <w:tcBorders>
              <w:top w:val="single" w:sz="8" w:color="009CCC"/>
            </w:tcBorders>
          </w:tcPr>
          <w:p>
            <w:pPr>
              <w:jc w:val="right"/>
              <w:ind w:right="127"/>
              <w:spacing w:after="0"/>
              <w:rPr>
                <w:sz w:val="20"/>
                <w:szCs w:val="20"/>
                <w:color w:val="auto"/>
              </w:rPr>
            </w:pPr>
            <w:r>
              <w:rPr>
                <w:rFonts w:ascii="Arial" w:cs="Arial" w:eastAsia="Arial" w:hAnsi="Arial"/>
                <w:sz w:val="12"/>
                <w:szCs w:val="12"/>
                <w:b w:val="1"/>
                <w:bCs w:val="1"/>
                <w:color w:val="009CCC"/>
              </w:rPr>
              <w:t>Stock</w:t>
            </w:r>
          </w:p>
        </w:tc>
        <w:tc>
          <w:tcPr>
            <w:tcW w:w="800" w:type="dxa"/>
            <w:vAlign w:val="bottom"/>
            <w:tcBorders>
              <w:top w:val="single" w:sz="8" w:color="009CCC"/>
            </w:tcBorders>
          </w:tcPr>
          <w:p>
            <w:pPr>
              <w:spacing w:after="0"/>
              <w:rPr>
                <w:sz w:val="12"/>
                <w:szCs w:val="12"/>
                <w:color w:val="auto"/>
              </w:rPr>
            </w:pPr>
          </w:p>
        </w:tc>
      </w:tr>
      <w:tr>
        <w:trPr>
          <w:trHeight w:val="160"/>
        </w:trPr>
        <w:tc>
          <w:tcPr>
            <w:tcW w:w="338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3140" w:type="dxa"/>
            <w:vAlign w:val="bottom"/>
            <w:tcBorders>
              <w:bottom w:val="single" w:sz="8" w:color="7B7C80"/>
            </w:tcBorders>
            <w:gridSpan w:val="2"/>
          </w:tcPr>
          <w:p>
            <w:pPr>
              <w:jc w:val="right"/>
              <w:ind w:right="186"/>
              <w:spacing w:after="0"/>
              <w:rPr>
                <w:sz w:val="20"/>
                <w:szCs w:val="20"/>
                <w:color w:val="auto"/>
              </w:rPr>
            </w:pPr>
            <w:r>
              <w:rPr>
                <w:rFonts w:ascii="Arial" w:cs="Arial" w:eastAsia="Arial" w:hAnsi="Arial"/>
                <w:sz w:val="12"/>
                <w:szCs w:val="12"/>
                <w:b w:val="1"/>
                <w:bCs w:val="1"/>
                <w:color w:val="009CCC"/>
              </w:rPr>
              <w:t>Paid in Cash</w:t>
            </w:r>
          </w:p>
        </w:tc>
        <w:tc>
          <w:tcPr>
            <w:tcW w:w="1080" w:type="dxa"/>
            <w:vAlign w:val="bottom"/>
            <w:tcBorders>
              <w:bottom w:val="single" w:sz="8" w:color="7B7C80"/>
            </w:tcBorders>
            <w:gridSpan w:val="2"/>
          </w:tcPr>
          <w:p>
            <w:pPr>
              <w:jc w:val="right"/>
              <w:ind w:right="127"/>
              <w:spacing w:after="0" w:line="160" w:lineRule="exact"/>
              <w:rPr>
                <w:sz w:val="20"/>
                <w:szCs w:val="20"/>
                <w:color w:val="auto"/>
              </w:rPr>
            </w:pPr>
            <w:r>
              <w:rPr>
                <w:rFonts w:ascii="Arial" w:cs="Arial" w:eastAsia="Arial" w:hAnsi="Arial"/>
                <w:sz w:val="12"/>
                <w:szCs w:val="12"/>
                <w:b w:val="1"/>
                <w:bCs w:val="1"/>
                <w:color w:val="009CCC"/>
              </w:rPr>
              <w:t>Awards</w:t>
            </w:r>
            <w:r>
              <w:rPr>
                <w:rFonts w:ascii="Arial" w:cs="Arial" w:eastAsia="Arial" w:hAnsi="Arial"/>
                <w:sz w:val="18"/>
                <w:szCs w:val="18"/>
                <w:b w:val="1"/>
                <w:bCs w:val="1"/>
                <w:color w:val="009CCC"/>
                <w:vertAlign w:val="superscript"/>
              </w:rPr>
              <w:t>(1)</w:t>
            </w:r>
          </w:p>
        </w:tc>
        <w:tc>
          <w:tcPr>
            <w:tcW w:w="80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163"/>
        </w:trPr>
        <w:tc>
          <w:tcPr>
            <w:tcW w:w="33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Betsy J. Bernard</w:t>
            </w:r>
          </w:p>
        </w:tc>
        <w:tc>
          <w:tcPr>
            <w:tcW w:w="23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7B7C80"/>
            </w:tcBorders>
          </w:tcPr>
          <w:p>
            <w:pPr>
              <w:jc w:val="right"/>
              <w:ind w:right="186"/>
              <w:spacing w:after="0" w:line="164" w:lineRule="exact"/>
              <w:rPr>
                <w:sz w:val="20"/>
                <w:szCs w:val="20"/>
                <w:color w:val="auto"/>
              </w:rPr>
            </w:pPr>
            <w:r>
              <w:rPr>
                <w:rFonts w:ascii="Arial" w:cs="Arial" w:eastAsia="Arial" w:hAnsi="Arial"/>
                <w:sz w:val="15"/>
                <w:szCs w:val="15"/>
                <w:color w:val="7B7C80"/>
                <w:w w:val="99"/>
              </w:rPr>
              <w:t>129,000</w:t>
            </w:r>
          </w:p>
        </w:tc>
        <w:tc>
          <w:tcPr>
            <w:tcW w:w="3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tcPr>
          <w:p>
            <w:pPr>
              <w:jc w:val="right"/>
              <w:ind w:right="127"/>
              <w:spacing w:after="0" w:line="164" w:lineRule="exact"/>
              <w:rPr>
                <w:sz w:val="20"/>
                <w:szCs w:val="20"/>
                <w:color w:val="auto"/>
              </w:rPr>
            </w:pPr>
            <w:r>
              <w:rPr>
                <w:rFonts w:ascii="Arial" w:cs="Arial" w:eastAsia="Arial" w:hAnsi="Arial"/>
                <w:sz w:val="15"/>
                <w:szCs w:val="15"/>
                <w:color w:val="7B7C80"/>
                <w:w w:val="95"/>
              </w:rPr>
              <w:t>130,007</w:t>
            </w:r>
          </w:p>
        </w:tc>
        <w:tc>
          <w:tcPr>
            <w:tcW w:w="8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$259,007</w:t>
            </w:r>
          </w:p>
        </w:tc>
      </w:tr>
      <w:tr>
        <w:trPr>
          <w:trHeight w:val="163"/>
        </w:trPr>
        <w:tc>
          <w:tcPr>
            <w:tcW w:w="33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Jocelyn Carter-Miller</w:t>
            </w:r>
          </w:p>
        </w:tc>
        <w:tc>
          <w:tcPr>
            <w:tcW w:w="23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7B7C80"/>
            </w:tcBorders>
            <w:shd w:val="clear" w:color="auto" w:fill="E7E6E7"/>
          </w:tcPr>
          <w:p>
            <w:pPr>
              <w:jc w:val="right"/>
              <w:ind w:right="186"/>
              <w:spacing w:after="0" w:line="164" w:lineRule="exact"/>
              <w:rPr>
                <w:sz w:val="20"/>
                <w:szCs w:val="20"/>
                <w:color w:val="auto"/>
              </w:rPr>
            </w:pPr>
            <w:r>
              <w:rPr>
                <w:rFonts w:ascii="Arial" w:cs="Arial" w:eastAsia="Arial" w:hAnsi="Arial"/>
                <w:sz w:val="15"/>
                <w:szCs w:val="15"/>
                <w:color w:val="7B7C80"/>
                <w:w w:val="99"/>
              </w:rPr>
              <w:t>135,000</w:t>
            </w:r>
          </w:p>
        </w:tc>
        <w:tc>
          <w:tcPr>
            <w:tcW w:w="3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shd w:val="clear" w:color="auto" w:fill="E7E6E7"/>
          </w:tcPr>
          <w:p>
            <w:pPr>
              <w:jc w:val="right"/>
              <w:ind w:right="127"/>
              <w:spacing w:after="0" w:line="164" w:lineRule="exact"/>
              <w:rPr>
                <w:sz w:val="20"/>
                <w:szCs w:val="20"/>
                <w:color w:val="auto"/>
              </w:rPr>
            </w:pPr>
            <w:r>
              <w:rPr>
                <w:rFonts w:ascii="Arial" w:cs="Arial" w:eastAsia="Arial" w:hAnsi="Arial"/>
                <w:sz w:val="15"/>
                <w:szCs w:val="15"/>
                <w:color w:val="7B7C80"/>
                <w:w w:val="95"/>
              </w:rPr>
              <w:t>130,007</w:t>
            </w:r>
          </w:p>
        </w:tc>
        <w:tc>
          <w:tcPr>
            <w:tcW w:w="8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$265,007</w:t>
            </w:r>
          </w:p>
        </w:tc>
      </w:tr>
      <w:tr>
        <w:trPr>
          <w:trHeight w:val="163"/>
        </w:trPr>
        <w:tc>
          <w:tcPr>
            <w:tcW w:w="33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Michael T. Dan</w:t>
            </w:r>
          </w:p>
        </w:tc>
        <w:tc>
          <w:tcPr>
            <w:tcW w:w="23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7B7C80"/>
            </w:tcBorders>
          </w:tcPr>
          <w:p>
            <w:pPr>
              <w:jc w:val="right"/>
              <w:ind w:right="186"/>
              <w:spacing w:after="0" w:line="164" w:lineRule="exact"/>
              <w:rPr>
                <w:sz w:val="20"/>
                <w:szCs w:val="20"/>
                <w:color w:val="auto"/>
              </w:rPr>
            </w:pPr>
            <w:r>
              <w:rPr>
                <w:rFonts w:ascii="Arial" w:cs="Arial" w:eastAsia="Arial" w:hAnsi="Arial"/>
                <w:sz w:val="15"/>
                <w:szCs w:val="15"/>
                <w:color w:val="7B7C80"/>
                <w:w w:val="99"/>
              </w:rPr>
              <w:t>135,250</w:t>
            </w:r>
          </w:p>
        </w:tc>
        <w:tc>
          <w:tcPr>
            <w:tcW w:w="3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tcPr>
          <w:p>
            <w:pPr>
              <w:jc w:val="right"/>
              <w:ind w:right="127"/>
              <w:spacing w:after="0" w:line="164" w:lineRule="exact"/>
              <w:rPr>
                <w:sz w:val="20"/>
                <w:szCs w:val="20"/>
                <w:color w:val="auto"/>
              </w:rPr>
            </w:pPr>
            <w:r>
              <w:rPr>
                <w:rFonts w:ascii="Arial" w:cs="Arial" w:eastAsia="Arial" w:hAnsi="Arial"/>
                <w:sz w:val="15"/>
                <w:szCs w:val="15"/>
                <w:color w:val="7B7C80"/>
                <w:w w:val="95"/>
              </w:rPr>
              <w:t>130,007</w:t>
            </w:r>
          </w:p>
        </w:tc>
        <w:tc>
          <w:tcPr>
            <w:tcW w:w="8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$265,257</w:t>
            </w:r>
          </w:p>
        </w:tc>
      </w:tr>
      <w:tr>
        <w:trPr>
          <w:trHeight w:val="163"/>
        </w:trPr>
        <w:tc>
          <w:tcPr>
            <w:tcW w:w="33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Dennis H. Ferro</w:t>
            </w:r>
          </w:p>
        </w:tc>
        <w:tc>
          <w:tcPr>
            <w:tcW w:w="23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7B7C80"/>
            </w:tcBorders>
            <w:shd w:val="clear" w:color="auto" w:fill="E7E6E7"/>
          </w:tcPr>
          <w:p>
            <w:pPr>
              <w:jc w:val="right"/>
              <w:ind w:right="186"/>
              <w:spacing w:after="0" w:line="164" w:lineRule="exact"/>
              <w:rPr>
                <w:sz w:val="20"/>
                <w:szCs w:val="20"/>
                <w:color w:val="auto"/>
              </w:rPr>
            </w:pPr>
            <w:r>
              <w:rPr>
                <w:rFonts w:ascii="Arial" w:cs="Arial" w:eastAsia="Arial" w:hAnsi="Arial"/>
                <w:sz w:val="15"/>
                <w:szCs w:val="15"/>
                <w:color w:val="7B7C80"/>
                <w:w w:val="99"/>
              </w:rPr>
              <w:t>134,000</w:t>
            </w:r>
          </w:p>
        </w:tc>
        <w:tc>
          <w:tcPr>
            <w:tcW w:w="3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shd w:val="clear" w:color="auto" w:fill="E7E6E7"/>
          </w:tcPr>
          <w:p>
            <w:pPr>
              <w:jc w:val="right"/>
              <w:ind w:right="127"/>
              <w:spacing w:after="0" w:line="164" w:lineRule="exact"/>
              <w:rPr>
                <w:sz w:val="20"/>
                <w:szCs w:val="20"/>
                <w:color w:val="auto"/>
              </w:rPr>
            </w:pPr>
            <w:r>
              <w:rPr>
                <w:rFonts w:ascii="Arial" w:cs="Arial" w:eastAsia="Arial" w:hAnsi="Arial"/>
                <w:sz w:val="15"/>
                <w:szCs w:val="15"/>
                <w:color w:val="7B7C80"/>
                <w:w w:val="95"/>
              </w:rPr>
              <w:t>130,007</w:t>
            </w:r>
          </w:p>
        </w:tc>
        <w:tc>
          <w:tcPr>
            <w:tcW w:w="8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$264,007</w:t>
            </w:r>
          </w:p>
        </w:tc>
      </w:tr>
      <w:tr>
        <w:trPr>
          <w:trHeight w:val="163"/>
        </w:trPr>
        <w:tc>
          <w:tcPr>
            <w:tcW w:w="33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C. Daniel Gelatt Jr.</w:t>
            </w:r>
          </w:p>
        </w:tc>
        <w:tc>
          <w:tcPr>
            <w:tcW w:w="23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7B7C80"/>
            </w:tcBorders>
          </w:tcPr>
          <w:p>
            <w:pPr>
              <w:jc w:val="right"/>
              <w:ind w:right="186"/>
              <w:spacing w:after="0" w:line="164" w:lineRule="exact"/>
              <w:rPr>
                <w:sz w:val="20"/>
                <w:szCs w:val="20"/>
                <w:color w:val="auto"/>
              </w:rPr>
            </w:pPr>
            <w:r>
              <w:rPr>
                <w:rFonts w:ascii="Arial" w:cs="Arial" w:eastAsia="Arial" w:hAnsi="Arial"/>
                <w:sz w:val="15"/>
                <w:szCs w:val="15"/>
                <w:color w:val="7B7C80"/>
                <w:w w:val="99"/>
              </w:rPr>
              <w:t>119,500</w:t>
            </w:r>
          </w:p>
        </w:tc>
        <w:tc>
          <w:tcPr>
            <w:tcW w:w="3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tcPr>
          <w:p>
            <w:pPr>
              <w:jc w:val="right"/>
              <w:ind w:right="127"/>
              <w:spacing w:after="0" w:line="164" w:lineRule="exact"/>
              <w:rPr>
                <w:sz w:val="20"/>
                <w:szCs w:val="20"/>
                <w:color w:val="auto"/>
              </w:rPr>
            </w:pPr>
            <w:r>
              <w:rPr>
                <w:rFonts w:ascii="Arial" w:cs="Arial" w:eastAsia="Arial" w:hAnsi="Arial"/>
                <w:sz w:val="15"/>
                <w:szCs w:val="15"/>
                <w:color w:val="7B7C80"/>
                <w:w w:val="95"/>
              </w:rPr>
              <w:t>130,007</w:t>
            </w:r>
          </w:p>
        </w:tc>
        <w:tc>
          <w:tcPr>
            <w:tcW w:w="8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$249,507</w:t>
            </w:r>
          </w:p>
        </w:tc>
      </w:tr>
      <w:tr>
        <w:trPr>
          <w:trHeight w:val="163"/>
        </w:trPr>
        <w:tc>
          <w:tcPr>
            <w:tcW w:w="33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Sandra L. Helton</w:t>
            </w:r>
          </w:p>
        </w:tc>
        <w:tc>
          <w:tcPr>
            <w:tcW w:w="23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7B7C80"/>
            </w:tcBorders>
            <w:shd w:val="clear" w:color="auto" w:fill="E7E6E7"/>
          </w:tcPr>
          <w:p>
            <w:pPr>
              <w:jc w:val="right"/>
              <w:ind w:right="186"/>
              <w:spacing w:after="0" w:line="164" w:lineRule="exact"/>
              <w:rPr>
                <w:sz w:val="20"/>
                <w:szCs w:val="20"/>
                <w:color w:val="auto"/>
              </w:rPr>
            </w:pPr>
            <w:r>
              <w:rPr>
                <w:rFonts w:ascii="Arial" w:cs="Arial" w:eastAsia="Arial" w:hAnsi="Arial"/>
                <w:sz w:val="15"/>
                <w:szCs w:val="15"/>
                <w:color w:val="7B7C80"/>
                <w:w w:val="99"/>
              </w:rPr>
              <w:t>140,500</w:t>
            </w:r>
          </w:p>
        </w:tc>
        <w:tc>
          <w:tcPr>
            <w:tcW w:w="3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shd w:val="clear" w:color="auto" w:fill="E7E6E7"/>
          </w:tcPr>
          <w:p>
            <w:pPr>
              <w:jc w:val="right"/>
              <w:ind w:right="127"/>
              <w:spacing w:after="0" w:line="164" w:lineRule="exact"/>
              <w:rPr>
                <w:sz w:val="20"/>
                <w:szCs w:val="20"/>
                <w:color w:val="auto"/>
              </w:rPr>
            </w:pPr>
            <w:r>
              <w:rPr>
                <w:rFonts w:ascii="Arial" w:cs="Arial" w:eastAsia="Arial" w:hAnsi="Arial"/>
                <w:sz w:val="15"/>
                <w:szCs w:val="15"/>
                <w:color w:val="7B7C80"/>
                <w:w w:val="95"/>
              </w:rPr>
              <w:t>130,007</w:t>
            </w:r>
          </w:p>
        </w:tc>
        <w:tc>
          <w:tcPr>
            <w:tcW w:w="8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$270,507</w:t>
            </w:r>
          </w:p>
        </w:tc>
      </w:tr>
      <w:tr>
        <w:trPr>
          <w:trHeight w:val="163"/>
        </w:trPr>
        <w:tc>
          <w:tcPr>
            <w:tcW w:w="33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Roger C. Hochschild</w:t>
            </w:r>
          </w:p>
        </w:tc>
        <w:tc>
          <w:tcPr>
            <w:tcW w:w="23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7B7C80"/>
            </w:tcBorders>
          </w:tcPr>
          <w:p>
            <w:pPr>
              <w:jc w:val="right"/>
              <w:ind w:right="186"/>
              <w:spacing w:after="0" w:line="164" w:lineRule="exact"/>
              <w:rPr>
                <w:sz w:val="20"/>
                <w:szCs w:val="20"/>
                <w:color w:val="auto"/>
              </w:rPr>
            </w:pPr>
            <w:r>
              <w:rPr>
                <w:rFonts w:ascii="Arial" w:cs="Arial" w:eastAsia="Arial" w:hAnsi="Arial"/>
                <w:sz w:val="15"/>
                <w:szCs w:val="15"/>
                <w:color w:val="7B7C80"/>
                <w:w w:val="99"/>
              </w:rPr>
              <w:t>121,500</w:t>
            </w:r>
          </w:p>
        </w:tc>
        <w:tc>
          <w:tcPr>
            <w:tcW w:w="3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tcPr>
          <w:p>
            <w:pPr>
              <w:jc w:val="right"/>
              <w:ind w:right="127"/>
              <w:spacing w:after="0" w:line="164" w:lineRule="exact"/>
              <w:rPr>
                <w:sz w:val="20"/>
                <w:szCs w:val="20"/>
                <w:color w:val="auto"/>
              </w:rPr>
            </w:pPr>
            <w:r>
              <w:rPr>
                <w:rFonts w:ascii="Arial" w:cs="Arial" w:eastAsia="Arial" w:hAnsi="Arial"/>
                <w:sz w:val="15"/>
                <w:szCs w:val="15"/>
                <w:color w:val="7B7C80"/>
                <w:w w:val="95"/>
              </w:rPr>
              <w:t>130,007</w:t>
            </w:r>
          </w:p>
        </w:tc>
        <w:tc>
          <w:tcPr>
            <w:tcW w:w="8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$251,507</w:t>
            </w:r>
          </w:p>
        </w:tc>
      </w:tr>
      <w:tr>
        <w:trPr>
          <w:trHeight w:val="163"/>
        </w:trPr>
        <w:tc>
          <w:tcPr>
            <w:tcW w:w="33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Scott M. Mills</w:t>
            </w:r>
          </w:p>
        </w:tc>
        <w:tc>
          <w:tcPr>
            <w:tcW w:w="23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7B7C80"/>
            </w:tcBorders>
            <w:shd w:val="clear" w:color="auto" w:fill="E7E6E7"/>
          </w:tcPr>
          <w:p>
            <w:pPr>
              <w:jc w:val="right"/>
              <w:ind w:right="186"/>
              <w:spacing w:after="0" w:line="164" w:lineRule="exact"/>
              <w:rPr>
                <w:sz w:val="20"/>
                <w:szCs w:val="20"/>
                <w:color w:val="auto"/>
              </w:rPr>
            </w:pPr>
            <w:r>
              <w:rPr>
                <w:rFonts w:ascii="Arial" w:cs="Arial" w:eastAsia="Arial" w:hAnsi="Arial"/>
                <w:sz w:val="15"/>
                <w:szCs w:val="15"/>
                <w:color w:val="7B7C80"/>
                <w:w w:val="99"/>
              </w:rPr>
              <w:t>120,500</w:t>
            </w:r>
          </w:p>
        </w:tc>
        <w:tc>
          <w:tcPr>
            <w:tcW w:w="3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shd w:val="clear" w:color="auto" w:fill="E7E6E7"/>
          </w:tcPr>
          <w:p>
            <w:pPr>
              <w:jc w:val="right"/>
              <w:ind w:right="127"/>
              <w:spacing w:after="0" w:line="164" w:lineRule="exact"/>
              <w:rPr>
                <w:sz w:val="20"/>
                <w:szCs w:val="20"/>
                <w:color w:val="auto"/>
              </w:rPr>
            </w:pPr>
            <w:r>
              <w:rPr>
                <w:rFonts w:ascii="Arial" w:cs="Arial" w:eastAsia="Arial" w:hAnsi="Arial"/>
                <w:sz w:val="15"/>
                <w:szCs w:val="15"/>
                <w:color w:val="7B7C80"/>
                <w:w w:val="95"/>
              </w:rPr>
              <w:t>130,007</w:t>
            </w:r>
          </w:p>
        </w:tc>
        <w:tc>
          <w:tcPr>
            <w:tcW w:w="8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$250,507</w:t>
            </w:r>
          </w:p>
        </w:tc>
      </w:tr>
      <w:tr>
        <w:trPr>
          <w:trHeight w:val="163"/>
        </w:trPr>
        <w:tc>
          <w:tcPr>
            <w:tcW w:w="33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Diane C. Nordin</w:t>
            </w:r>
          </w:p>
        </w:tc>
        <w:tc>
          <w:tcPr>
            <w:tcW w:w="23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7B7C80"/>
            </w:tcBorders>
          </w:tcPr>
          <w:p>
            <w:pPr>
              <w:jc w:val="right"/>
              <w:ind w:right="186"/>
              <w:spacing w:after="0" w:line="164" w:lineRule="exact"/>
              <w:rPr>
                <w:sz w:val="20"/>
                <w:szCs w:val="20"/>
                <w:color w:val="auto"/>
              </w:rPr>
            </w:pPr>
            <w:r>
              <w:rPr>
                <w:rFonts w:ascii="Arial" w:cs="Arial" w:eastAsia="Arial" w:hAnsi="Arial"/>
                <w:sz w:val="15"/>
                <w:szCs w:val="15"/>
                <w:color w:val="7B7C80"/>
              </w:rPr>
              <w:t>61,240</w:t>
            </w:r>
          </w:p>
        </w:tc>
        <w:tc>
          <w:tcPr>
            <w:tcW w:w="3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tcPr>
          <w:p>
            <w:pPr>
              <w:jc w:val="right"/>
              <w:ind w:right="127"/>
              <w:spacing w:after="0" w:line="164" w:lineRule="exact"/>
              <w:rPr>
                <w:sz w:val="20"/>
                <w:szCs w:val="20"/>
                <w:color w:val="auto"/>
              </w:rPr>
            </w:pPr>
            <w:r>
              <w:rPr>
                <w:rFonts w:ascii="Arial" w:cs="Arial" w:eastAsia="Arial" w:hAnsi="Arial"/>
                <w:sz w:val="15"/>
                <w:szCs w:val="15"/>
                <w:color w:val="7B7C80"/>
              </w:rPr>
              <w:t>73,230</w:t>
            </w:r>
          </w:p>
        </w:tc>
        <w:tc>
          <w:tcPr>
            <w:tcW w:w="8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$134,470</w:t>
            </w:r>
          </w:p>
        </w:tc>
      </w:tr>
      <w:tr>
        <w:trPr>
          <w:trHeight w:val="163"/>
        </w:trPr>
        <w:tc>
          <w:tcPr>
            <w:tcW w:w="33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Blair C. Pickerell</w:t>
            </w:r>
          </w:p>
        </w:tc>
        <w:tc>
          <w:tcPr>
            <w:tcW w:w="23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7B7C80"/>
            </w:tcBorders>
            <w:shd w:val="clear" w:color="auto" w:fill="E7E6E7"/>
          </w:tcPr>
          <w:p>
            <w:pPr>
              <w:jc w:val="right"/>
              <w:ind w:right="186"/>
              <w:spacing w:after="0" w:line="164" w:lineRule="exact"/>
              <w:rPr>
                <w:sz w:val="20"/>
                <w:szCs w:val="20"/>
                <w:color w:val="auto"/>
              </w:rPr>
            </w:pPr>
            <w:r>
              <w:rPr>
                <w:rFonts w:ascii="Arial" w:cs="Arial" w:eastAsia="Arial" w:hAnsi="Arial"/>
                <w:sz w:val="15"/>
                <w:szCs w:val="15"/>
                <w:color w:val="7B7C80"/>
                <w:w w:val="99"/>
              </w:rPr>
              <w:t>119,500</w:t>
            </w:r>
          </w:p>
        </w:tc>
        <w:tc>
          <w:tcPr>
            <w:tcW w:w="3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shd w:val="clear" w:color="auto" w:fill="E7E6E7"/>
          </w:tcPr>
          <w:p>
            <w:pPr>
              <w:jc w:val="right"/>
              <w:ind w:right="127"/>
              <w:spacing w:after="0" w:line="164" w:lineRule="exact"/>
              <w:rPr>
                <w:sz w:val="20"/>
                <w:szCs w:val="20"/>
                <w:color w:val="auto"/>
              </w:rPr>
            </w:pPr>
            <w:r>
              <w:rPr>
                <w:rFonts w:ascii="Arial" w:cs="Arial" w:eastAsia="Arial" w:hAnsi="Arial"/>
                <w:sz w:val="15"/>
                <w:szCs w:val="15"/>
                <w:color w:val="7B7C80"/>
                <w:w w:val="95"/>
              </w:rPr>
              <w:t>130,007</w:t>
            </w:r>
          </w:p>
        </w:tc>
        <w:tc>
          <w:tcPr>
            <w:tcW w:w="8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$249,507</w:t>
            </w:r>
          </w:p>
        </w:tc>
      </w:tr>
      <w:tr>
        <w:trPr>
          <w:trHeight w:val="166"/>
        </w:trPr>
        <w:tc>
          <w:tcPr>
            <w:tcW w:w="3380" w:type="dxa"/>
            <w:vAlign w:val="bottom"/>
            <w:tcBorders>
              <w:bottom w:val="single" w:sz="8" w:color="009CCC"/>
            </w:tcBorders>
          </w:tcPr>
          <w:p>
            <w:pPr>
              <w:spacing w:after="0" w:line="164" w:lineRule="exact"/>
              <w:rPr>
                <w:sz w:val="20"/>
                <w:szCs w:val="20"/>
                <w:color w:val="auto"/>
              </w:rPr>
            </w:pPr>
            <w:r>
              <w:rPr>
                <w:rFonts w:ascii="Arial" w:cs="Arial" w:eastAsia="Arial" w:hAnsi="Arial"/>
                <w:sz w:val="15"/>
                <w:szCs w:val="15"/>
                <w:color w:val="7B7C80"/>
              </w:rPr>
              <w:t>Elizabeth E. Tallett</w:t>
            </w:r>
          </w:p>
        </w:tc>
        <w:tc>
          <w:tcPr>
            <w:tcW w:w="232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w:t>
            </w:r>
          </w:p>
        </w:tc>
        <w:tc>
          <w:tcPr>
            <w:tcW w:w="820" w:type="dxa"/>
            <w:vAlign w:val="bottom"/>
            <w:tcBorders>
              <w:bottom w:val="single" w:sz="8" w:color="009CCC"/>
            </w:tcBorders>
          </w:tcPr>
          <w:p>
            <w:pPr>
              <w:jc w:val="right"/>
              <w:ind w:right="186"/>
              <w:spacing w:after="0" w:line="164" w:lineRule="exact"/>
              <w:rPr>
                <w:sz w:val="20"/>
                <w:szCs w:val="20"/>
                <w:color w:val="auto"/>
              </w:rPr>
            </w:pPr>
            <w:r>
              <w:rPr>
                <w:rFonts w:ascii="Arial" w:cs="Arial" w:eastAsia="Arial" w:hAnsi="Arial"/>
                <w:sz w:val="15"/>
                <w:szCs w:val="15"/>
                <w:color w:val="7B7C80"/>
                <w:w w:val="99"/>
              </w:rPr>
              <w:t>141,500</w:t>
            </w:r>
          </w:p>
        </w:tc>
        <w:tc>
          <w:tcPr>
            <w:tcW w:w="34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009CCC"/>
            </w:tcBorders>
          </w:tcPr>
          <w:p>
            <w:pPr>
              <w:jc w:val="right"/>
              <w:ind w:right="127"/>
              <w:spacing w:after="0" w:line="164" w:lineRule="exact"/>
              <w:rPr>
                <w:sz w:val="20"/>
                <w:szCs w:val="20"/>
                <w:color w:val="auto"/>
              </w:rPr>
            </w:pPr>
            <w:r>
              <w:rPr>
                <w:rFonts w:ascii="Arial" w:cs="Arial" w:eastAsia="Arial" w:hAnsi="Arial"/>
                <w:sz w:val="15"/>
                <w:szCs w:val="15"/>
                <w:color w:val="7B7C80"/>
                <w:w w:val="95"/>
              </w:rPr>
              <w:t>130,007</w:t>
            </w:r>
          </w:p>
        </w:tc>
        <w:tc>
          <w:tcPr>
            <w:tcW w:w="80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$271,507</w:t>
            </w:r>
          </w:p>
        </w:tc>
      </w:tr>
    </w:tbl>
    <w:p>
      <w:pPr>
        <w:spacing w:after="0" w:line="187" w:lineRule="exact"/>
        <w:rPr>
          <w:sz w:val="20"/>
          <w:szCs w:val="20"/>
          <w:color w:val="auto"/>
        </w:rPr>
      </w:pPr>
    </w:p>
    <w:p>
      <w:pPr>
        <w:jc w:val="both"/>
        <w:ind w:left="1828" w:hanging="455"/>
        <w:spacing w:after="0" w:line="244" w:lineRule="auto"/>
        <w:tabs>
          <w:tab w:leader="none" w:pos="182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These amounts reflect the grant date fair value of awards made in 2017 determined in accordance with FASB Accounting Standards Codification ("ASC") Topic 718. These awards do not reflect actual amounts realized or that may be realized by the recipients. While the 2014 Director Stock Plan (which was approved by shareholders) allows some discretion in determining the dollar value of RSUs that may annually be awarded, it imposes a maximum limit of $230,000 ($500,000 for an Independent Chairman) on the size of the annual award that may be made.</w:t>
      </w:r>
    </w:p>
    <w:p>
      <w:pPr>
        <w:spacing w:after="0" w:line="153"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Non Employee Directors' Deferred Compensation Plan</w:t>
      </w:r>
    </w:p>
    <w:p>
      <w:pPr>
        <w:spacing w:after="0" w:line="201" w:lineRule="exact"/>
        <w:rPr>
          <w:sz w:val="20"/>
          <w:szCs w:val="20"/>
          <w:color w:val="auto"/>
        </w:rPr>
      </w:pPr>
    </w:p>
    <w:p>
      <w:pPr>
        <w:ind w:left="8"/>
        <w:spacing w:after="0" w:line="247" w:lineRule="auto"/>
        <w:rPr>
          <w:sz w:val="20"/>
          <w:szCs w:val="20"/>
          <w:color w:val="auto"/>
        </w:rPr>
      </w:pPr>
      <w:r>
        <w:rPr>
          <w:rFonts w:ascii="Arial" w:cs="Arial" w:eastAsia="Arial" w:hAnsi="Arial"/>
          <w:sz w:val="15"/>
          <w:szCs w:val="15"/>
          <w:color w:val="7B7C80"/>
        </w:rPr>
        <w:t>Non employee Directors may defer the receipt of their cash compensation under the Deferred Compensation Plan for Non-Employee Directors of Principal Financial Group, Inc. This Plan has four investment options:</w:t>
      </w:r>
    </w:p>
    <w:p>
      <w:pPr>
        <w:spacing w:after="0" w:line="172" w:lineRule="exact"/>
        <w:rPr>
          <w:sz w:val="20"/>
          <w:szCs w:val="20"/>
          <w:color w:val="auto"/>
        </w:rPr>
      </w:pPr>
    </w:p>
    <w:p>
      <w:pPr>
        <w:ind w:left="448" w:hanging="448"/>
        <w:spacing w:after="0"/>
        <w:tabs>
          <w:tab w:leader="none" w:pos="448" w:val="left"/>
        </w:tabs>
        <w:numPr>
          <w:ilvl w:val="0"/>
          <w:numId w:val="18"/>
        </w:numPr>
        <w:rPr>
          <w:rFonts w:ascii="Arial" w:cs="Arial" w:eastAsia="Arial" w:hAnsi="Arial"/>
          <w:sz w:val="15"/>
          <w:szCs w:val="15"/>
          <w:color w:val="7B7C80"/>
        </w:rPr>
      </w:pPr>
      <w:r>
        <w:rPr>
          <w:rFonts w:ascii="Arial" w:cs="Arial" w:eastAsia="Arial" w:hAnsi="Arial"/>
          <w:sz w:val="15"/>
          <w:szCs w:val="15"/>
          <w:color w:val="7B7C80"/>
        </w:rPr>
        <w:t>Phantom units tied to the Company's Common Stock;</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18"/>
        </w:numPr>
        <w:rPr>
          <w:rFonts w:ascii="Arial" w:cs="Arial" w:eastAsia="Arial" w:hAnsi="Arial"/>
          <w:sz w:val="15"/>
          <w:szCs w:val="15"/>
          <w:color w:val="7B7C80"/>
        </w:rPr>
      </w:pPr>
      <w:r>
        <w:rPr>
          <w:rFonts w:ascii="Arial" w:cs="Arial" w:eastAsia="Arial" w:hAnsi="Arial"/>
          <w:sz w:val="15"/>
          <w:szCs w:val="15"/>
          <w:color w:val="7B7C80"/>
        </w:rPr>
        <w:t>The Principal LargeCap S&amp;P 500 Index R5 Fund;</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8"/>
        </w:numPr>
        <w:rPr>
          <w:rFonts w:ascii="Arial" w:cs="Arial" w:eastAsia="Arial" w:hAnsi="Arial"/>
          <w:sz w:val="15"/>
          <w:szCs w:val="15"/>
          <w:color w:val="7B7C80"/>
        </w:rPr>
      </w:pPr>
      <w:r>
        <w:rPr>
          <w:rFonts w:ascii="Arial" w:cs="Arial" w:eastAsia="Arial" w:hAnsi="Arial"/>
          <w:sz w:val="15"/>
          <w:szCs w:val="15"/>
          <w:color w:val="7B7C80"/>
        </w:rPr>
        <w:t>The Principal Real Estate Securities R5 Fund; and</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18"/>
        </w:numPr>
        <w:rPr>
          <w:rFonts w:ascii="Arial" w:cs="Arial" w:eastAsia="Arial" w:hAnsi="Arial"/>
          <w:sz w:val="15"/>
          <w:szCs w:val="15"/>
          <w:color w:val="7B7C80"/>
        </w:rPr>
      </w:pPr>
      <w:r>
        <w:rPr>
          <w:rFonts w:ascii="Arial" w:cs="Arial" w:eastAsia="Arial" w:hAnsi="Arial"/>
          <w:sz w:val="15"/>
          <w:szCs w:val="15"/>
          <w:color w:val="7B7C80"/>
        </w:rPr>
        <w:t>The Principal Core Plus Bond R5 Fund.</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returns realized on these funds during 2017 were:</w:t>
      </w:r>
    </w:p>
    <w:p>
      <w:pPr>
        <w:spacing w:after="0" w:line="332" w:lineRule="exact"/>
        <w:rPr>
          <w:sz w:val="20"/>
          <w:szCs w:val="20"/>
          <w:color w:val="auto"/>
        </w:rPr>
      </w:pPr>
    </w:p>
    <w:tbl>
      <w:tblPr>
        <w:tblLayout w:type="fixed"/>
        <w:tblInd w:w="1368" w:type="dxa"/>
        <w:tblCellMar>
          <w:top w:w="0" w:type="dxa"/>
          <w:left w:w="0" w:type="dxa"/>
          <w:bottom w:w="0" w:type="dxa"/>
          <w:right w:w="0" w:type="dxa"/>
        </w:tblCellMar>
      </w:tblPr>
      <w:tr>
        <w:trPr>
          <w:trHeight w:val="139"/>
        </w:trPr>
        <w:tc>
          <w:tcPr>
            <w:tcW w:w="5400" w:type="dxa"/>
            <w:vAlign w:val="bottom"/>
            <w:tcBorders>
              <w:top w:val="single" w:sz="8" w:color="009CCC"/>
            </w:tcBorders>
          </w:tcPr>
          <w:p>
            <w:pPr>
              <w:spacing w:after="0"/>
              <w:rPr>
                <w:sz w:val="12"/>
                <w:szCs w:val="12"/>
                <w:color w:val="auto"/>
              </w:rPr>
            </w:pPr>
          </w:p>
        </w:tc>
        <w:tc>
          <w:tcPr>
            <w:tcW w:w="3180" w:type="dxa"/>
            <w:vAlign w:val="bottom"/>
            <w:tcBorders>
              <w:top w:val="single" w:sz="8" w:color="009CCC"/>
            </w:tcBorders>
          </w:tcPr>
          <w:p>
            <w:pPr>
              <w:jc w:val="right"/>
              <w:spacing w:after="0"/>
              <w:rPr>
                <w:sz w:val="20"/>
                <w:szCs w:val="20"/>
                <w:color w:val="auto"/>
              </w:rPr>
            </w:pPr>
            <w:r>
              <w:rPr>
                <w:rFonts w:ascii="Arial" w:cs="Arial" w:eastAsia="Arial" w:hAnsi="Arial"/>
                <w:sz w:val="12"/>
                <w:szCs w:val="12"/>
                <w:b w:val="1"/>
                <w:bCs w:val="1"/>
                <w:color w:val="009CCC"/>
              </w:rPr>
              <w:t>1 Year Rate Of Return</w:t>
            </w:r>
          </w:p>
        </w:tc>
      </w:tr>
      <w:tr>
        <w:trPr>
          <w:trHeight w:val="147"/>
        </w:trPr>
        <w:tc>
          <w:tcPr>
            <w:tcW w:w="540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Investment Option</w:t>
            </w:r>
          </w:p>
        </w:tc>
        <w:tc>
          <w:tcPr>
            <w:tcW w:w="318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(12/31/2017)</w:t>
            </w:r>
          </w:p>
        </w:tc>
      </w:tr>
      <w:tr>
        <w:trPr>
          <w:trHeight w:val="163"/>
        </w:trPr>
        <w:tc>
          <w:tcPr>
            <w:tcW w:w="540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Principal Financial Group, Inc. Employer Stock Fund</w:t>
            </w:r>
          </w:p>
        </w:tc>
        <w:tc>
          <w:tcPr>
            <w:tcW w:w="31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25.18%</w:t>
            </w:r>
          </w:p>
        </w:tc>
      </w:tr>
      <w:tr>
        <w:trPr>
          <w:trHeight w:val="163"/>
        </w:trPr>
        <w:tc>
          <w:tcPr>
            <w:tcW w:w="540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Principal LargeCap S&amp;P 500 Index R5 Fund</w:t>
            </w:r>
          </w:p>
        </w:tc>
        <w:tc>
          <w:tcPr>
            <w:tcW w:w="31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21.25%</w:t>
            </w:r>
          </w:p>
        </w:tc>
      </w:tr>
      <w:tr>
        <w:trPr>
          <w:trHeight w:val="163"/>
        </w:trPr>
        <w:tc>
          <w:tcPr>
            <w:tcW w:w="540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Principal Real Estate Securities R5 Fund</w:t>
            </w:r>
          </w:p>
        </w:tc>
        <w:tc>
          <w:tcPr>
            <w:tcW w:w="31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8.85%</w:t>
            </w:r>
          </w:p>
        </w:tc>
      </w:tr>
      <w:tr>
        <w:trPr>
          <w:trHeight w:val="166"/>
        </w:trPr>
        <w:tc>
          <w:tcPr>
            <w:tcW w:w="5400" w:type="dxa"/>
            <w:vAlign w:val="bottom"/>
            <w:tcBorders>
              <w:bottom w:val="single" w:sz="8" w:color="009CCC"/>
            </w:tcBorders>
            <w:shd w:val="clear" w:color="auto" w:fill="E7E6E7"/>
          </w:tcPr>
          <w:p>
            <w:pPr>
              <w:spacing w:after="0" w:line="164" w:lineRule="exact"/>
              <w:rPr>
                <w:sz w:val="20"/>
                <w:szCs w:val="20"/>
                <w:color w:val="auto"/>
              </w:rPr>
            </w:pPr>
            <w:r>
              <w:rPr>
                <w:rFonts w:ascii="Arial" w:cs="Arial" w:eastAsia="Arial" w:hAnsi="Arial"/>
                <w:sz w:val="15"/>
                <w:szCs w:val="15"/>
                <w:color w:val="7B7C80"/>
              </w:rPr>
              <w:t>Principal Core Plus Bond R5 Fund</w:t>
            </w:r>
          </w:p>
        </w:tc>
        <w:tc>
          <w:tcPr>
            <w:tcW w:w="3180" w:type="dxa"/>
            <w:vAlign w:val="bottom"/>
            <w:tcBorders>
              <w:bottom w:val="single" w:sz="8" w:color="009CCC"/>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4.65%</w:t>
            </w:r>
          </w:p>
        </w:tc>
      </w:tr>
    </w:tbl>
    <w:p>
      <w:pPr>
        <w:spacing w:after="0" w:line="16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Restricted Stock Unit Grants</w:t>
      </w:r>
    </w:p>
    <w:p>
      <w:pPr>
        <w:spacing w:after="0" w:line="201" w:lineRule="exact"/>
        <w:rPr>
          <w:sz w:val="20"/>
          <w:szCs w:val="20"/>
          <w:color w:val="auto"/>
        </w:rPr>
      </w:pPr>
    </w:p>
    <w:p>
      <w:pPr>
        <w:jc w:val="both"/>
        <w:ind w:left="8"/>
        <w:spacing w:after="0"/>
        <w:rPr>
          <w:sz w:val="20"/>
          <w:szCs w:val="20"/>
          <w:color w:val="auto"/>
        </w:rPr>
      </w:pPr>
      <w:r>
        <w:rPr>
          <w:rFonts w:ascii="Arial" w:cs="Arial" w:eastAsia="Arial" w:hAnsi="Arial"/>
          <w:sz w:val="15"/>
          <w:szCs w:val="15"/>
          <w:color w:val="7B7C80"/>
        </w:rPr>
        <w:t>Non employee Directors receive an annual grant of Restricted Stock Units ("RSUs") under the Principal Financial Group, Inc. 2014 Directors Stock Plan. RSUs are granted at the time of the annual meeting, vest at the next annual meeting and are deferred at least until the date the Director leaves the Board. At payout, the RSUs are converted to shares of Common Stock. Dividend equivalents become additional RSUs, which vest and are converted to Common Stock at the same time and to the same extent as the underlying RSU. The Nominating and Governance Committee has the discretion to make a prorated grant of RSUs to Directors who join the Board at a time other than at the annual meeting. While the 2014 Director Stock Plan (which was approved by shareholders) allows some discretion in determining the dollar value of RSUs that may annually be awarded, it imposes a maximum limit of $230,000 ($500,000 for an Independent Chairman) on the size of the annual award that may be made.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112395</wp:posOffset>
            </wp:positionV>
            <wp:extent cx="960120" cy="2838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7"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21</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24" w:name="page25"/>
    <w:bookmarkEnd w:id="24"/>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jc w:val="both"/>
        <w:ind w:right="20"/>
        <w:spacing w:after="0" w:line="247" w:lineRule="auto"/>
        <w:rPr>
          <w:sz w:val="20"/>
          <w:szCs w:val="20"/>
          <w:color w:val="auto"/>
        </w:rPr>
      </w:pPr>
      <w:r>
        <w:rPr>
          <w:rFonts w:ascii="Arial" w:cs="Arial" w:eastAsia="Arial" w:hAnsi="Arial"/>
          <w:sz w:val="15"/>
          <w:szCs w:val="15"/>
          <w:color w:val="7B7C80"/>
        </w:rPr>
        <w:t>As of December 31, 2017, each Non employee Director had the following aggregate number of outstanding RSUs, including additional RSUs received as the result of dividend equivalents:</w:t>
      </w:r>
    </w:p>
    <w:p>
      <w:pPr>
        <w:spacing w:after="0" w:line="321" w:lineRule="exact"/>
        <w:rPr>
          <w:sz w:val="20"/>
          <w:szCs w:val="20"/>
          <w:color w:val="auto"/>
        </w:rPr>
      </w:pPr>
    </w:p>
    <w:tbl>
      <w:tblPr>
        <w:tblLayout w:type="fixed"/>
        <w:tblInd w:w="1360" w:type="dxa"/>
        <w:tblCellMar>
          <w:top w:w="0" w:type="dxa"/>
          <w:left w:w="0" w:type="dxa"/>
          <w:bottom w:w="0" w:type="dxa"/>
          <w:right w:w="0" w:type="dxa"/>
        </w:tblCellMar>
      </w:tblPr>
      <w:tr>
        <w:trPr>
          <w:trHeight w:val="139"/>
        </w:trPr>
        <w:tc>
          <w:tcPr>
            <w:tcW w:w="4280" w:type="dxa"/>
            <w:vAlign w:val="bottom"/>
            <w:tcBorders>
              <w:top w:val="single" w:sz="8" w:color="009CCC"/>
            </w:tcBorders>
          </w:tcPr>
          <w:p>
            <w:pPr>
              <w:spacing w:after="0"/>
              <w:rPr>
                <w:sz w:val="12"/>
                <w:szCs w:val="12"/>
                <w:color w:val="auto"/>
              </w:rPr>
            </w:pPr>
          </w:p>
        </w:tc>
        <w:tc>
          <w:tcPr>
            <w:tcW w:w="4300" w:type="dxa"/>
            <w:vAlign w:val="bottom"/>
            <w:tcBorders>
              <w:top w:val="single" w:sz="8" w:color="009CCC"/>
            </w:tcBorders>
          </w:tcPr>
          <w:p>
            <w:pPr>
              <w:jc w:val="right"/>
              <w:spacing w:after="0"/>
              <w:rPr>
                <w:sz w:val="20"/>
                <w:szCs w:val="20"/>
                <w:color w:val="auto"/>
              </w:rPr>
            </w:pPr>
            <w:r>
              <w:rPr>
                <w:rFonts w:ascii="Arial" w:cs="Arial" w:eastAsia="Arial" w:hAnsi="Arial"/>
                <w:sz w:val="12"/>
                <w:szCs w:val="12"/>
                <w:b w:val="1"/>
                <w:bCs w:val="1"/>
                <w:color w:val="009CCC"/>
              </w:rPr>
              <w:t>Total RSUs Outstanding</w:t>
            </w:r>
          </w:p>
        </w:tc>
      </w:tr>
      <w:tr>
        <w:trPr>
          <w:trHeight w:val="137"/>
        </w:trPr>
        <w:tc>
          <w:tcPr>
            <w:tcW w:w="4280" w:type="dxa"/>
            <w:vAlign w:val="bottom"/>
          </w:tcPr>
          <w:p>
            <w:pPr>
              <w:spacing w:after="0"/>
              <w:rPr>
                <w:sz w:val="11"/>
                <w:szCs w:val="11"/>
                <w:color w:val="auto"/>
              </w:rPr>
            </w:pPr>
          </w:p>
        </w:tc>
        <w:tc>
          <w:tcPr>
            <w:tcW w:w="4300" w:type="dxa"/>
            <w:vAlign w:val="bottom"/>
          </w:tcPr>
          <w:p>
            <w:pPr>
              <w:jc w:val="right"/>
              <w:spacing w:after="0"/>
              <w:rPr>
                <w:sz w:val="20"/>
                <w:szCs w:val="20"/>
                <w:color w:val="auto"/>
              </w:rPr>
            </w:pPr>
            <w:r>
              <w:rPr>
                <w:rFonts w:ascii="Arial" w:cs="Arial" w:eastAsia="Arial" w:hAnsi="Arial"/>
                <w:sz w:val="12"/>
                <w:szCs w:val="12"/>
                <w:b w:val="1"/>
                <w:bCs w:val="1"/>
                <w:color w:val="009CCC"/>
              </w:rPr>
              <w:t>Fiscal Year End 2017</w:t>
            </w:r>
          </w:p>
        </w:tc>
      </w:tr>
      <w:tr>
        <w:trPr>
          <w:trHeight w:val="147"/>
        </w:trPr>
        <w:tc>
          <w:tcPr>
            <w:tcW w:w="428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Director Name</w:t>
            </w:r>
          </w:p>
        </w:tc>
        <w:tc>
          <w:tcPr>
            <w:tcW w:w="430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(Shares)</w:t>
            </w:r>
          </w:p>
        </w:tc>
      </w:tr>
      <w:tr>
        <w:trPr>
          <w:trHeight w:val="163"/>
        </w:trPr>
        <w:tc>
          <w:tcPr>
            <w:tcW w:w="42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Betsy J. Bernard</w:t>
            </w:r>
          </w:p>
        </w:tc>
        <w:tc>
          <w:tcPr>
            <w:tcW w:w="43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41,943</w:t>
            </w:r>
          </w:p>
        </w:tc>
      </w:tr>
      <w:tr>
        <w:trPr>
          <w:trHeight w:val="163"/>
        </w:trPr>
        <w:tc>
          <w:tcPr>
            <w:tcW w:w="42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Jocelyn Carter-Miller</w:t>
            </w:r>
          </w:p>
        </w:tc>
        <w:tc>
          <w:tcPr>
            <w:tcW w:w="43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44,044</w:t>
            </w:r>
          </w:p>
        </w:tc>
      </w:tr>
      <w:tr>
        <w:trPr>
          <w:trHeight w:val="163"/>
        </w:trPr>
        <w:tc>
          <w:tcPr>
            <w:tcW w:w="42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Michael T. Dan</w:t>
            </w:r>
          </w:p>
        </w:tc>
        <w:tc>
          <w:tcPr>
            <w:tcW w:w="43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39,323</w:t>
            </w:r>
          </w:p>
        </w:tc>
      </w:tr>
      <w:tr>
        <w:trPr>
          <w:trHeight w:val="163"/>
        </w:trPr>
        <w:tc>
          <w:tcPr>
            <w:tcW w:w="42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Dennis H. Ferro</w:t>
            </w:r>
          </w:p>
        </w:tc>
        <w:tc>
          <w:tcPr>
            <w:tcW w:w="43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25,993</w:t>
            </w:r>
          </w:p>
        </w:tc>
      </w:tr>
      <w:tr>
        <w:trPr>
          <w:trHeight w:val="163"/>
        </w:trPr>
        <w:tc>
          <w:tcPr>
            <w:tcW w:w="42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C. Daniel Gelatt</w:t>
            </w:r>
          </w:p>
        </w:tc>
        <w:tc>
          <w:tcPr>
            <w:tcW w:w="43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47,019</w:t>
            </w:r>
          </w:p>
        </w:tc>
      </w:tr>
      <w:tr>
        <w:trPr>
          <w:trHeight w:val="163"/>
        </w:trPr>
        <w:tc>
          <w:tcPr>
            <w:tcW w:w="42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Sandra L. Helton</w:t>
            </w:r>
          </w:p>
        </w:tc>
        <w:tc>
          <w:tcPr>
            <w:tcW w:w="43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41,943</w:t>
            </w:r>
          </w:p>
        </w:tc>
      </w:tr>
      <w:tr>
        <w:trPr>
          <w:trHeight w:val="163"/>
        </w:trPr>
        <w:tc>
          <w:tcPr>
            <w:tcW w:w="42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Roger C. Hochschild</w:t>
            </w:r>
          </w:p>
        </w:tc>
        <w:tc>
          <w:tcPr>
            <w:tcW w:w="43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8,357</w:t>
            </w:r>
          </w:p>
        </w:tc>
      </w:tr>
      <w:tr>
        <w:trPr>
          <w:trHeight w:val="163"/>
        </w:trPr>
        <w:tc>
          <w:tcPr>
            <w:tcW w:w="42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Scott M. Mills</w:t>
            </w:r>
          </w:p>
        </w:tc>
        <w:tc>
          <w:tcPr>
            <w:tcW w:w="43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4,523</w:t>
            </w:r>
          </w:p>
        </w:tc>
      </w:tr>
      <w:tr>
        <w:trPr>
          <w:trHeight w:val="163"/>
        </w:trPr>
        <w:tc>
          <w:tcPr>
            <w:tcW w:w="42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Diane C. Nordin</w:t>
            </w:r>
          </w:p>
        </w:tc>
        <w:tc>
          <w:tcPr>
            <w:tcW w:w="43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1,089</w:t>
            </w:r>
          </w:p>
        </w:tc>
      </w:tr>
      <w:tr>
        <w:trPr>
          <w:trHeight w:val="163"/>
        </w:trPr>
        <w:tc>
          <w:tcPr>
            <w:tcW w:w="42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Blair C. Pickerell</w:t>
            </w:r>
          </w:p>
        </w:tc>
        <w:tc>
          <w:tcPr>
            <w:tcW w:w="43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7,171</w:t>
            </w:r>
          </w:p>
        </w:tc>
      </w:tr>
      <w:tr>
        <w:trPr>
          <w:trHeight w:val="166"/>
        </w:trPr>
        <w:tc>
          <w:tcPr>
            <w:tcW w:w="4280" w:type="dxa"/>
            <w:vAlign w:val="bottom"/>
            <w:tcBorders>
              <w:bottom w:val="single" w:sz="8" w:color="009CCC"/>
            </w:tcBorders>
          </w:tcPr>
          <w:p>
            <w:pPr>
              <w:spacing w:after="0" w:line="164" w:lineRule="exact"/>
              <w:rPr>
                <w:sz w:val="20"/>
                <w:szCs w:val="20"/>
                <w:color w:val="auto"/>
              </w:rPr>
            </w:pPr>
            <w:r>
              <w:rPr>
                <w:rFonts w:ascii="Arial" w:cs="Arial" w:eastAsia="Arial" w:hAnsi="Arial"/>
                <w:sz w:val="15"/>
                <w:szCs w:val="15"/>
                <w:color w:val="7B7C80"/>
              </w:rPr>
              <w:t>Elizabeth E. Tallett</w:t>
            </w:r>
          </w:p>
        </w:tc>
        <w:tc>
          <w:tcPr>
            <w:tcW w:w="430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46,500</w:t>
            </w:r>
          </w:p>
        </w:tc>
      </w:tr>
    </w:tbl>
    <w:p>
      <w:pPr>
        <w:spacing w:after="0" w:line="168"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Other Compensation</w:t>
      </w:r>
    </w:p>
    <w:p>
      <w:pPr>
        <w:spacing w:after="0" w:line="201" w:lineRule="exact"/>
        <w:rPr>
          <w:sz w:val="20"/>
          <w:szCs w:val="20"/>
          <w:color w:val="auto"/>
        </w:rPr>
      </w:pPr>
    </w:p>
    <w:p>
      <w:pPr>
        <w:jc w:val="both"/>
        <w:spacing w:after="0" w:line="247" w:lineRule="auto"/>
        <w:rPr>
          <w:sz w:val="20"/>
          <w:szCs w:val="20"/>
          <w:color w:val="auto"/>
        </w:rPr>
      </w:pPr>
      <w:r>
        <w:rPr>
          <w:rFonts w:ascii="Arial" w:cs="Arial" w:eastAsia="Arial" w:hAnsi="Arial"/>
          <w:sz w:val="15"/>
          <w:szCs w:val="15"/>
          <w:color w:val="7B7C80"/>
        </w:rPr>
        <w:t>Principal Life matches charitable gifts up to $16,000 per non employee Director per year. These matching contributions are available during a Director's term and the following three years. Principal Life receives the charitable contribution tax deductions for the matching gifts.</w:t>
      </w:r>
    </w:p>
    <w:p>
      <w:pPr>
        <w:spacing w:after="0" w:line="172"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Directors are reimbursed for travel and other business expenses they incur while performing services for the Company. Directors' spouses/partners may accompany them to the annual Board strategic retreat. At this retreat, Principal pays for some of the travel expenses and amenities for Directors and their spouses/partners, such as meals and social events. Directors are also covered under the Company's Business Travel Accident Insurance Policy and Directors' and Officers' insurance coverage. In 2017 the total amount of perquisites provided to non employee Directors was less than $10,000 per director.</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Directors' Stock Ownership Guidelines</w:t>
      </w:r>
    </w:p>
    <w:p>
      <w:pPr>
        <w:spacing w:after="0" w:line="201" w:lineRule="exact"/>
        <w:rPr>
          <w:sz w:val="20"/>
          <w:szCs w:val="20"/>
          <w:color w:val="auto"/>
        </w:rPr>
      </w:pPr>
    </w:p>
    <w:p>
      <w:pPr>
        <w:jc w:val="both"/>
        <w:spacing w:after="0" w:line="241" w:lineRule="auto"/>
        <w:rPr>
          <w:sz w:val="20"/>
          <w:szCs w:val="20"/>
          <w:color w:val="auto"/>
        </w:rPr>
      </w:pPr>
      <w:r>
        <w:rPr>
          <w:rFonts w:ascii="Arial" w:cs="Arial" w:eastAsia="Arial" w:hAnsi="Arial"/>
          <w:sz w:val="15"/>
          <w:szCs w:val="15"/>
          <w:color w:val="7B7C80"/>
        </w:rPr>
        <w:t>To encourage Directors to accumulate a meaningful ownership level in the Company, the Board has had a "hold until retirement" stock ownership requirement since 2005. All RSU grants must be held while a Director is on the Board, and may only be converted to Common Stock when the Director's Board service ends. The Board has a guideline that Directors own interests in Common Stock equal to five times the annual Board cash retainer within five years of joining the Board. Directors have been able to achieve this level of ownership through the RSU hold until retirement requirement. Once this guideline is met, Directors do not need to buy additional stock if the guideline is no longer met due to a reduction in stock price, if the Director's ownership level is not reduced because of share sales.</w:t>
      </w:r>
    </w:p>
    <w:p>
      <w:pPr>
        <w:spacing w:after="0" w:line="15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Audit Committee Report</w:t>
      </w:r>
    </w:p>
    <w:p>
      <w:pPr>
        <w:spacing w:after="0" w:line="201"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The Audit Committee oversees the Company's financial reporting process. Company management has the primary responsibility for the financial statements and the reporting process, including the systems of internal controls. The Committee reviewed with management the audited financial statements for the fiscal year ended December 31, 2017, and discussed the quality, not just the acceptability, of the accounting principles, the reasonableness of significant judgments and the clarity of disclosures in the financial statements.</w:t>
      </w:r>
    </w:p>
    <w:p>
      <w:pPr>
        <w:spacing w:after="0" w:line="175"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The Committee discussed with Ernst &amp; Young LLP, the Company's independent auditor, the matters required to be discussed by the applicable Public Company Accounting Oversight Board ("PCAOB") standards. These standards require the independent auditor to communicate (i) the auditor's responsibility under standards of the PCAOB; (ii) an overview of the planned scope and timing of the audit; and (iii) significant findings from the audit, including the qualitative aspects of the entity's significant accounting practices, significant difficulties, if any, encountered in performing the audit, uncorrected misstatements identified during the audit, other than those the auditor believes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3195320</wp:posOffset>
            </wp:positionH>
            <wp:positionV relativeFrom="paragraph">
              <wp:posOffset>109220</wp:posOffset>
            </wp:positionV>
            <wp:extent cx="960120" cy="2838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2"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22</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25" w:name="page26"/>
    <w:bookmarkEnd w:id="2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spacing w:after="0"/>
        <w:rPr>
          <w:sz w:val="20"/>
          <w:szCs w:val="20"/>
          <w:color w:val="auto"/>
        </w:rPr>
      </w:pPr>
      <w:r>
        <w:rPr>
          <w:rFonts w:ascii="Arial" w:cs="Arial" w:eastAsia="Arial" w:hAnsi="Arial"/>
          <w:sz w:val="15"/>
          <w:szCs w:val="15"/>
          <w:color w:val="7B7C80"/>
        </w:rPr>
        <w:t>are trivial, if any, any disagreements with management, and any other issues arising from the audit that are significant or relevant to those charged with governance.</w:t>
      </w:r>
    </w:p>
    <w:p>
      <w:pPr>
        <w:spacing w:after="0" w:line="183"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The Committee received from Ernst &amp; Young LLP, the written disclosures and letter required by applicable requirements of the PCAOB regarding the independent auditor's communications with the Committee concerning independence. The Committee has discussed with Ernst &amp; Young LLP its independence and Ernst &amp; Young LLP has confirmed in its letter that, in its professional judgment, it is independent of the Company within the meaning of the federal securities laws.</w:t>
      </w:r>
    </w:p>
    <w:p>
      <w:pPr>
        <w:spacing w:after="0" w:line="175"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The Committee discussed with the Company's internal and independent auditors the overall scope and plans for their respective audits. The Committee meets with the internal and independent auditors, with and without management present, to discuss the results of their examinations, their evaluations of the Company's internal controls and the overall quality of the Company's financial reporting.</w:t>
      </w:r>
    </w:p>
    <w:p>
      <w:pPr>
        <w:spacing w:after="0" w:line="175"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In reliance on the reviews and discussions referred to above, the Committee recommended to the Board (and the Board approved) that the audited financial statements be included in the Company's Annual Report on Form 10-K for the year ended December 31, 2017, for filing with the Securities and Exchange Commission (SEC). The Committee has also approved, subject to shareholder ratification, the appointment of Ernst &amp; Young LLP as the Company's independent auditors for the fiscal year ending December 31, 2018.</w:t>
      </w:r>
    </w:p>
    <w:p>
      <w:pPr>
        <w:spacing w:after="0" w:line="175"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The Committee does not have the responsibility to plan or conduct audits or to determine that the Company's financial statements are complete and accurate and in accordance with generally accepted accounting principles. That is the responsibility of the Company's independent auditor and management. In giving our recommendation to the Board, the Committee has relied on (i) management's representation that such financial statements have been prepared with integrity and objectivity and in conformity with generally accepted accounting principles, and (ii) the report of the Company's independent auditor with respect to such financial statements.</w:t>
      </w:r>
    </w:p>
    <w:p>
      <w:pPr>
        <w:spacing w:after="0" w:line="174" w:lineRule="exact"/>
        <w:rPr>
          <w:sz w:val="20"/>
          <w:szCs w:val="20"/>
          <w:color w:val="auto"/>
        </w:rPr>
      </w:pPr>
    </w:p>
    <w:p>
      <w:pPr>
        <w:spacing w:after="0"/>
        <w:rPr>
          <w:sz w:val="20"/>
          <w:szCs w:val="20"/>
          <w:color w:val="auto"/>
        </w:rPr>
      </w:pPr>
      <w:r>
        <w:rPr>
          <w:rFonts w:ascii="Arial" w:cs="Arial" w:eastAsia="Arial" w:hAnsi="Arial"/>
          <w:sz w:val="15"/>
          <w:szCs w:val="15"/>
          <w:color w:val="7B7C80"/>
        </w:rPr>
        <w:t>Sandra L. Helton, Chair</w:t>
      </w:r>
    </w:p>
    <w:p>
      <w:pPr>
        <w:spacing w:after="0"/>
        <w:rPr>
          <w:sz w:val="20"/>
          <w:szCs w:val="20"/>
          <w:color w:val="auto"/>
        </w:rPr>
      </w:pPr>
      <w:r>
        <w:rPr>
          <w:rFonts w:ascii="Arial" w:cs="Arial" w:eastAsia="Arial" w:hAnsi="Arial"/>
          <w:sz w:val="15"/>
          <w:szCs w:val="15"/>
          <w:color w:val="7B7C80"/>
        </w:rPr>
        <w:t>Betsy J. Bernard</w:t>
      </w:r>
    </w:p>
    <w:p>
      <w:pPr>
        <w:spacing w:after="0"/>
        <w:rPr>
          <w:sz w:val="20"/>
          <w:szCs w:val="20"/>
          <w:color w:val="auto"/>
        </w:rPr>
      </w:pPr>
      <w:r>
        <w:rPr>
          <w:rFonts w:ascii="Arial" w:cs="Arial" w:eastAsia="Arial" w:hAnsi="Arial"/>
          <w:sz w:val="15"/>
          <w:szCs w:val="15"/>
          <w:color w:val="7B7C80"/>
        </w:rPr>
        <w:t>C. Daniel Gelatt</w:t>
      </w:r>
    </w:p>
    <w:p>
      <w:pPr>
        <w:spacing w:after="0"/>
        <w:rPr>
          <w:sz w:val="20"/>
          <w:szCs w:val="20"/>
          <w:color w:val="auto"/>
        </w:rPr>
      </w:pPr>
      <w:r>
        <w:rPr>
          <w:rFonts w:ascii="Arial" w:cs="Arial" w:eastAsia="Arial" w:hAnsi="Arial"/>
          <w:sz w:val="15"/>
          <w:szCs w:val="15"/>
          <w:color w:val="7B7C80"/>
        </w:rPr>
        <w:t>Roger C. Hochschild</w:t>
      </w:r>
    </w:p>
    <w:p>
      <w:pPr>
        <w:spacing w:after="0"/>
        <w:rPr>
          <w:sz w:val="20"/>
          <w:szCs w:val="20"/>
          <w:color w:val="auto"/>
        </w:rPr>
      </w:pPr>
      <w:r>
        <w:rPr>
          <w:rFonts w:ascii="Arial" w:cs="Arial" w:eastAsia="Arial" w:hAnsi="Arial"/>
          <w:sz w:val="15"/>
          <w:szCs w:val="15"/>
          <w:color w:val="7B7C80"/>
        </w:rPr>
        <w:t>Scott Mills</w:t>
      </w:r>
    </w:p>
    <w:p>
      <w:pPr>
        <w:spacing w:after="0"/>
        <w:rPr>
          <w:sz w:val="20"/>
          <w:szCs w:val="20"/>
          <w:color w:val="auto"/>
        </w:rPr>
      </w:pPr>
      <w:r>
        <w:rPr>
          <w:rFonts w:ascii="Arial" w:cs="Arial" w:eastAsia="Arial" w:hAnsi="Arial"/>
          <w:sz w:val="15"/>
          <w:szCs w:val="15"/>
          <w:color w:val="7B7C80"/>
        </w:rPr>
        <w:t>Diane C. Nordin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114300</wp:posOffset>
            </wp:positionV>
            <wp:extent cx="960120" cy="28384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300"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23</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26" w:name="page27"/>
    <w:bookmarkEnd w:id="26"/>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p>
      <w:pPr>
        <w:jc w:val="center"/>
        <w:ind w:right="72"/>
        <w:spacing w:after="0"/>
        <w:rPr>
          <w:sz w:val="20"/>
          <w:szCs w:val="20"/>
          <w:color w:val="auto"/>
        </w:rPr>
      </w:pPr>
      <w:r>
        <w:rPr>
          <w:rFonts w:ascii="Arial" w:cs="Arial" w:eastAsia="Arial" w:hAnsi="Arial"/>
          <w:sz w:val="27"/>
          <w:szCs w:val="27"/>
          <w:b w:val="1"/>
          <w:bCs w:val="1"/>
          <w:color w:val="7B7C80"/>
        </w:rPr>
        <w:t>Executive Compensation</w:t>
      </w:r>
    </w:p>
    <w:p>
      <w:pPr>
        <w:spacing w:after="0" w:line="209" w:lineRule="exact"/>
        <w:rPr>
          <w:sz w:val="20"/>
          <w:szCs w:val="20"/>
          <w:color w:val="auto"/>
        </w:rPr>
      </w:pPr>
    </w:p>
    <w:tbl>
      <w:tblPr>
        <w:tblLayout w:type="fixed"/>
        <w:tblInd w:w="1148" w:type="dxa"/>
        <w:tblCellMar>
          <w:top w:w="0" w:type="dxa"/>
          <w:left w:w="0" w:type="dxa"/>
          <w:bottom w:w="0" w:type="dxa"/>
          <w:right w:w="0" w:type="dxa"/>
        </w:tblCellMar>
      </w:tblPr>
      <w:tr>
        <w:trPr>
          <w:trHeight w:val="190"/>
        </w:trPr>
        <w:tc>
          <w:tcPr>
            <w:tcW w:w="4880" w:type="dxa"/>
            <w:vAlign w:val="bottom"/>
            <w:gridSpan w:val="21"/>
          </w:tcPr>
          <w:p>
            <w:pPr>
              <w:spacing w:after="0"/>
              <w:rPr>
                <w:sz w:val="20"/>
                <w:szCs w:val="20"/>
                <w:color w:val="auto"/>
              </w:rPr>
            </w:pPr>
            <w:r>
              <w:rPr>
                <w:rFonts w:ascii="Arial" w:cs="Arial" w:eastAsia="Arial" w:hAnsi="Arial"/>
                <w:sz w:val="15"/>
                <w:szCs w:val="15"/>
                <w:b w:val="1"/>
                <w:bCs w:val="1"/>
                <w:color w:val="7B7C80"/>
              </w:rPr>
              <w:t>Contents:</w:t>
            </w:r>
          </w:p>
        </w:tc>
        <w:tc>
          <w:tcPr>
            <w:tcW w:w="4260" w:type="dxa"/>
            <w:vAlign w:val="bottom"/>
            <w:gridSpan w:val="3"/>
          </w:tcPr>
          <w:p>
            <w:pPr>
              <w:jc w:val="center"/>
              <w:ind w:left="3826"/>
              <w:spacing w:after="0"/>
              <w:rPr>
                <w:sz w:val="20"/>
                <w:szCs w:val="20"/>
                <w:color w:val="auto"/>
              </w:rPr>
            </w:pPr>
            <w:r>
              <w:rPr>
                <w:rFonts w:ascii="Arial" w:cs="Arial" w:eastAsia="Arial" w:hAnsi="Arial"/>
                <w:sz w:val="15"/>
                <w:szCs w:val="15"/>
                <w:b w:val="1"/>
                <w:bCs w:val="1"/>
                <w:color w:val="7B7C80"/>
              </w:rPr>
              <w:t>Page</w:t>
            </w:r>
          </w:p>
        </w:tc>
      </w:tr>
      <w:tr>
        <w:trPr>
          <w:trHeight w:val="146"/>
        </w:trPr>
        <w:tc>
          <w:tcPr>
            <w:tcW w:w="3120" w:type="dxa"/>
            <w:vAlign w:val="bottom"/>
            <w:gridSpan w:val="17"/>
          </w:tcPr>
          <w:p>
            <w:pPr>
              <w:spacing w:after="0" w:line="146" w:lineRule="exact"/>
              <w:rPr>
                <w:rFonts w:ascii="Arial" w:cs="Arial" w:eastAsia="Arial" w:hAnsi="Arial"/>
                <w:sz w:val="15"/>
                <w:szCs w:val="15"/>
                <w:color w:val="7B7C80"/>
                <w:w w:val="98"/>
              </w:rPr>
            </w:pPr>
            <w:hyperlink w:anchor="page27">
              <w:r>
                <w:rPr>
                  <w:rFonts w:ascii="Arial" w:cs="Arial" w:eastAsia="Arial" w:hAnsi="Arial"/>
                  <w:sz w:val="15"/>
                  <w:szCs w:val="15"/>
                  <w:color w:val="7B7C80"/>
                  <w:w w:val="98"/>
                </w:rPr>
                <w:t>Compensation Discussion &amp; Analysis ("CD&amp;A")</w:t>
              </w:r>
            </w:hyperlink>
          </w:p>
        </w:tc>
        <w:tc>
          <w:tcPr>
            <w:tcW w:w="1760" w:type="dxa"/>
            <w:vAlign w:val="bottom"/>
            <w:gridSpan w:val="4"/>
          </w:tcPr>
          <w:p>
            <w:pPr>
              <w:spacing w:after="0"/>
              <w:rPr>
                <w:sz w:val="12"/>
                <w:szCs w:val="12"/>
                <w:color w:val="auto"/>
              </w:rPr>
            </w:pPr>
          </w:p>
        </w:tc>
        <w:tc>
          <w:tcPr>
            <w:tcW w:w="4000" w:type="dxa"/>
            <w:vAlign w:val="bottom"/>
          </w:tcPr>
          <w:p>
            <w:pPr>
              <w:spacing w:after="0"/>
              <w:rPr>
                <w:sz w:val="12"/>
                <w:szCs w:val="12"/>
                <w:color w:val="auto"/>
              </w:rPr>
            </w:pPr>
          </w:p>
        </w:tc>
        <w:tc>
          <w:tcPr>
            <w:tcW w:w="260" w:type="dxa"/>
            <w:vAlign w:val="bottom"/>
            <w:gridSpan w:val="2"/>
          </w:tcPr>
          <w:p>
            <w:pPr>
              <w:jc w:val="center"/>
              <w:ind w:right="80"/>
              <w:spacing w:after="0" w:line="146" w:lineRule="exact"/>
              <w:rPr>
                <w:rFonts w:ascii="Arial" w:cs="Arial" w:eastAsia="Arial" w:hAnsi="Arial"/>
                <w:sz w:val="15"/>
                <w:szCs w:val="15"/>
                <w:color w:val="7B7C80"/>
              </w:rPr>
            </w:pPr>
            <w:hyperlink w:anchor="page27">
              <w:r>
                <w:rPr>
                  <w:rFonts w:ascii="Arial" w:cs="Arial" w:eastAsia="Arial" w:hAnsi="Arial"/>
                  <w:sz w:val="15"/>
                  <w:szCs w:val="15"/>
                  <w:color w:val="7B7C80"/>
                </w:rPr>
                <w:t>24</w:t>
              </w:r>
            </w:hyperlink>
          </w:p>
        </w:tc>
      </w:tr>
      <w:tr>
        <w:trPr>
          <w:trHeight w:val="20"/>
        </w:trPr>
        <w:tc>
          <w:tcPr>
            <w:tcW w:w="400" w:type="dxa"/>
            <w:vAlign w:val="bottom"/>
            <w:shd w:val="clear" w:color="auto" w:fill="7B7C80"/>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28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28">
              <w:r>
                <w:rPr>
                  <w:rFonts w:ascii="Arial" w:cs="Arial" w:eastAsia="Arial" w:hAnsi="Arial"/>
                  <w:sz w:val="15"/>
                  <w:szCs w:val="15"/>
                  <w:u w:val="single" w:color="auto"/>
                  <w:color w:val="7B7C80"/>
                </w:rPr>
                <w:t>•</w:t>
              </w:r>
            </w:hyperlink>
          </w:p>
        </w:tc>
        <w:tc>
          <w:tcPr>
            <w:tcW w:w="2720" w:type="dxa"/>
            <w:vAlign w:val="bottom"/>
            <w:gridSpan w:val="16"/>
          </w:tcPr>
          <w:p>
            <w:pPr>
              <w:spacing w:after="0" w:line="141" w:lineRule="exact"/>
              <w:rPr>
                <w:rFonts w:ascii="Arial" w:cs="Arial" w:eastAsia="Arial" w:hAnsi="Arial"/>
                <w:sz w:val="15"/>
                <w:szCs w:val="15"/>
                <w:color w:val="7B7C80"/>
              </w:rPr>
            </w:pPr>
            <w:hyperlink w:anchor="page28">
              <w:r>
                <w:rPr>
                  <w:rFonts w:ascii="Arial" w:cs="Arial" w:eastAsia="Arial" w:hAnsi="Arial"/>
                  <w:sz w:val="15"/>
                  <w:szCs w:val="15"/>
                  <w:color w:val="7B7C80"/>
                </w:rPr>
                <w:t>2017 Company Performance Highlights</w:t>
              </w:r>
            </w:hyperlink>
          </w:p>
        </w:tc>
        <w:tc>
          <w:tcPr>
            <w:tcW w:w="1760" w:type="dxa"/>
            <w:vAlign w:val="bottom"/>
            <w:gridSpan w:val="4"/>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28">
              <w:r>
                <w:rPr>
                  <w:rFonts w:ascii="Arial" w:cs="Arial" w:eastAsia="Arial" w:hAnsi="Arial"/>
                  <w:sz w:val="15"/>
                  <w:szCs w:val="15"/>
                  <w:color w:val="7B7C80"/>
                </w:rPr>
                <w:t>25</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28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28">
              <w:r>
                <w:rPr>
                  <w:rFonts w:ascii="Arial" w:cs="Arial" w:eastAsia="Arial" w:hAnsi="Arial"/>
                  <w:sz w:val="15"/>
                  <w:szCs w:val="15"/>
                  <w:u w:val="single" w:color="auto"/>
                  <w:color w:val="7B7C80"/>
                </w:rPr>
                <w:t>•</w:t>
              </w:r>
            </w:hyperlink>
          </w:p>
        </w:tc>
        <w:tc>
          <w:tcPr>
            <w:tcW w:w="2040" w:type="dxa"/>
            <w:vAlign w:val="bottom"/>
            <w:gridSpan w:val="8"/>
          </w:tcPr>
          <w:p>
            <w:pPr>
              <w:spacing w:after="0" w:line="141" w:lineRule="exact"/>
              <w:rPr>
                <w:rFonts w:ascii="Arial" w:cs="Arial" w:eastAsia="Arial" w:hAnsi="Arial"/>
                <w:sz w:val="15"/>
                <w:szCs w:val="15"/>
                <w:color w:val="7B7C80"/>
                <w:w w:val="98"/>
              </w:rPr>
            </w:pPr>
            <w:hyperlink w:anchor="page28">
              <w:r>
                <w:rPr>
                  <w:rFonts w:ascii="Arial" w:cs="Arial" w:eastAsia="Arial" w:hAnsi="Arial"/>
                  <w:sz w:val="15"/>
                  <w:szCs w:val="15"/>
                  <w:color w:val="7B7C80"/>
                  <w:w w:val="98"/>
                </w:rPr>
                <w:t>2017 Compensation Highlights</w:t>
              </w:r>
            </w:hyperlink>
          </w:p>
        </w:tc>
        <w:tc>
          <w:tcPr>
            <w:tcW w:w="560" w:type="dxa"/>
            <w:vAlign w:val="bottom"/>
            <w:gridSpan w:val="6"/>
          </w:tcPr>
          <w:p>
            <w:pPr>
              <w:spacing w:after="0"/>
              <w:rPr>
                <w:sz w:val="13"/>
                <w:szCs w:val="13"/>
                <w:color w:val="auto"/>
              </w:rPr>
            </w:pPr>
          </w:p>
        </w:tc>
        <w:tc>
          <w:tcPr>
            <w:tcW w:w="1880" w:type="dxa"/>
            <w:vAlign w:val="bottom"/>
            <w:gridSpan w:val="6"/>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28">
              <w:r>
                <w:rPr>
                  <w:rFonts w:ascii="Arial" w:cs="Arial" w:eastAsia="Arial" w:hAnsi="Arial"/>
                  <w:sz w:val="15"/>
                  <w:szCs w:val="15"/>
                  <w:color w:val="7B7C80"/>
                </w:rPr>
                <w:t>25</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28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29">
              <w:r>
                <w:rPr>
                  <w:rFonts w:ascii="Arial" w:cs="Arial" w:eastAsia="Arial" w:hAnsi="Arial"/>
                  <w:sz w:val="15"/>
                  <w:szCs w:val="15"/>
                  <w:u w:val="single" w:color="auto"/>
                  <w:color w:val="7B7C80"/>
                </w:rPr>
                <w:t>•</w:t>
              </w:r>
            </w:hyperlink>
          </w:p>
        </w:tc>
        <w:tc>
          <w:tcPr>
            <w:tcW w:w="3200" w:type="dxa"/>
            <w:vAlign w:val="bottom"/>
            <w:gridSpan w:val="18"/>
          </w:tcPr>
          <w:p>
            <w:pPr>
              <w:spacing w:after="0" w:line="141" w:lineRule="exact"/>
              <w:rPr>
                <w:rFonts w:ascii="Arial" w:cs="Arial" w:eastAsia="Arial" w:hAnsi="Arial"/>
                <w:sz w:val="15"/>
                <w:szCs w:val="15"/>
                <w:color w:val="7B7C80"/>
                <w:w w:val="99"/>
              </w:rPr>
            </w:pPr>
            <w:hyperlink w:anchor="page29">
              <w:r>
                <w:rPr>
                  <w:rFonts w:ascii="Arial" w:cs="Arial" w:eastAsia="Arial" w:hAnsi="Arial"/>
                  <w:sz w:val="15"/>
                  <w:szCs w:val="15"/>
                  <w:color w:val="7B7C80"/>
                  <w:w w:val="99"/>
                </w:rPr>
                <w:t>Compensation Program Philosophy and Policies</w:t>
              </w:r>
            </w:hyperlink>
          </w:p>
        </w:tc>
        <w:tc>
          <w:tcPr>
            <w:tcW w:w="1280" w:type="dxa"/>
            <w:vAlign w:val="bottom"/>
            <w:gridSpan w:val="2"/>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29">
              <w:r>
                <w:rPr>
                  <w:rFonts w:ascii="Arial" w:cs="Arial" w:eastAsia="Arial" w:hAnsi="Arial"/>
                  <w:sz w:val="15"/>
                  <w:szCs w:val="15"/>
                  <w:color w:val="7B7C80"/>
                </w:rPr>
                <w:t>26</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28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440" w:type="dxa"/>
            <w:vAlign w:val="bottom"/>
            <w:shd w:val="clear" w:color="auto" w:fill="7B7C80"/>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880" w:type="dxa"/>
            <w:vAlign w:val="bottom"/>
            <w:gridSpan w:val="21"/>
          </w:tcPr>
          <w:p>
            <w:pPr>
              <w:ind w:left="280"/>
              <w:spacing w:after="0" w:line="141" w:lineRule="exact"/>
              <w:rPr>
                <w:rFonts w:ascii="Arial" w:cs="Arial" w:eastAsia="Arial" w:hAnsi="Arial"/>
                <w:sz w:val="15"/>
                <w:szCs w:val="15"/>
                <w:color w:val="7B7C80"/>
              </w:rPr>
            </w:pPr>
            <w:hyperlink w:anchor="page31">
              <w:r>
                <w:rPr>
                  <w:rFonts w:ascii="Arial" w:cs="Arial" w:eastAsia="Arial" w:hAnsi="Arial"/>
                  <w:sz w:val="15"/>
                  <w:szCs w:val="15"/>
                  <w:u w:val="single" w:color="auto"/>
                  <w:color w:val="7B7C80"/>
                </w:rPr>
                <w:t>•</w:t>
              </w:r>
              <w:r>
                <w:rPr>
                  <w:rFonts w:ascii="Arial" w:cs="Arial" w:eastAsia="Arial" w:hAnsi="Arial"/>
                  <w:sz w:val="15"/>
                  <w:szCs w:val="15"/>
                  <w:color w:val="7B7C80"/>
                </w:rPr>
                <w:t xml:space="preserve"> Summary of Compensation Elements</w:t>
              </w:r>
            </w:hyperlink>
          </w:p>
        </w:tc>
        <w:tc>
          <w:tcPr>
            <w:tcW w:w="4260" w:type="dxa"/>
            <w:vAlign w:val="bottom"/>
            <w:gridSpan w:val="3"/>
          </w:tcPr>
          <w:p>
            <w:pPr>
              <w:jc w:val="center"/>
              <w:ind w:left="3846"/>
              <w:spacing w:after="0" w:line="141" w:lineRule="exact"/>
              <w:rPr>
                <w:rFonts w:ascii="Arial" w:cs="Arial" w:eastAsia="Arial" w:hAnsi="Arial"/>
                <w:sz w:val="15"/>
                <w:szCs w:val="15"/>
                <w:color w:val="7B7C80"/>
              </w:rPr>
            </w:pPr>
            <w:hyperlink w:anchor="page31">
              <w:r>
                <w:rPr>
                  <w:rFonts w:ascii="Arial" w:cs="Arial" w:eastAsia="Arial" w:hAnsi="Arial"/>
                  <w:sz w:val="15"/>
                  <w:szCs w:val="15"/>
                  <w:color w:val="7B7C80"/>
                </w:rPr>
                <w:t>28</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28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160" w:type="dxa"/>
            <w:vAlign w:val="bottom"/>
            <w:gridSpan w:val="2"/>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880" w:type="dxa"/>
            <w:vAlign w:val="bottom"/>
            <w:gridSpan w:val="21"/>
          </w:tcPr>
          <w:p>
            <w:pPr>
              <w:ind w:left="280"/>
              <w:spacing w:after="0" w:line="141" w:lineRule="exact"/>
              <w:rPr>
                <w:rFonts w:ascii="Arial" w:cs="Arial" w:eastAsia="Arial" w:hAnsi="Arial"/>
                <w:sz w:val="15"/>
                <w:szCs w:val="15"/>
                <w:color w:val="7B7C80"/>
              </w:rPr>
            </w:pPr>
            <w:hyperlink w:anchor="page32">
              <w:r>
                <w:rPr>
                  <w:rFonts w:ascii="Arial" w:cs="Arial" w:eastAsia="Arial" w:hAnsi="Arial"/>
                  <w:sz w:val="15"/>
                  <w:szCs w:val="15"/>
                  <w:u w:val="single" w:color="auto"/>
                  <w:color w:val="7B7C80"/>
                </w:rPr>
                <w:t>•</w:t>
              </w:r>
              <w:r>
                <w:rPr>
                  <w:rFonts w:ascii="Arial" w:cs="Arial" w:eastAsia="Arial" w:hAnsi="Arial"/>
                  <w:sz w:val="15"/>
                  <w:szCs w:val="15"/>
                  <w:color w:val="7B7C80"/>
                </w:rPr>
                <w:t xml:space="preserve"> How we make Compensation Decisions</w:t>
              </w:r>
            </w:hyperlink>
          </w:p>
        </w:tc>
        <w:tc>
          <w:tcPr>
            <w:tcW w:w="4260" w:type="dxa"/>
            <w:vAlign w:val="bottom"/>
            <w:gridSpan w:val="3"/>
          </w:tcPr>
          <w:p>
            <w:pPr>
              <w:jc w:val="center"/>
              <w:ind w:left="3846"/>
              <w:spacing w:after="0" w:line="141" w:lineRule="exact"/>
              <w:rPr>
                <w:rFonts w:ascii="Arial" w:cs="Arial" w:eastAsia="Arial" w:hAnsi="Arial"/>
                <w:sz w:val="15"/>
                <w:szCs w:val="15"/>
                <w:color w:val="7B7C80"/>
              </w:rPr>
            </w:pPr>
            <w:hyperlink w:anchor="page32">
              <w:r>
                <w:rPr>
                  <w:rFonts w:ascii="Arial" w:cs="Arial" w:eastAsia="Arial" w:hAnsi="Arial"/>
                  <w:sz w:val="15"/>
                  <w:szCs w:val="15"/>
                  <w:color w:val="7B7C80"/>
                </w:rPr>
                <w:t>29</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28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140" w:type="dxa"/>
            <w:vAlign w:val="bottom"/>
            <w:tcBorders>
              <w:left w:val="single" w:sz="8" w:color="7B7C80"/>
            </w:tcBorders>
            <w:gridSpan w:val="2"/>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160" w:type="dxa"/>
            <w:vAlign w:val="bottom"/>
            <w:gridSpan w:val="2"/>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34">
              <w:r>
                <w:rPr>
                  <w:rFonts w:ascii="Arial" w:cs="Arial" w:eastAsia="Arial" w:hAnsi="Arial"/>
                  <w:sz w:val="15"/>
                  <w:szCs w:val="15"/>
                  <w:u w:val="single" w:color="auto"/>
                  <w:color w:val="7B7C80"/>
                </w:rPr>
                <w:t>•</w:t>
              </w:r>
            </w:hyperlink>
          </w:p>
        </w:tc>
        <w:tc>
          <w:tcPr>
            <w:tcW w:w="2720" w:type="dxa"/>
            <w:vAlign w:val="bottom"/>
            <w:gridSpan w:val="16"/>
          </w:tcPr>
          <w:p>
            <w:pPr>
              <w:spacing w:after="0" w:line="141" w:lineRule="exact"/>
              <w:rPr>
                <w:rFonts w:ascii="Arial" w:cs="Arial" w:eastAsia="Arial" w:hAnsi="Arial"/>
                <w:sz w:val="15"/>
                <w:szCs w:val="15"/>
                <w:color w:val="7B7C80"/>
                <w:w w:val="99"/>
              </w:rPr>
            </w:pPr>
            <w:hyperlink w:anchor="page34">
              <w:r>
                <w:rPr>
                  <w:rFonts w:ascii="Arial" w:cs="Arial" w:eastAsia="Arial" w:hAnsi="Arial"/>
                  <w:sz w:val="15"/>
                  <w:szCs w:val="15"/>
                  <w:color w:val="7B7C80"/>
                  <w:w w:val="99"/>
                </w:rPr>
                <w:t>2017 Executive Compensation Decisions</w:t>
              </w:r>
            </w:hyperlink>
          </w:p>
        </w:tc>
        <w:tc>
          <w:tcPr>
            <w:tcW w:w="1760" w:type="dxa"/>
            <w:vAlign w:val="bottom"/>
            <w:gridSpan w:val="4"/>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34">
              <w:r>
                <w:rPr>
                  <w:rFonts w:ascii="Arial" w:cs="Arial" w:eastAsia="Arial" w:hAnsi="Arial"/>
                  <w:sz w:val="15"/>
                  <w:szCs w:val="15"/>
                  <w:color w:val="7B7C80"/>
                </w:rPr>
                <w:t>31</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28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140" w:type="dxa"/>
            <w:vAlign w:val="bottom"/>
            <w:tcBorders>
              <w:left w:val="single" w:sz="8" w:color="7B7C80"/>
            </w:tcBorders>
            <w:gridSpan w:val="2"/>
            <w:shd w:val="clear" w:color="auto" w:fill="7B7C80"/>
          </w:tcPr>
          <w:p>
            <w:pPr>
              <w:spacing w:after="0" w:line="20" w:lineRule="exact"/>
              <w:rPr>
                <w:sz w:val="1"/>
                <w:szCs w:val="1"/>
                <w:color w:val="auto"/>
              </w:rPr>
            </w:pPr>
          </w:p>
        </w:tc>
        <w:tc>
          <w:tcPr>
            <w:tcW w:w="220" w:type="dxa"/>
            <w:vAlign w:val="bottom"/>
            <w:gridSpan w:val="3"/>
            <w:shd w:val="clear" w:color="auto" w:fill="7B7C8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160" w:type="dxa"/>
            <w:vAlign w:val="bottom"/>
            <w:gridSpan w:val="2"/>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35">
              <w:r>
                <w:rPr>
                  <w:rFonts w:ascii="Arial" w:cs="Arial" w:eastAsia="Arial" w:hAnsi="Arial"/>
                  <w:sz w:val="15"/>
                  <w:szCs w:val="15"/>
                  <w:u w:val="single" w:color="auto"/>
                  <w:color w:val="7B7C80"/>
                </w:rPr>
                <w:t>•</w:t>
              </w:r>
            </w:hyperlink>
          </w:p>
        </w:tc>
        <w:tc>
          <w:tcPr>
            <w:tcW w:w="820" w:type="dxa"/>
            <w:vAlign w:val="bottom"/>
            <w:gridSpan w:val="2"/>
          </w:tcPr>
          <w:p>
            <w:pPr>
              <w:spacing w:after="0" w:line="141" w:lineRule="exact"/>
              <w:rPr>
                <w:rFonts w:ascii="Arial" w:cs="Arial" w:eastAsia="Arial" w:hAnsi="Arial"/>
                <w:sz w:val="15"/>
                <w:szCs w:val="15"/>
                <w:color w:val="7B7C80"/>
                <w:w w:val="98"/>
              </w:rPr>
            </w:pPr>
            <w:hyperlink w:anchor="page35">
              <w:r>
                <w:rPr>
                  <w:rFonts w:ascii="Arial" w:cs="Arial" w:eastAsia="Arial" w:hAnsi="Arial"/>
                  <w:sz w:val="15"/>
                  <w:szCs w:val="15"/>
                  <w:color w:val="7B7C80"/>
                  <w:w w:val="98"/>
                </w:rPr>
                <w:t>Base Salary</w:t>
              </w:r>
            </w:hyperlink>
          </w:p>
        </w:tc>
        <w:tc>
          <w:tcPr>
            <w:tcW w:w="1900" w:type="dxa"/>
            <w:vAlign w:val="bottom"/>
            <w:gridSpan w:val="14"/>
          </w:tcPr>
          <w:p>
            <w:pPr>
              <w:spacing w:after="0"/>
              <w:rPr>
                <w:sz w:val="13"/>
                <w:szCs w:val="13"/>
                <w:color w:val="auto"/>
              </w:rPr>
            </w:pPr>
          </w:p>
        </w:tc>
        <w:tc>
          <w:tcPr>
            <w:tcW w:w="1760" w:type="dxa"/>
            <w:vAlign w:val="bottom"/>
            <w:gridSpan w:val="4"/>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35">
              <w:r>
                <w:rPr>
                  <w:rFonts w:ascii="Arial" w:cs="Arial" w:eastAsia="Arial" w:hAnsi="Arial"/>
                  <w:sz w:val="15"/>
                  <w:szCs w:val="15"/>
                  <w:color w:val="7B7C80"/>
                </w:rPr>
                <w:t>32</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280" w:type="dxa"/>
            <w:vAlign w:val="bottom"/>
            <w:shd w:val="clear" w:color="auto" w:fill="7B7C8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160" w:type="dxa"/>
            <w:vAlign w:val="bottom"/>
            <w:gridSpan w:val="2"/>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35">
              <w:r>
                <w:rPr>
                  <w:rFonts w:ascii="Arial" w:cs="Arial" w:eastAsia="Arial" w:hAnsi="Arial"/>
                  <w:sz w:val="15"/>
                  <w:szCs w:val="15"/>
                  <w:u w:val="single" w:color="auto"/>
                  <w:color w:val="7B7C80"/>
                </w:rPr>
                <w:t>•</w:t>
              </w:r>
            </w:hyperlink>
          </w:p>
        </w:tc>
        <w:tc>
          <w:tcPr>
            <w:tcW w:w="1400" w:type="dxa"/>
            <w:vAlign w:val="bottom"/>
            <w:gridSpan w:val="6"/>
          </w:tcPr>
          <w:p>
            <w:pPr>
              <w:spacing w:after="0" w:line="141" w:lineRule="exact"/>
              <w:rPr>
                <w:rFonts w:ascii="Arial" w:cs="Arial" w:eastAsia="Arial" w:hAnsi="Arial"/>
                <w:sz w:val="15"/>
                <w:szCs w:val="15"/>
                <w:color w:val="7B7C80"/>
                <w:w w:val="96"/>
              </w:rPr>
            </w:pPr>
            <w:hyperlink w:anchor="page35">
              <w:r>
                <w:rPr>
                  <w:rFonts w:ascii="Arial" w:cs="Arial" w:eastAsia="Arial" w:hAnsi="Arial"/>
                  <w:sz w:val="15"/>
                  <w:szCs w:val="15"/>
                  <w:color w:val="7B7C80"/>
                  <w:w w:val="96"/>
                </w:rPr>
                <w:t>Annual Incentive Pay</w:t>
              </w:r>
            </w:hyperlink>
          </w:p>
        </w:tc>
        <w:tc>
          <w:tcPr>
            <w:tcW w:w="3080" w:type="dxa"/>
            <w:vAlign w:val="bottom"/>
            <w:gridSpan w:val="14"/>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35">
              <w:r>
                <w:rPr>
                  <w:rFonts w:ascii="Arial" w:cs="Arial" w:eastAsia="Arial" w:hAnsi="Arial"/>
                  <w:sz w:val="15"/>
                  <w:szCs w:val="15"/>
                  <w:color w:val="7B7C80"/>
                </w:rPr>
                <w:t>32</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400" w:type="dxa"/>
            <w:vAlign w:val="bottom"/>
            <w:gridSpan w:val="2"/>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160" w:type="dxa"/>
            <w:vAlign w:val="bottom"/>
            <w:gridSpan w:val="2"/>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39">
              <w:r>
                <w:rPr>
                  <w:rFonts w:ascii="Arial" w:cs="Arial" w:eastAsia="Arial" w:hAnsi="Arial"/>
                  <w:sz w:val="15"/>
                  <w:szCs w:val="15"/>
                  <w:u w:val="single" w:color="auto"/>
                  <w:color w:val="7B7C80"/>
                </w:rPr>
                <w:t>•</w:t>
              </w:r>
            </w:hyperlink>
          </w:p>
        </w:tc>
        <w:tc>
          <w:tcPr>
            <w:tcW w:w="2320" w:type="dxa"/>
            <w:vAlign w:val="bottom"/>
            <w:gridSpan w:val="10"/>
          </w:tcPr>
          <w:p>
            <w:pPr>
              <w:spacing w:after="0" w:line="141" w:lineRule="exact"/>
              <w:rPr>
                <w:rFonts w:ascii="Arial" w:cs="Arial" w:eastAsia="Arial" w:hAnsi="Arial"/>
                <w:sz w:val="15"/>
                <w:szCs w:val="15"/>
                <w:color w:val="7B7C80"/>
                <w:w w:val="98"/>
              </w:rPr>
            </w:pPr>
            <w:hyperlink w:anchor="page39">
              <w:r>
                <w:rPr>
                  <w:rFonts w:ascii="Arial" w:cs="Arial" w:eastAsia="Arial" w:hAnsi="Arial"/>
                  <w:sz w:val="15"/>
                  <w:szCs w:val="15"/>
                  <w:color w:val="7B7C80"/>
                  <w:w w:val="98"/>
                </w:rPr>
                <w:t>Long term Incentive Compensation</w:t>
              </w:r>
            </w:hyperlink>
          </w:p>
        </w:tc>
        <w:tc>
          <w:tcPr>
            <w:tcW w:w="2160" w:type="dxa"/>
            <w:vAlign w:val="bottom"/>
            <w:gridSpan w:val="10"/>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39">
              <w:r>
                <w:rPr>
                  <w:rFonts w:ascii="Arial" w:cs="Arial" w:eastAsia="Arial" w:hAnsi="Arial"/>
                  <w:sz w:val="15"/>
                  <w:szCs w:val="15"/>
                  <w:color w:val="7B7C80"/>
                </w:rPr>
                <w:t>36</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400" w:type="dxa"/>
            <w:vAlign w:val="bottom"/>
            <w:gridSpan w:val="2"/>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160" w:type="dxa"/>
            <w:vAlign w:val="bottom"/>
            <w:gridSpan w:val="2"/>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0">
              <w:r>
                <w:rPr>
                  <w:rFonts w:ascii="Arial" w:cs="Arial" w:eastAsia="Arial" w:hAnsi="Arial"/>
                  <w:sz w:val="15"/>
                  <w:szCs w:val="15"/>
                  <w:u w:val="single" w:color="auto"/>
                  <w:color w:val="7B7C80"/>
                </w:rPr>
                <w:t>•</w:t>
              </w:r>
            </w:hyperlink>
          </w:p>
        </w:tc>
        <w:tc>
          <w:tcPr>
            <w:tcW w:w="3920" w:type="dxa"/>
            <w:vAlign w:val="bottom"/>
            <w:gridSpan w:val="19"/>
          </w:tcPr>
          <w:p>
            <w:pPr>
              <w:spacing w:after="0" w:line="141" w:lineRule="exact"/>
              <w:rPr>
                <w:rFonts w:ascii="Arial" w:cs="Arial" w:eastAsia="Arial" w:hAnsi="Arial"/>
                <w:sz w:val="15"/>
                <w:szCs w:val="15"/>
                <w:color w:val="7B7C80"/>
                <w:w w:val="98"/>
              </w:rPr>
            </w:pPr>
            <w:hyperlink w:anchor="page40">
              <w:r>
                <w:rPr>
                  <w:rFonts w:ascii="Arial" w:cs="Arial" w:eastAsia="Arial" w:hAnsi="Arial"/>
                  <w:sz w:val="15"/>
                  <w:szCs w:val="15"/>
                  <w:color w:val="7B7C80"/>
                  <w:w w:val="98"/>
                </w:rPr>
                <w:t>Timing of Stock Option Awards and Other Equity Incentives</w:t>
              </w:r>
            </w:hyperlink>
          </w:p>
        </w:tc>
        <w:tc>
          <w:tcPr>
            <w:tcW w:w="560" w:type="dxa"/>
            <w:vAlign w:val="bottom"/>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40">
              <w:r>
                <w:rPr>
                  <w:rFonts w:ascii="Arial" w:cs="Arial" w:eastAsia="Arial" w:hAnsi="Arial"/>
                  <w:sz w:val="15"/>
                  <w:szCs w:val="15"/>
                  <w:color w:val="7B7C80"/>
                </w:rPr>
                <w:t>37</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400" w:type="dxa"/>
            <w:vAlign w:val="bottom"/>
            <w:gridSpan w:val="2"/>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gridSpan w:val="2"/>
            <w:shd w:val="clear" w:color="auto" w:fill="7B7C80"/>
          </w:tcPr>
          <w:p>
            <w:pPr>
              <w:spacing w:after="0" w:line="20" w:lineRule="exact"/>
              <w:rPr>
                <w:sz w:val="1"/>
                <w:szCs w:val="1"/>
                <w:color w:val="auto"/>
              </w:rPr>
            </w:pPr>
          </w:p>
        </w:tc>
        <w:tc>
          <w:tcPr>
            <w:tcW w:w="140" w:type="dxa"/>
            <w:vAlign w:val="bottom"/>
            <w:tcBorders>
              <w:left w:val="single" w:sz="8" w:color="7B7C80"/>
            </w:tcBorders>
            <w:gridSpan w:val="2"/>
            <w:shd w:val="clear" w:color="auto" w:fill="7B7C80"/>
          </w:tcPr>
          <w:p>
            <w:pPr>
              <w:spacing w:after="0" w:line="20" w:lineRule="exact"/>
              <w:rPr>
                <w:sz w:val="1"/>
                <w:szCs w:val="1"/>
                <w:color w:val="auto"/>
              </w:rPr>
            </w:pPr>
          </w:p>
        </w:tc>
        <w:tc>
          <w:tcPr>
            <w:tcW w:w="260" w:type="dxa"/>
            <w:vAlign w:val="bottom"/>
            <w:gridSpan w:val="4"/>
            <w:shd w:val="clear" w:color="auto" w:fill="7B7C80"/>
          </w:tcPr>
          <w:p>
            <w:pPr>
              <w:spacing w:after="0" w:line="20" w:lineRule="exact"/>
              <w:rPr>
                <w:sz w:val="1"/>
                <w:szCs w:val="1"/>
                <w:color w:val="auto"/>
              </w:rPr>
            </w:pPr>
          </w:p>
        </w:tc>
        <w:tc>
          <w:tcPr>
            <w:tcW w:w="1160" w:type="dxa"/>
            <w:vAlign w:val="bottom"/>
            <w:gridSpan w:val="2"/>
            <w:shd w:val="clear" w:color="auto" w:fill="7B7C8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1">
              <w:r>
                <w:rPr>
                  <w:rFonts w:ascii="Arial" w:cs="Arial" w:eastAsia="Arial" w:hAnsi="Arial"/>
                  <w:sz w:val="15"/>
                  <w:szCs w:val="15"/>
                  <w:u w:val="single" w:color="auto"/>
                  <w:color w:val="7B7C80"/>
                </w:rPr>
                <w:t>•</w:t>
              </w:r>
            </w:hyperlink>
          </w:p>
        </w:tc>
        <w:tc>
          <w:tcPr>
            <w:tcW w:w="3920" w:type="dxa"/>
            <w:vAlign w:val="bottom"/>
            <w:gridSpan w:val="19"/>
          </w:tcPr>
          <w:p>
            <w:pPr>
              <w:spacing w:after="0" w:line="141" w:lineRule="exact"/>
              <w:rPr>
                <w:rFonts w:ascii="Arial" w:cs="Arial" w:eastAsia="Arial" w:hAnsi="Arial"/>
                <w:sz w:val="15"/>
                <w:szCs w:val="15"/>
                <w:color w:val="7B7C80"/>
              </w:rPr>
            </w:pPr>
            <w:hyperlink w:anchor="page41">
              <w:r>
                <w:rPr>
                  <w:rFonts w:ascii="Arial" w:cs="Arial" w:eastAsia="Arial" w:hAnsi="Arial"/>
                  <w:sz w:val="15"/>
                  <w:szCs w:val="15"/>
                  <w:color w:val="7B7C80"/>
                </w:rPr>
                <w:t>Benefits</w:t>
              </w:r>
            </w:hyperlink>
          </w:p>
        </w:tc>
        <w:tc>
          <w:tcPr>
            <w:tcW w:w="560" w:type="dxa"/>
            <w:vAlign w:val="bottom"/>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41">
              <w:r>
                <w:rPr>
                  <w:rFonts w:ascii="Arial" w:cs="Arial" w:eastAsia="Arial" w:hAnsi="Arial"/>
                  <w:sz w:val="15"/>
                  <w:szCs w:val="15"/>
                  <w:color w:val="7B7C80"/>
                </w:rPr>
                <w:t>38</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1">
              <w:r>
                <w:rPr>
                  <w:rFonts w:ascii="Arial" w:cs="Arial" w:eastAsia="Arial" w:hAnsi="Arial"/>
                  <w:sz w:val="15"/>
                  <w:szCs w:val="15"/>
                  <w:u w:val="single" w:color="auto"/>
                  <w:color w:val="7B7C80"/>
                </w:rPr>
                <w:t>•</w:t>
              </w:r>
            </w:hyperlink>
          </w:p>
        </w:tc>
        <w:tc>
          <w:tcPr>
            <w:tcW w:w="2360" w:type="dxa"/>
            <w:vAlign w:val="bottom"/>
            <w:gridSpan w:val="11"/>
          </w:tcPr>
          <w:p>
            <w:pPr>
              <w:spacing w:after="0" w:line="141" w:lineRule="exact"/>
              <w:rPr>
                <w:rFonts w:ascii="Arial" w:cs="Arial" w:eastAsia="Arial" w:hAnsi="Arial"/>
                <w:sz w:val="15"/>
                <w:szCs w:val="15"/>
                <w:color w:val="7B7C80"/>
                <w:w w:val="95"/>
              </w:rPr>
            </w:pPr>
            <w:hyperlink w:anchor="page41">
              <w:r>
                <w:rPr>
                  <w:rFonts w:ascii="Arial" w:cs="Arial" w:eastAsia="Arial" w:hAnsi="Arial"/>
                  <w:sz w:val="15"/>
                  <w:szCs w:val="15"/>
                  <w:color w:val="7B7C80"/>
                  <w:w w:val="95"/>
                </w:rPr>
                <w:t>Change of Control &amp; Separation Pay</w:t>
              </w:r>
            </w:hyperlink>
          </w:p>
        </w:tc>
        <w:tc>
          <w:tcPr>
            <w:tcW w:w="2120" w:type="dxa"/>
            <w:vAlign w:val="bottom"/>
            <w:gridSpan w:val="9"/>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41">
              <w:r>
                <w:rPr>
                  <w:rFonts w:ascii="Arial" w:cs="Arial" w:eastAsia="Arial" w:hAnsi="Arial"/>
                  <w:sz w:val="15"/>
                  <w:szCs w:val="15"/>
                  <w:color w:val="7B7C80"/>
                </w:rPr>
                <w:t>38</w:t>
              </w:r>
            </w:hyperlink>
          </w:p>
        </w:tc>
      </w:tr>
      <w:tr>
        <w:trPr>
          <w:trHeight w:val="20"/>
        </w:trPr>
        <w:tc>
          <w:tcPr>
            <w:tcW w:w="400" w:type="dxa"/>
            <w:vAlign w:val="bottom"/>
          </w:tcPr>
          <w:p>
            <w:pPr>
              <w:spacing w:after="0" w:line="20" w:lineRule="exact"/>
              <w:rPr>
                <w:sz w:val="1"/>
                <w:szCs w:val="1"/>
                <w:color w:val="auto"/>
              </w:rPr>
            </w:pPr>
          </w:p>
        </w:tc>
        <w:tc>
          <w:tcPr>
            <w:tcW w:w="940" w:type="dxa"/>
            <w:vAlign w:val="bottom"/>
            <w:gridSpan w:val="3"/>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gridSpan w:val="2"/>
            <w:shd w:val="clear" w:color="auto" w:fill="7B7C80"/>
          </w:tcPr>
          <w:p>
            <w:pPr>
              <w:spacing w:after="0" w:line="20" w:lineRule="exact"/>
              <w:rPr>
                <w:sz w:val="1"/>
                <w:szCs w:val="1"/>
                <w:color w:val="auto"/>
              </w:rPr>
            </w:pPr>
          </w:p>
        </w:tc>
        <w:tc>
          <w:tcPr>
            <w:tcW w:w="140" w:type="dxa"/>
            <w:vAlign w:val="bottom"/>
            <w:tcBorders>
              <w:left w:val="single" w:sz="8" w:color="7B7C80"/>
            </w:tcBorders>
            <w:gridSpan w:val="2"/>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2">
              <w:r>
                <w:rPr>
                  <w:rFonts w:ascii="Arial" w:cs="Arial" w:eastAsia="Arial" w:hAnsi="Arial"/>
                  <w:sz w:val="15"/>
                  <w:szCs w:val="15"/>
                  <w:u w:val="single" w:color="auto"/>
                  <w:color w:val="7B7C80"/>
                </w:rPr>
                <w:t>•</w:t>
              </w:r>
            </w:hyperlink>
          </w:p>
        </w:tc>
        <w:tc>
          <w:tcPr>
            <w:tcW w:w="1880" w:type="dxa"/>
            <w:vAlign w:val="bottom"/>
            <w:gridSpan w:val="7"/>
          </w:tcPr>
          <w:p>
            <w:pPr>
              <w:spacing w:after="0" w:line="141" w:lineRule="exact"/>
              <w:rPr>
                <w:rFonts w:ascii="Arial" w:cs="Arial" w:eastAsia="Arial" w:hAnsi="Arial"/>
                <w:sz w:val="15"/>
                <w:szCs w:val="15"/>
                <w:color w:val="7B7C80"/>
                <w:w w:val="98"/>
              </w:rPr>
            </w:pPr>
            <w:hyperlink w:anchor="page42">
              <w:r>
                <w:rPr>
                  <w:rFonts w:ascii="Arial" w:cs="Arial" w:eastAsia="Arial" w:hAnsi="Arial"/>
                  <w:sz w:val="15"/>
                  <w:szCs w:val="15"/>
                  <w:color w:val="7B7C80"/>
                  <w:w w:val="98"/>
                </w:rPr>
                <w:t>Stock Ownership Guidelines</w:t>
              </w:r>
            </w:hyperlink>
          </w:p>
        </w:tc>
        <w:tc>
          <w:tcPr>
            <w:tcW w:w="480" w:type="dxa"/>
            <w:vAlign w:val="bottom"/>
            <w:gridSpan w:val="4"/>
          </w:tcPr>
          <w:p>
            <w:pPr>
              <w:spacing w:after="0"/>
              <w:rPr>
                <w:sz w:val="13"/>
                <w:szCs w:val="13"/>
                <w:color w:val="auto"/>
              </w:rPr>
            </w:pPr>
          </w:p>
        </w:tc>
        <w:tc>
          <w:tcPr>
            <w:tcW w:w="2120" w:type="dxa"/>
            <w:vAlign w:val="bottom"/>
            <w:gridSpan w:val="9"/>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42">
              <w:r>
                <w:rPr>
                  <w:rFonts w:ascii="Arial" w:cs="Arial" w:eastAsia="Arial" w:hAnsi="Arial"/>
                  <w:sz w:val="15"/>
                  <w:szCs w:val="15"/>
                  <w:color w:val="7B7C80"/>
                </w:rPr>
                <w:t>39</w:t>
              </w:r>
            </w:hyperlink>
          </w:p>
        </w:tc>
      </w:tr>
      <w:tr>
        <w:trPr>
          <w:trHeight w:val="20"/>
        </w:trPr>
        <w:tc>
          <w:tcPr>
            <w:tcW w:w="400" w:type="dxa"/>
            <w:vAlign w:val="bottom"/>
          </w:tcPr>
          <w:p>
            <w:pPr>
              <w:spacing w:after="0" w:line="20" w:lineRule="exact"/>
              <w:rPr>
                <w:sz w:val="1"/>
                <w:szCs w:val="1"/>
                <w:color w:val="auto"/>
              </w:rPr>
            </w:pPr>
          </w:p>
        </w:tc>
        <w:tc>
          <w:tcPr>
            <w:tcW w:w="940" w:type="dxa"/>
            <w:vAlign w:val="bottom"/>
            <w:gridSpan w:val="3"/>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2">
              <w:r>
                <w:rPr>
                  <w:rFonts w:ascii="Arial" w:cs="Arial" w:eastAsia="Arial" w:hAnsi="Arial"/>
                  <w:sz w:val="15"/>
                  <w:szCs w:val="15"/>
                  <w:u w:val="single" w:color="auto"/>
                  <w:color w:val="7B7C80"/>
                </w:rPr>
                <w:t>•</w:t>
              </w:r>
            </w:hyperlink>
          </w:p>
        </w:tc>
        <w:tc>
          <w:tcPr>
            <w:tcW w:w="1120" w:type="dxa"/>
            <w:vAlign w:val="bottom"/>
            <w:gridSpan w:val="5"/>
          </w:tcPr>
          <w:p>
            <w:pPr>
              <w:spacing w:after="0" w:line="141" w:lineRule="exact"/>
              <w:rPr>
                <w:rFonts w:ascii="Arial" w:cs="Arial" w:eastAsia="Arial" w:hAnsi="Arial"/>
                <w:sz w:val="15"/>
                <w:szCs w:val="15"/>
                <w:color w:val="7B7C80"/>
                <w:w w:val="93"/>
              </w:rPr>
            </w:pPr>
            <w:hyperlink w:anchor="page42">
              <w:r>
                <w:rPr>
                  <w:rFonts w:ascii="Arial" w:cs="Arial" w:eastAsia="Arial" w:hAnsi="Arial"/>
                  <w:sz w:val="15"/>
                  <w:szCs w:val="15"/>
                  <w:color w:val="7B7C80"/>
                  <w:w w:val="93"/>
                </w:rPr>
                <w:t>Claw Back Policy</w:t>
              </w:r>
            </w:hyperlink>
          </w:p>
        </w:tc>
        <w:tc>
          <w:tcPr>
            <w:tcW w:w="760" w:type="dxa"/>
            <w:vAlign w:val="bottom"/>
            <w:gridSpan w:val="2"/>
          </w:tcPr>
          <w:p>
            <w:pPr>
              <w:spacing w:after="0"/>
              <w:rPr>
                <w:sz w:val="13"/>
                <w:szCs w:val="13"/>
                <w:color w:val="auto"/>
              </w:rPr>
            </w:pPr>
          </w:p>
        </w:tc>
        <w:tc>
          <w:tcPr>
            <w:tcW w:w="2600" w:type="dxa"/>
            <w:vAlign w:val="bottom"/>
            <w:gridSpan w:val="13"/>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42">
              <w:r>
                <w:rPr>
                  <w:rFonts w:ascii="Arial" w:cs="Arial" w:eastAsia="Arial" w:hAnsi="Arial"/>
                  <w:sz w:val="15"/>
                  <w:szCs w:val="15"/>
                  <w:color w:val="7B7C80"/>
                </w:rPr>
                <w:t>39</w:t>
              </w:r>
            </w:hyperlink>
          </w:p>
        </w:tc>
      </w:tr>
      <w:tr>
        <w:trPr>
          <w:trHeight w:val="20"/>
        </w:trPr>
        <w:tc>
          <w:tcPr>
            <w:tcW w:w="400" w:type="dxa"/>
            <w:vAlign w:val="bottom"/>
          </w:tcPr>
          <w:p>
            <w:pPr>
              <w:spacing w:after="0" w:line="20" w:lineRule="exact"/>
              <w:rPr>
                <w:sz w:val="1"/>
                <w:szCs w:val="1"/>
                <w:color w:val="auto"/>
              </w:rPr>
            </w:pPr>
          </w:p>
        </w:tc>
        <w:tc>
          <w:tcPr>
            <w:tcW w:w="940" w:type="dxa"/>
            <w:vAlign w:val="bottom"/>
            <w:gridSpan w:val="3"/>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2">
              <w:r>
                <w:rPr>
                  <w:rFonts w:ascii="Arial" w:cs="Arial" w:eastAsia="Arial" w:hAnsi="Arial"/>
                  <w:sz w:val="15"/>
                  <w:szCs w:val="15"/>
                  <w:u w:val="single" w:color="auto"/>
                  <w:color w:val="7B7C80"/>
                </w:rPr>
                <w:t>•</w:t>
              </w:r>
            </w:hyperlink>
          </w:p>
        </w:tc>
        <w:tc>
          <w:tcPr>
            <w:tcW w:w="1120" w:type="dxa"/>
            <w:vAlign w:val="bottom"/>
            <w:gridSpan w:val="5"/>
          </w:tcPr>
          <w:p>
            <w:pPr>
              <w:spacing w:after="0" w:line="141" w:lineRule="exact"/>
              <w:rPr>
                <w:rFonts w:ascii="Arial" w:cs="Arial" w:eastAsia="Arial" w:hAnsi="Arial"/>
                <w:sz w:val="15"/>
                <w:szCs w:val="15"/>
                <w:color w:val="7B7C80"/>
              </w:rPr>
            </w:pPr>
            <w:hyperlink w:anchor="page42">
              <w:r>
                <w:rPr>
                  <w:rFonts w:ascii="Arial" w:cs="Arial" w:eastAsia="Arial" w:hAnsi="Arial"/>
                  <w:sz w:val="15"/>
                  <w:szCs w:val="15"/>
                  <w:color w:val="7B7C80"/>
                </w:rPr>
                <w:t>Trading Policy</w:t>
              </w:r>
            </w:hyperlink>
          </w:p>
        </w:tc>
        <w:tc>
          <w:tcPr>
            <w:tcW w:w="3360" w:type="dxa"/>
            <w:vAlign w:val="bottom"/>
            <w:gridSpan w:val="15"/>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42">
              <w:r>
                <w:rPr>
                  <w:rFonts w:ascii="Arial" w:cs="Arial" w:eastAsia="Arial" w:hAnsi="Arial"/>
                  <w:sz w:val="15"/>
                  <w:szCs w:val="15"/>
                  <w:color w:val="7B7C80"/>
                </w:rPr>
                <w:t>39</w:t>
              </w:r>
            </w:hyperlink>
          </w:p>
        </w:tc>
      </w:tr>
      <w:tr>
        <w:trPr>
          <w:trHeight w:val="20"/>
        </w:trPr>
        <w:tc>
          <w:tcPr>
            <w:tcW w:w="400" w:type="dxa"/>
            <w:vAlign w:val="bottom"/>
          </w:tcPr>
          <w:p>
            <w:pPr>
              <w:spacing w:after="0" w:line="20" w:lineRule="exact"/>
              <w:rPr>
                <w:sz w:val="1"/>
                <w:szCs w:val="1"/>
                <w:color w:val="auto"/>
              </w:rPr>
            </w:pPr>
          </w:p>
        </w:tc>
        <w:tc>
          <w:tcPr>
            <w:tcW w:w="940" w:type="dxa"/>
            <w:vAlign w:val="bottom"/>
            <w:gridSpan w:val="3"/>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3">
              <w:r>
                <w:rPr>
                  <w:rFonts w:ascii="Arial" w:cs="Arial" w:eastAsia="Arial" w:hAnsi="Arial"/>
                  <w:sz w:val="15"/>
                  <w:szCs w:val="15"/>
                  <w:u w:val="single" w:color="auto"/>
                  <w:color w:val="7B7C80"/>
                </w:rPr>
                <w:t>•</w:t>
              </w:r>
            </w:hyperlink>
          </w:p>
        </w:tc>
        <w:tc>
          <w:tcPr>
            <w:tcW w:w="1400" w:type="dxa"/>
            <w:vAlign w:val="bottom"/>
            <w:gridSpan w:val="6"/>
          </w:tcPr>
          <w:p>
            <w:pPr>
              <w:spacing w:after="0" w:line="141" w:lineRule="exact"/>
              <w:rPr>
                <w:rFonts w:ascii="Arial" w:cs="Arial" w:eastAsia="Arial" w:hAnsi="Arial"/>
                <w:sz w:val="15"/>
                <w:szCs w:val="15"/>
                <w:color w:val="7B7C80"/>
                <w:w w:val="97"/>
              </w:rPr>
            </w:pPr>
            <w:hyperlink w:anchor="page43">
              <w:r>
                <w:rPr>
                  <w:rFonts w:ascii="Arial" w:cs="Arial" w:eastAsia="Arial" w:hAnsi="Arial"/>
                  <w:sz w:val="15"/>
                  <w:szCs w:val="15"/>
                  <w:color w:val="7B7C80"/>
                  <w:w w:val="97"/>
                </w:rPr>
                <w:t>Succession Planning</w:t>
              </w:r>
            </w:hyperlink>
          </w:p>
        </w:tc>
        <w:tc>
          <w:tcPr>
            <w:tcW w:w="3080" w:type="dxa"/>
            <w:vAlign w:val="bottom"/>
            <w:gridSpan w:val="14"/>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43">
              <w:r>
                <w:rPr>
                  <w:rFonts w:ascii="Arial" w:cs="Arial" w:eastAsia="Arial" w:hAnsi="Arial"/>
                  <w:sz w:val="15"/>
                  <w:szCs w:val="15"/>
                  <w:color w:val="7B7C80"/>
                </w:rPr>
                <w:t>40</w:t>
              </w:r>
            </w:hyperlink>
          </w:p>
        </w:tc>
      </w:tr>
      <w:tr>
        <w:trPr>
          <w:trHeight w:val="20"/>
        </w:trPr>
        <w:tc>
          <w:tcPr>
            <w:tcW w:w="400" w:type="dxa"/>
            <w:vAlign w:val="bottom"/>
          </w:tcPr>
          <w:p>
            <w:pPr>
              <w:spacing w:after="0" w:line="20" w:lineRule="exact"/>
              <w:rPr>
                <w:sz w:val="1"/>
                <w:szCs w:val="1"/>
                <w:color w:val="auto"/>
              </w:rPr>
            </w:pPr>
          </w:p>
        </w:tc>
        <w:tc>
          <w:tcPr>
            <w:tcW w:w="1020" w:type="dxa"/>
            <w:vAlign w:val="bottom"/>
            <w:gridSpan w:val="4"/>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880" w:type="dxa"/>
            <w:vAlign w:val="bottom"/>
            <w:gridSpan w:val="21"/>
          </w:tcPr>
          <w:p>
            <w:pPr>
              <w:ind w:left="280"/>
              <w:spacing w:after="0" w:line="141" w:lineRule="exact"/>
              <w:rPr>
                <w:rFonts w:ascii="Arial" w:cs="Arial" w:eastAsia="Arial" w:hAnsi="Arial"/>
                <w:sz w:val="15"/>
                <w:szCs w:val="15"/>
                <w:color w:val="7B7C80"/>
              </w:rPr>
            </w:pPr>
            <w:hyperlink w:anchor="page43">
              <w:r>
                <w:rPr>
                  <w:rFonts w:ascii="Arial" w:cs="Arial" w:eastAsia="Arial" w:hAnsi="Arial"/>
                  <w:sz w:val="15"/>
                  <w:szCs w:val="15"/>
                  <w:u w:val="single" w:color="auto"/>
                  <w:color w:val="7B7C80"/>
                </w:rPr>
                <w:t>•</w:t>
              </w:r>
              <w:r>
                <w:rPr>
                  <w:rFonts w:ascii="Arial" w:cs="Arial" w:eastAsia="Arial" w:hAnsi="Arial"/>
                  <w:sz w:val="15"/>
                  <w:szCs w:val="15"/>
                  <w:color w:val="7B7C80"/>
                </w:rPr>
                <w:t xml:space="preserve"> Human Resources Committee Report</w:t>
              </w:r>
            </w:hyperlink>
          </w:p>
        </w:tc>
        <w:tc>
          <w:tcPr>
            <w:tcW w:w="4260" w:type="dxa"/>
            <w:vAlign w:val="bottom"/>
            <w:gridSpan w:val="3"/>
          </w:tcPr>
          <w:p>
            <w:pPr>
              <w:jc w:val="center"/>
              <w:ind w:left="3846"/>
              <w:spacing w:after="0" w:line="141" w:lineRule="exact"/>
              <w:rPr>
                <w:rFonts w:ascii="Arial" w:cs="Arial" w:eastAsia="Arial" w:hAnsi="Arial"/>
                <w:sz w:val="15"/>
                <w:szCs w:val="15"/>
                <w:color w:val="7B7C80"/>
              </w:rPr>
            </w:pPr>
            <w:hyperlink w:anchor="page43">
              <w:r>
                <w:rPr>
                  <w:rFonts w:ascii="Arial" w:cs="Arial" w:eastAsia="Arial" w:hAnsi="Arial"/>
                  <w:sz w:val="15"/>
                  <w:szCs w:val="15"/>
                  <w:color w:val="7B7C80"/>
                </w:rPr>
                <w:t>40</w:t>
              </w:r>
            </w:hyperlink>
          </w:p>
        </w:tc>
      </w:tr>
      <w:tr>
        <w:trPr>
          <w:trHeight w:val="20"/>
        </w:trPr>
        <w:tc>
          <w:tcPr>
            <w:tcW w:w="400" w:type="dxa"/>
            <w:vAlign w:val="bottom"/>
          </w:tcPr>
          <w:p>
            <w:pPr>
              <w:spacing w:after="0" w:line="20" w:lineRule="exact"/>
              <w:rPr>
                <w:sz w:val="1"/>
                <w:szCs w:val="1"/>
                <w:color w:val="auto"/>
              </w:rPr>
            </w:pPr>
          </w:p>
        </w:tc>
        <w:tc>
          <w:tcPr>
            <w:tcW w:w="1020" w:type="dxa"/>
            <w:vAlign w:val="bottom"/>
            <w:gridSpan w:val="4"/>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920" w:type="dxa"/>
            <w:vAlign w:val="bottom"/>
            <w:tcBorders>
              <w:left w:val="single" w:sz="8" w:color="7B7C80"/>
            </w:tcBorders>
            <w:gridSpan w:val="3"/>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gridSpan w:val="2"/>
            <w:shd w:val="clear" w:color="auto" w:fill="7B7C80"/>
          </w:tcPr>
          <w:p>
            <w:pPr>
              <w:spacing w:after="0" w:line="20" w:lineRule="exact"/>
              <w:rPr>
                <w:sz w:val="1"/>
                <w:szCs w:val="1"/>
                <w:color w:val="auto"/>
              </w:rPr>
            </w:pPr>
          </w:p>
        </w:tc>
        <w:tc>
          <w:tcPr>
            <w:tcW w:w="140" w:type="dxa"/>
            <w:vAlign w:val="bottom"/>
            <w:tcBorders>
              <w:left w:val="single" w:sz="8" w:color="7B7C80"/>
            </w:tcBorders>
            <w:gridSpan w:val="2"/>
            <w:shd w:val="clear" w:color="auto" w:fill="7B7C80"/>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3">
              <w:r>
                <w:rPr>
                  <w:rFonts w:ascii="Arial" w:cs="Arial" w:eastAsia="Arial" w:hAnsi="Arial"/>
                  <w:sz w:val="15"/>
                  <w:szCs w:val="15"/>
                  <w:u w:val="single" w:color="auto"/>
                  <w:color w:val="7B7C80"/>
                </w:rPr>
                <w:t>•</w:t>
              </w:r>
            </w:hyperlink>
          </w:p>
        </w:tc>
        <w:tc>
          <w:tcPr>
            <w:tcW w:w="1120" w:type="dxa"/>
            <w:vAlign w:val="bottom"/>
            <w:gridSpan w:val="5"/>
          </w:tcPr>
          <w:p>
            <w:pPr>
              <w:spacing w:after="0" w:line="141" w:lineRule="exact"/>
              <w:rPr>
                <w:rFonts w:ascii="Arial" w:cs="Arial" w:eastAsia="Arial" w:hAnsi="Arial"/>
                <w:sz w:val="15"/>
                <w:szCs w:val="15"/>
                <w:color w:val="7B7C80"/>
                <w:w w:val="93"/>
              </w:rPr>
            </w:pPr>
            <w:hyperlink w:anchor="page43">
              <w:r>
                <w:rPr>
                  <w:rFonts w:ascii="Arial" w:cs="Arial" w:eastAsia="Arial" w:hAnsi="Arial"/>
                  <w:sz w:val="15"/>
                  <w:szCs w:val="15"/>
                  <w:color w:val="7B7C80"/>
                  <w:w w:val="93"/>
                </w:rPr>
                <w:t>Risk Assessment</w:t>
              </w:r>
            </w:hyperlink>
          </w:p>
        </w:tc>
        <w:tc>
          <w:tcPr>
            <w:tcW w:w="1380" w:type="dxa"/>
            <w:vAlign w:val="bottom"/>
            <w:gridSpan w:val="8"/>
          </w:tcPr>
          <w:p>
            <w:pPr>
              <w:spacing w:after="0"/>
              <w:rPr>
                <w:sz w:val="13"/>
                <w:szCs w:val="13"/>
                <w:color w:val="auto"/>
              </w:rPr>
            </w:pPr>
          </w:p>
        </w:tc>
        <w:tc>
          <w:tcPr>
            <w:tcW w:w="1980" w:type="dxa"/>
            <w:vAlign w:val="bottom"/>
            <w:gridSpan w:val="7"/>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43">
              <w:r>
                <w:rPr>
                  <w:rFonts w:ascii="Arial" w:cs="Arial" w:eastAsia="Arial" w:hAnsi="Arial"/>
                  <w:sz w:val="15"/>
                  <w:szCs w:val="15"/>
                  <w:color w:val="7B7C80"/>
                </w:rPr>
                <w:t>40</w:t>
              </w:r>
            </w:hyperlink>
          </w:p>
        </w:tc>
      </w:tr>
      <w:tr>
        <w:trPr>
          <w:trHeight w:val="20"/>
        </w:trPr>
        <w:tc>
          <w:tcPr>
            <w:tcW w:w="400" w:type="dxa"/>
            <w:vAlign w:val="bottom"/>
          </w:tcPr>
          <w:p>
            <w:pPr>
              <w:spacing w:after="0" w:line="20" w:lineRule="exact"/>
              <w:rPr>
                <w:sz w:val="1"/>
                <w:szCs w:val="1"/>
                <w:color w:val="auto"/>
              </w:rPr>
            </w:pPr>
          </w:p>
        </w:tc>
        <w:tc>
          <w:tcPr>
            <w:tcW w:w="1020" w:type="dxa"/>
            <w:vAlign w:val="bottom"/>
            <w:gridSpan w:val="4"/>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920" w:type="dxa"/>
            <w:vAlign w:val="bottom"/>
            <w:tcBorders>
              <w:left w:val="single" w:sz="8" w:color="7B7C80"/>
            </w:tcBorders>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400" w:type="dxa"/>
            <w:vAlign w:val="bottom"/>
            <w:gridSpan w:val="6"/>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84"/>
        </w:trPr>
        <w:tc>
          <w:tcPr>
            <w:tcW w:w="4880" w:type="dxa"/>
            <w:vAlign w:val="bottom"/>
            <w:gridSpan w:val="21"/>
          </w:tcPr>
          <w:p>
            <w:pPr>
              <w:spacing w:after="0"/>
              <w:rPr>
                <w:sz w:val="20"/>
                <w:szCs w:val="20"/>
                <w:color w:val="auto"/>
              </w:rPr>
            </w:pPr>
            <w:r>
              <w:rPr>
                <w:rFonts w:ascii="Arial" w:cs="Arial" w:eastAsia="Arial" w:hAnsi="Arial"/>
                <w:sz w:val="15"/>
                <w:szCs w:val="15"/>
                <w:color w:val="7B7C80"/>
              </w:rPr>
              <w:t>Compensation Tables</w:t>
            </w:r>
          </w:p>
        </w:tc>
        <w:tc>
          <w:tcPr>
            <w:tcW w:w="4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46"/>
        </w:trPr>
        <w:tc>
          <w:tcPr>
            <w:tcW w:w="4880" w:type="dxa"/>
            <w:vAlign w:val="bottom"/>
            <w:gridSpan w:val="21"/>
          </w:tcPr>
          <w:p>
            <w:pPr>
              <w:ind w:left="280"/>
              <w:spacing w:after="0" w:line="127" w:lineRule="exact"/>
              <w:rPr>
                <w:rFonts w:ascii="Arial" w:cs="Arial" w:eastAsia="Arial" w:hAnsi="Arial"/>
                <w:sz w:val="14"/>
                <w:szCs w:val="14"/>
                <w:color w:val="7B7C80"/>
              </w:rPr>
            </w:pPr>
            <w:hyperlink w:anchor="page44">
              <w:r>
                <w:rPr>
                  <w:rFonts w:ascii="Arial" w:cs="Arial" w:eastAsia="Arial" w:hAnsi="Arial"/>
                  <w:sz w:val="14"/>
                  <w:szCs w:val="14"/>
                  <w:u w:val="single" w:color="auto"/>
                  <w:color w:val="7B7C80"/>
                </w:rPr>
                <w:t>•</w:t>
              </w:r>
              <w:r>
                <w:rPr>
                  <w:rFonts w:ascii="Arial" w:cs="Arial" w:eastAsia="Arial" w:hAnsi="Arial"/>
                  <w:sz w:val="14"/>
                  <w:szCs w:val="14"/>
                  <w:color w:val="7B7C80"/>
                </w:rPr>
                <w:t xml:space="preserve"> Summary Compensation Table</w:t>
              </w:r>
            </w:hyperlink>
          </w:p>
        </w:tc>
        <w:tc>
          <w:tcPr>
            <w:tcW w:w="4260" w:type="dxa"/>
            <w:vAlign w:val="bottom"/>
            <w:gridSpan w:val="3"/>
          </w:tcPr>
          <w:p>
            <w:pPr>
              <w:jc w:val="center"/>
              <w:ind w:left="3846"/>
              <w:spacing w:after="0" w:line="127" w:lineRule="exact"/>
              <w:rPr>
                <w:rFonts w:ascii="Arial" w:cs="Arial" w:eastAsia="Arial" w:hAnsi="Arial"/>
                <w:sz w:val="14"/>
                <w:szCs w:val="14"/>
                <w:color w:val="7B7C80"/>
              </w:rPr>
            </w:pPr>
            <w:hyperlink w:anchor="page44">
              <w:r>
                <w:rPr>
                  <w:rFonts w:ascii="Arial" w:cs="Arial" w:eastAsia="Arial" w:hAnsi="Arial"/>
                  <w:sz w:val="14"/>
                  <w:szCs w:val="14"/>
                  <w:color w:val="7B7C80"/>
                </w:rPr>
                <w:t>41</w:t>
              </w:r>
            </w:hyperlink>
          </w:p>
        </w:tc>
      </w:tr>
      <w:tr>
        <w:trPr>
          <w:trHeight w:val="20"/>
        </w:trPr>
        <w:tc>
          <w:tcPr>
            <w:tcW w:w="400" w:type="dxa"/>
            <w:vAlign w:val="bottom"/>
          </w:tcPr>
          <w:p>
            <w:pPr>
              <w:spacing w:after="0" w:line="20" w:lineRule="exact"/>
              <w:rPr>
                <w:sz w:val="1"/>
                <w:szCs w:val="1"/>
                <w:color w:val="auto"/>
              </w:rPr>
            </w:pPr>
          </w:p>
        </w:tc>
        <w:tc>
          <w:tcPr>
            <w:tcW w:w="1020" w:type="dxa"/>
            <w:vAlign w:val="bottom"/>
            <w:gridSpan w:val="4"/>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920" w:type="dxa"/>
            <w:vAlign w:val="bottom"/>
            <w:tcBorders>
              <w:left w:val="single" w:sz="8" w:color="7B7C80"/>
            </w:tcBorders>
            <w:gridSpan w:val="3"/>
            <w:shd w:val="clear" w:color="auto" w:fill="7B7C8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400" w:type="dxa"/>
            <w:vAlign w:val="bottom"/>
            <w:gridSpan w:val="6"/>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6">
              <w:r>
                <w:rPr>
                  <w:rFonts w:ascii="Arial" w:cs="Arial" w:eastAsia="Arial" w:hAnsi="Arial"/>
                  <w:sz w:val="15"/>
                  <w:szCs w:val="15"/>
                  <w:u w:val="single" w:color="auto"/>
                  <w:color w:val="7B7C80"/>
                </w:rPr>
                <w:t>•</w:t>
              </w:r>
            </w:hyperlink>
          </w:p>
        </w:tc>
        <w:tc>
          <w:tcPr>
            <w:tcW w:w="2360" w:type="dxa"/>
            <w:vAlign w:val="bottom"/>
            <w:gridSpan w:val="11"/>
          </w:tcPr>
          <w:p>
            <w:pPr>
              <w:spacing w:after="0" w:line="141" w:lineRule="exact"/>
              <w:rPr>
                <w:rFonts w:ascii="Arial" w:cs="Arial" w:eastAsia="Arial" w:hAnsi="Arial"/>
                <w:sz w:val="15"/>
                <w:szCs w:val="15"/>
                <w:color w:val="7B7C80"/>
                <w:w w:val="97"/>
              </w:rPr>
            </w:pPr>
            <w:hyperlink w:anchor="page46">
              <w:r>
                <w:rPr>
                  <w:rFonts w:ascii="Arial" w:cs="Arial" w:eastAsia="Arial" w:hAnsi="Arial"/>
                  <w:sz w:val="15"/>
                  <w:szCs w:val="15"/>
                  <w:color w:val="7B7C80"/>
                  <w:w w:val="97"/>
                </w:rPr>
                <w:t>Grants of Plan Based Awards Table</w:t>
              </w:r>
            </w:hyperlink>
          </w:p>
        </w:tc>
        <w:tc>
          <w:tcPr>
            <w:tcW w:w="2120" w:type="dxa"/>
            <w:vAlign w:val="bottom"/>
            <w:gridSpan w:val="9"/>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46">
              <w:r>
                <w:rPr>
                  <w:rFonts w:ascii="Arial" w:cs="Arial" w:eastAsia="Arial" w:hAnsi="Arial"/>
                  <w:sz w:val="15"/>
                  <w:szCs w:val="15"/>
                  <w:color w:val="7B7C80"/>
                </w:rPr>
                <w:t>43</w:t>
              </w:r>
            </w:hyperlink>
          </w:p>
        </w:tc>
      </w:tr>
      <w:tr>
        <w:trPr>
          <w:trHeight w:val="20"/>
        </w:trPr>
        <w:tc>
          <w:tcPr>
            <w:tcW w:w="400" w:type="dxa"/>
            <w:vAlign w:val="bottom"/>
          </w:tcPr>
          <w:p>
            <w:pPr>
              <w:spacing w:after="0" w:line="20" w:lineRule="exact"/>
              <w:rPr>
                <w:sz w:val="1"/>
                <w:szCs w:val="1"/>
                <w:color w:val="auto"/>
              </w:rPr>
            </w:pPr>
          </w:p>
        </w:tc>
        <w:tc>
          <w:tcPr>
            <w:tcW w:w="1020" w:type="dxa"/>
            <w:vAlign w:val="bottom"/>
            <w:gridSpan w:val="4"/>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080" w:type="dxa"/>
            <w:vAlign w:val="bottom"/>
            <w:tcBorders>
              <w:left w:val="single" w:sz="8" w:color="7B7C80"/>
            </w:tcBorders>
            <w:gridSpan w:val="4"/>
            <w:shd w:val="clear" w:color="auto" w:fill="7B7C80"/>
          </w:tcPr>
          <w:p>
            <w:pPr>
              <w:spacing w:after="0" w:line="20" w:lineRule="exact"/>
              <w:rPr>
                <w:sz w:val="1"/>
                <w:szCs w:val="1"/>
                <w:color w:val="auto"/>
              </w:rPr>
            </w:pPr>
          </w:p>
        </w:tc>
        <w:tc>
          <w:tcPr>
            <w:tcW w:w="160" w:type="dxa"/>
            <w:vAlign w:val="bottom"/>
            <w:gridSpan w:val="2"/>
            <w:shd w:val="clear" w:color="auto" w:fill="7B7C80"/>
          </w:tcPr>
          <w:p>
            <w:pPr>
              <w:spacing w:after="0" w:line="20" w:lineRule="exact"/>
              <w:rPr>
                <w:sz w:val="1"/>
                <w:szCs w:val="1"/>
                <w:color w:val="auto"/>
              </w:rPr>
            </w:pPr>
          </w:p>
        </w:tc>
        <w:tc>
          <w:tcPr>
            <w:tcW w:w="400" w:type="dxa"/>
            <w:vAlign w:val="bottom"/>
            <w:gridSpan w:val="6"/>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7">
              <w:r>
                <w:rPr>
                  <w:rFonts w:ascii="Arial" w:cs="Arial" w:eastAsia="Arial" w:hAnsi="Arial"/>
                  <w:sz w:val="15"/>
                  <w:szCs w:val="15"/>
                  <w:u w:val="single" w:color="auto"/>
                  <w:color w:val="7B7C80"/>
                </w:rPr>
                <w:t>•</w:t>
              </w:r>
            </w:hyperlink>
          </w:p>
        </w:tc>
        <w:tc>
          <w:tcPr>
            <w:tcW w:w="2360" w:type="dxa"/>
            <w:vAlign w:val="bottom"/>
            <w:gridSpan w:val="11"/>
          </w:tcPr>
          <w:p>
            <w:pPr>
              <w:spacing w:after="0" w:line="141" w:lineRule="exact"/>
              <w:rPr>
                <w:rFonts w:ascii="Arial" w:cs="Arial" w:eastAsia="Arial" w:hAnsi="Arial"/>
                <w:sz w:val="15"/>
                <w:szCs w:val="15"/>
                <w:color w:val="7B7C80"/>
              </w:rPr>
            </w:pPr>
            <w:hyperlink w:anchor="page47">
              <w:r>
                <w:rPr>
                  <w:rFonts w:ascii="Arial" w:cs="Arial" w:eastAsia="Arial" w:hAnsi="Arial"/>
                  <w:sz w:val="15"/>
                  <w:szCs w:val="15"/>
                  <w:color w:val="7B7C80"/>
                </w:rPr>
                <w:t>Outstanding Equity Awards Table</w:t>
              </w:r>
            </w:hyperlink>
          </w:p>
        </w:tc>
        <w:tc>
          <w:tcPr>
            <w:tcW w:w="2120" w:type="dxa"/>
            <w:vAlign w:val="bottom"/>
            <w:gridSpan w:val="9"/>
          </w:tcPr>
          <w:p>
            <w:pPr>
              <w:spacing w:after="0"/>
              <w:rPr>
                <w:sz w:val="13"/>
                <w:szCs w:val="13"/>
                <w:color w:val="auto"/>
              </w:rPr>
            </w:pPr>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47">
              <w:r>
                <w:rPr>
                  <w:rFonts w:ascii="Arial" w:cs="Arial" w:eastAsia="Arial" w:hAnsi="Arial"/>
                  <w:sz w:val="15"/>
                  <w:szCs w:val="15"/>
                  <w:color w:val="7B7C80"/>
                </w:rPr>
                <w:t>44</w:t>
              </w:r>
            </w:hyperlink>
          </w:p>
        </w:tc>
      </w:tr>
      <w:tr>
        <w:trPr>
          <w:trHeight w:val="20"/>
        </w:trPr>
        <w:tc>
          <w:tcPr>
            <w:tcW w:w="400" w:type="dxa"/>
            <w:vAlign w:val="bottom"/>
          </w:tcPr>
          <w:p>
            <w:pPr>
              <w:spacing w:after="0" w:line="20" w:lineRule="exact"/>
              <w:rPr>
                <w:sz w:val="1"/>
                <w:szCs w:val="1"/>
                <w:color w:val="auto"/>
              </w:rPr>
            </w:pPr>
          </w:p>
        </w:tc>
        <w:tc>
          <w:tcPr>
            <w:tcW w:w="1020" w:type="dxa"/>
            <w:vAlign w:val="bottom"/>
            <w:gridSpan w:val="4"/>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080" w:type="dxa"/>
            <w:vAlign w:val="bottom"/>
            <w:tcBorders>
              <w:left w:val="single" w:sz="8" w:color="7B7C80"/>
            </w:tcBorders>
            <w:gridSpan w:val="4"/>
            <w:shd w:val="clear" w:color="auto" w:fill="7B7C80"/>
          </w:tcPr>
          <w:p>
            <w:pPr>
              <w:spacing w:after="0" w:line="20" w:lineRule="exact"/>
              <w:rPr>
                <w:sz w:val="1"/>
                <w:szCs w:val="1"/>
                <w:color w:val="auto"/>
              </w:rPr>
            </w:pPr>
          </w:p>
        </w:tc>
        <w:tc>
          <w:tcPr>
            <w:tcW w:w="560" w:type="dxa"/>
            <w:vAlign w:val="bottom"/>
            <w:gridSpan w:val="8"/>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48">
              <w:r>
                <w:rPr>
                  <w:rFonts w:ascii="Arial" w:cs="Arial" w:eastAsia="Arial" w:hAnsi="Arial"/>
                  <w:sz w:val="15"/>
                  <w:szCs w:val="15"/>
                  <w:u w:val="single" w:color="auto"/>
                  <w:color w:val="7B7C80"/>
                </w:rPr>
                <w:t>•</w:t>
              </w:r>
            </w:hyperlink>
          </w:p>
        </w:tc>
        <w:tc>
          <w:tcPr>
            <w:tcW w:w="4480" w:type="dxa"/>
            <w:vAlign w:val="bottom"/>
            <w:gridSpan w:val="20"/>
          </w:tcPr>
          <w:p>
            <w:pPr>
              <w:spacing w:after="0" w:line="141" w:lineRule="exact"/>
              <w:rPr>
                <w:rFonts w:ascii="Arial" w:cs="Arial" w:eastAsia="Arial" w:hAnsi="Arial"/>
                <w:sz w:val="15"/>
                <w:szCs w:val="15"/>
                <w:color w:val="7B7C80"/>
              </w:rPr>
            </w:pPr>
            <w:hyperlink w:anchor="page48">
              <w:r>
                <w:rPr>
                  <w:rFonts w:ascii="Arial" w:cs="Arial" w:eastAsia="Arial" w:hAnsi="Arial"/>
                  <w:sz w:val="15"/>
                  <w:szCs w:val="15"/>
                  <w:color w:val="7B7C80"/>
                </w:rPr>
                <w:t>Option Exercises and Stock Vesting Table</w:t>
              </w:r>
            </w:hyperlink>
          </w:p>
        </w:tc>
        <w:tc>
          <w:tcPr>
            <w:tcW w:w="4260" w:type="dxa"/>
            <w:vAlign w:val="bottom"/>
            <w:gridSpan w:val="3"/>
          </w:tcPr>
          <w:p>
            <w:pPr>
              <w:jc w:val="center"/>
              <w:ind w:left="3846"/>
              <w:spacing w:after="0" w:line="141" w:lineRule="exact"/>
              <w:rPr>
                <w:rFonts w:ascii="Arial" w:cs="Arial" w:eastAsia="Arial" w:hAnsi="Arial"/>
                <w:sz w:val="15"/>
                <w:szCs w:val="15"/>
                <w:color w:val="7B7C80"/>
              </w:rPr>
            </w:pPr>
            <w:hyperlink w:anchor="page48">
              <w:r>
                <w:rPr>
                  <w:rFonts w:ascii="Arial" w:cs="Arial" w:eastAsia="Arial" w:hAnsi="Arial"/>
                  <w:sz w:val="15"/>
                  <w:szCs w:val="15"/>
                  <w:color w:val="7B7C80"/>
                </w:rPr>
                <w:t>45</w:t>
              </w:r>
            </w:hyperlink>
          </w:p>
        </w:tc>
      </w:tr>
      <w:tr>
        <w:trPr>
          <w:trHeight w:val="20"/>
        </w:trPr>
        <w:tc>
          <w:tcPr>
            <w:tcW w:w="400" w:type="dxa"/>
            <w:vAlign w:val="bottom"/>
          </w:tcPr>
          <w:p>
            <w:pPr>
              <w:spacing w:after="0" w:line="20" w:lineRule="exact"/>
              <w:rPr>
                <w:sz w:val="1"/>
                <w:szCs w:val="1"/>
                <w:color w:val="auto"/>
              </w:rPr>
            </w:pPr>
          </w:p>
        </w:tc>
        <w:tc>
          <w:tcPr>
            <w:tcW w:w="1020" w:type="dxa"/>
            <w:vAlign w:val="bottom"/>
            <w:gridSpan w:val="4"/>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640" w:type="dxa"/>
            <w:vAlign w:val="bottom"/>
            <w:tcBorders>
              <w:left w:val="single" w:sz="8" w:color="7B7C80"/>
            </w:tcBorders>
            <w:gridSpan w:val="12"/>
            <w:shd w:val="clear" w:color="auto" w:fill="7B7C80"/>
          </w:tcPr>
          <w:p>
            <w:pPr>
              <w:spacing w:after="0" w:line="20" w:lineRule="exact"/>
              <w:rPr>
                <w:sz w:val="1"/>
                <w:szCs w:val="1"/>
                <w:color w:val="auto"/>
              </w:rPr>
            </w:pPr>
          </w:p>
        </w:tc>
        <w:tc>
          <w:tcPr>
            <w:tcW w:w="1720" w:type="dxa"/>
            <w:vAlign w:val="bottom"/>
            <w:gridSpan w:val="3"/>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880" w:type="dxa"/>
            <w:vAlign w:val="bottom"/>
            <w:gridSpan w:val="21"/>
          </w:tcPr>
          <w:p>
            <w:pPr>
              <w:ind w:left="280"/>
              <w:spacing w:after="0" w:line="141" w:lineRule="exact"/>
              <w:rPr>
                <w:rFonts w:ascii="Arial" w:cs="Arial" w:eastAsia="Arial" w:hAnsi="Arial"/>
                <w:sz w:val="15"/>
                <w:szCs w:val="15"/>
                <w:color w:val="7B7C80"/>
              </w:rPr>
            </w:pPr>
            <w:hyperlink w:anchor="page48">
              <w:r>
                <w:rPr>
                  <w:rFonts w:ascii="Arial" w:cs="Arial" w:eastAsia="Arial" w:hAnsi="Arial"/>
                  <w:sz w:val="15"/>
                  <w:szCs w:val="15"/>
                  <w:u w:val="single" w:color="auto"/>
                  <w:color w:val="7B7C80"/>
                </w:rPr>
                <w:t>•</w:t>
              </w:r>
              <w:r>
                <w:rPr>
                  <w:rFonts w:ascii="Arial" w:cs="Arial" w:eastAsia="Arial" w:hAnsi="Arial"/>
                  <w:sz w:val="15"/>
                  <w:szCs w:val="15"/>
                  <w:color w:val="7B7C80"/>
                </w:rPr>
                <w:t xml:space="preserve"> CEO Pay Ratio</w:t>
              </w:r>
            </w:hyperlink>
          </w:p>
        </w:tc>
        <w:tc>
          <w:tcPr>
            <w:tcW w:w="4260" w:type="dxa"/>
            <w:vAlign w:val="bottom"/>
            <w:gridSpan w:val="3"/>
          </w:tcPr>
          <w:p>
            <w:pPr>
              <w:jc w:val="center"/>
              <w:ind w:left="3846"/>
              <w:spacing w:after="0" w:line="141" w:lineRule="exact"/>
              <w:rPr>
                <w:rFonts w:ascii="Arial" w:cs="Arial" w:eastAsia="Arial" w:hAnsi="Arial"/>
                <w:sz w:val="15"/>
                <w:szCs w:val="15"/>
                <w:color w:val="7B7C80"/>
              </w:rPr>
            </w:pPr>
            <w:hyperlink w:anchor="page48">
              <w:r>
                <w:rPr>
                  <w:rFonts w:ascii="Arial" w:cs="Arial" w:eastAsia="Arial" w:hAnsi="Arial"/>
                  <w:sz w:val="15"/>
                  <w:szCs w:val="15"/>
                  <w:color w:val="7B7C80"/>
                </w:rPr>
                <w:t>45</w:t>
              </w:r>
            </w:hyperlink>
          </w:p>
        </w:tc>
      </w:tr>
      <w:tr>
        <w:trPr>
          <w:trHeight w:val="20"/>
        </w:trPr>
        <w:tc>
          <w:tcPr>
            <w:tcW w:w="400" w:type="dxa"/>
            <w:vAlign w:val="bottom"/>
          </w:tcPr>
          <w:p>
            <w:pPr>
              <w:spacing w:after="0" w:line="20" w:lineRule="exact"/>
              <w:rPr>
                <w:sz w:val="1"/>
                <w:szCs w:val="1"/>
                <w:color w:val="auto"/>
              </w:rPr>
            </w:pPr>
          </w:p>
        </w:tc>
        <w:tc>
          <w:tcPr>
            <w:tcW w:w="1020" w:type="dxa"/>
            <w:vAlign w:val="bottom"/>
            <w:gridSpan w:val="4"/>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360" w:type="dxa"/>
            <w:vAlign w:val="bottom"/>
            <w:gridSpan w:val="15"/>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52">
              <w:r>
                <w:rPr>
                  <w:rFonts w:ascii="Arial" w:cs="Arial" w:eastAsia="Arial" w:hAnsi="Arial"/>
                  <w:sz w:val="15"/>
                  <w:szCs w:val="15"/>
                  <w:u w:val="single" w:color="auto"/>
                  <w:color w:val="7B7C80"/>
                </w:rPr>
                <w:t>•</w:t>
              </w:r>
            </w:hyperlink>
          </w:p>
        </w:tc>
        <w:tc>
          <w:tcPr>
            <w:tcW w:w="4480" w:type="dxa"/>
            <w:vAlign w:val="bottom"/>
            <w:gridSpan w:val="20"/>
          </w:tcPr>
          <w:p>
            <w:pPr>
              <w:spacing w:after="0" w:line="141" w:lineRule="exact"/>
              <w:rPr>
                <w:rFonts w:ascii="Arial" w:cs="Arial" w:eastAsia="Arial" w:hAnsi="Arial"/>
                <w:sz w:val="15"/>
                <w:szCs w:val="15"/>
                <w:color w:val="7B7C80"/>
              </w:rPr>
            </w:pPr>
            <w:hyperlink w:anchor="page52">
              <w:r>
                <w:rPr>
                  <w:rFonts w:ascii="Arial" w:cs="Arial" w:eastAsia="Arial" w:hAnsi="Arial"/>
                  <w:sz w:val="15"/>
                  <w:szCs w:val="15"/>
                  <w:color w:val="7B7C80"/>
                </w:rPr>
                <w:t>Pension Benefits</w:t>
              </w:r>
            </w:hyperlink>
          </w:p>
        </w:tc>
        <w:tc>
          <w:tcPr>
            <w:tcW w:w="4260" w:type="dxa"/>
            <w:vAlign w:val="bottom"/>
            <w:gridSpan w:val="3"/>
          </w:tcPr>
          <w:p>
            <w:pPr>
              <w:jc w:val="center"/>
              <w:ind w:left="3846"/>
              <w:spacing w:after="0" w:line="141" w:lineRule="exact"/>
              <w:rPr>
                <w:rFonts w:ascii="Arial" w:cs="Arial" w:eastAsia="Arial" w:hAnsi="Arial"/>
                <w:sz w:val="15"/>
                <w:szCs w:val="15"/>
                <w:color w:val="7B7C80"/>
              </w:rPr>
            </w:pPr>
            <w:hyperlink w:anchor="page52">
              <w:r>
                <w:rPr>
                  <w:rFonts w:ascii="Arial" w:cs="Arial" w:eastAsia="Arial" w:hAnsi="Arial"/>
                  <w:sz w:val="15"/>
                  <w:szCs w:val="15"/>
                  <w:color w:val="7B7C80"/>
                </w:rPr>
                <w:t>49</w:t>
              </w:r>
            </w:hyperlink>
          </w:p>
        </w:tc>
      </w:tr>
      <w:tr>
        <w:trPr>
          <w:trHeight w:val="20"/>
        </w:trPr>
        <w:tc>
          <w:tcPr>
            <w:tcW w:w="400" w:type="dxa"/>
            <w:vAlign w:val="bottom"/>
          </w:tcPr>
          <w:p>
            <w:pPr>
              <w:spacing w:after="0" w:line="20" w:lineRule="exact"/>
              <w:rPr>
                <w:sz w:val="1"/>
                <w:szCs w:val="1"/>
                <w:color w:val="auto"/>
              </w:rPr>
            </w:pPr>
          </w:p>
        </w:tc>
        <w:tc>
          <w:tcPr>
            <w:tcW w:w="1120" w:type="dxa"/>
            <w:vAlign w:val="bottom"/>
            <w:gridSpan w:val="5"/>
            <w:shd w:val="clear" w:color="auto" w:fill="7B7C80"/>
          </w:tcPr>
          <w:p>
            <w:pPr>
              <w:spacing w:after="0" w:line="20" w:lineRule="exact"/>
              <w:rPr>
                <w:sz w:val="1"/>
                <w:szCs w:val="1"/>
                <w:color w:val="auto"/>
              </w:rPr>
            </w:pPr>
          </w:p>
        </w:tc>
        <w:tc>
          <w:tcPr>
            <w:tcW w:w="3360" w:type="dxa"/>
            <w:vAlign w:val="bottom"/>
            <w:gridSpan w:val="15"/>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52"/>
        </w:trPr>
        <w:tc>
          <w:tcPr>
            <w:tcW w:w="400" w:type="dxa"/>
            <w:vAlign w:val="bottom"/>
          </w:tcPr>
          <w:p>
            <w:pPr>
              <w:ind w:left="280"/>
              <w:spacing w:after="0" w:line="141" w:lineRule="exact"/>
              <w:rPr>
                <w:rFonts w:ascii="Arial" w:cs="Arial" w:eastAsia="Arial" w:hAnsi="Arial"/>
                <w:sz w:val="15"/>
                <w:szCs w:val="15"/>
                <w:u w:val="single" w:color="auto"/>
                <w:color w:val="7B7C80"/>
              </w:rPr>
            </w:pPr>
            <w:hyperlink w:anchor="page58">
              <w:r>
                <w:rPr>
                  <w:rFonts w:ascii="Arial" w:cs="Arial" w:eastAsia="Arial" w:hAnsi="Arial"/>
                  <w:sz w:val="15"/>
                  <w:szCs w:val="15"/>
                  <w:u w:val="single" w:color="auto"/>
                  <w:color w:val="7B7C80"/>
                </w:rPr>
                <w:t>•</w:t>
              </w:r>
            </w:hyperlink>
          </w:p>
        </w:tc>
        <w:tc>
          <w:tcPr>
            <w:tcW w:w="4480" w:type="dxa"/>
            <w:vAlign w:val="bottom"/>
            <w:gridSpan w:val="20"/>
          </w:tcPr>
          <w:p>
            <w:pPr>
              <w:spacing w:after="0" w:line="141" w:lineRule="exact"/>
              <w:rPr>
                <w:rFonts w:ascii="Arial" w:cs="Arial" w:eastAsia="Arial" w:hAnsi="Arial"/>
                <w:sz w:val="15"/>
                <w:szCs w:val="15"/>
                <w:color w:val="7B7C80"/>
                <w:w w:val="98"/>
              </w:rPr>
            </w:pPr>
            <w:hyperlink w:anchor="page58">
              <w:r>
                <w:rPr>
                  <w:rFonts w:ascii="Arial" w:cs="Arial" w:eastAsia="Arial" w:hAnsi="Arial"/>
                  <w:sz w:val="15"/>
                  <w:szCs w:val="15"/>
                  <w:color w:val="7B7C80"/>
                  <w:w w:val="98"/>
                </w:rPr>
                <w:t>Potential Payments Upon Termination Related to Change of Control</w:t>
              </w:r>
            </w:hyperlink>
          </w:p>
        </w:tc>
        <w:tc>
          <w:tcPr>
            <w:tcW w:w="4000" w:type="dxa"/>
            <w:vAlign w:val="bottom"/>
          </w:tcPr>
          <w:p>
            <w:pPr>
              <w:spacing w:after="0"/>
              <w:rPr>
                <w:sz w:val="13"/>
                <w:szCs w:val="13"/>
                <w:color w:val="auto"/>
              </w:rPr>
            </w:pPr>
          </w:p>
        </w:tc>
        <w:tc>
          <w:tcPr>
            <w:tcW w:w="260" w:type="dxa"/>
            <w:vAlign w:val="bottom"/>
            <w:gridSpan w:val="2"/>
          </w:tcPr>
          <w:p>
            <w:pPr>
              <w:jc w:val="center"/>
              <w:ind w:right="80"/>
              <w:spacing w:after="0" w:line="141" w:lineRule="exact"/>
              <w:rPr>
                <w:rFonts w:ascii="Arial" w:cs="Arial" w:eastAsia="Arial" w:hAnsi="Arial"/>
                <w:sz w:val="15"/>
                <w:szCs w:val="15"/>
                <w:color w:val="7B7C80"/>
              </w:rPr>
            </w:pPr>
            <w:hyperlink w:anchor="page58">
              <w:r>
                <w:rPr>
                  <w:rFonts w:ascii="Arial" w:cs="Arial" w:eastAsia="Arial" w:hAnsi="Arial"/>
                  <w:sz w:val="15"/>
                  <w:szCs w:val="15"/>
                  <w:color w:val="7B7C80"/>
                </w:rPr>
                <w:t>55</w:t>
              </w:r>
            </w:hyperlink>
          </w:p>
        </w:tc>
      </w:tr>
      <w:tr>
        <w:trPr>
          <w:trHeight w:val="20"/>
        </w:trPr>
        <w:tc>
          <w:tcPr>
            <w:tcW w:w="40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28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80" w:type="dxa"/>
            <w:vAlign w:val="bottom"/>
            <w:tcBorders>
              <w:left w:val="single" w:sz="8" w:color="7B7C80"/>
            </w:tcBorders>
            <w:shd w:val="clear" w:color="auto" w:fill="7B7C80"/>
          </w:tcPr>
          <w:p>
            <w:pPr>
              <w:spacing w:after="0" w:line="20" w:lineRule="exact"/>
              <w:rPr>
                <w:sz w:val="1"/>
                <w:szCs w:val="1"/>
                <w:color w:val="auto"/>
              </w:rPr>
            </w:pPr>
          </w:p>
        </w:tc>
        <w:tc>
          <w:tcPr>
            <w:tcW w:w="480" w:type="dxa"/>
            <w:vAlign w:val="bottom"/>
            <w:tcBorders>
              <w:left w:val="single" w:sz="8" w:color="7B7C80"/>
            </w:tcBorders>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440" w:type="dxa"/>
            <w:vAlign w:val="bottom"/>
            <w:shd w:val="clear" w:color="auto" w:fill="7B7C80"/>
          </w:tcPr>
          <w:p>
            <w:pPr>
              <w:spacing w:after="0" w:line="20" w:lineRule="exact"/>
              <w:rPr>
                <w:sz w:val="1"/>
                <w:szCs w:val="1"/>
                <w:color w:val="auto"/>
              </w:rPr>
            </w:pPr>
          </w:p>
        </w:tc>
        <w:tc>
          <w:tcPr>
            <w:tcW w:w="720" w:type="dxa"/>
            <w:vAlign w:val="bottom"/>
            <w:shd w:val="clear" w:color="auto" w:fill="7B7C80"/>
          </w:tcPr>
          <w:p>
            <w:pPr>
              <w:spacing w:after="0" w:line="20" w:lineRule="exact"/>
              <w:rPr>
                <w:sz w:val="1"/>
                <w:szCs w:val="1"/>
                <w:color w:val="auto"/>
              </w:rPr>
            </w:pPr>
          </w:p>
        </w:tc>
        <w:tc>
          <w:tcPr>
            <w:tcW w:w="560" w:type="dxa"/>
            <w:vAlign w:val="bottom"/>
            <w:shd w:val="clear" w:color="auto" w:fill="7B7C80"/>
          </w:tcPr>
          <w:p>
            <w:pPr>
              <w:spacing w:after="0" w:line="20" w:lineRule="exact"/>
              <w:rPr>
                <w:sz w:val="1"/>
                <w:szCs w:val="1"/>
                <w:color w:val="auto"/>
              </w:rPr>
            </w:pPr>
          </w:p>
        </w:tc>
        <w:tc>
          <w:tcPr>
            <w:tcW w:w="4000" w:type="dxa"/>
            <w:vAlign w:val="bottom"/>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79"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Compensation Discussion and Analysis (CD&amp;A)</w:t>
      </w:r>
    </w:p>
    <w:p>
      <w:pPr>
        <w:spacing w:after="0" w:line="201" w:lineRule="exact"/>
        <w:rPr>
          <w:sz w:val="20"/>
          <w:szCs w:val="20"/>
          <w:color w:val="auto"/>
        </w:rPr>
      </w:pPr>
    </w:p>
    <w:p>
      <w:pPr>
        <w:ind w:left="8"/>
        <w:spacing w:after="0" w:line="247" w:lineRule="auto"/>
        <w:rPr>
          <w:sz w:val="20"/>
          <w:szCs w:val="20"/>
          <w:color w:val="auto"/>
        </w:rPr>
      </w:pPr>
      <w:r>
        <w:rPr>
          <w:rFonts w:ascii="Arial" w:cs="Arial" w:eastAsia="Arial" w:hAnsi="Arial"/>
          <w:sz w:val="15"/>
          <w:szCs w:val="15"/>
          <w:color w:val="7B7C80"/>
        </w:rPr>
        <w:t>The CD&amp;A describes Principal Financial Group, Inc.'s Executive compensation objectives and philosophy. It also describes our 2017 compensation program and reviews the outcomes, including the Company's financial performance in 2017. Our "Named Executive Officers" in 2017 were—</w:t>
      </w:r>
    </w:p>
    <w:p>
      <w:pPr>
        <w:spacing w:after="0" w:line="154" w:lineRule="exact"/>
        <w:rPr>
          <w:sz w:val="20"/>
          <w:szCs w:val="20"/>
          <w:color w:val="auto"/>
        </w:rPr>
      </w:pPr>
    </w:p>
    <w:p>
      <w:pPr>
        <w:jc w:val="both"/>
        <w:ind w:left="448" w:hanging="448"/>
        <w:spacing w:after="0" w:line="256" w:lineRule="auto"/>
        <w:tabs>
          <w:tab w:leader="none" w:pos="448" w:val="left"/>
        </w:tabs>
        <w:numPr>
          <w:ilvl w:val="0"/>
          <w:numId w:val="19"/>
        </w:numPr>
        <w:rPr>
          <w:rFonts w:ascii="Arial" w:cs="Arial" w:eastAsia="Arial" w:hAnsi="Arial"/>
          <w:sz w:val="15"/>
          <w:szCs w:val="15"/>
          <w:color w:val="7B7C80"/>
        </w:rPr>
      </w:pPr>
      <w:r>
        <w:rPr>
          <w:rFonts w:ascii="Arial" w:cs="Arial" w:eastAsia="Arial" w:hAnsi="Arial"/>
          <w:sz w:val="15"/>
          <w:szCs w:val="15"/>
          <w:b w:val="1"/>
          <w:bCs w:val="1"/>
          <w:color w:val="7B7C80"/>
        </w:rPr>
        <w:t xml:space="preserve">Daniel J. Houston, Chairman, President and Chief Executive Officer. </w:t>
      </w:r>
      <w:r>
        <w:rPr>
          <w:rFonts w:ascii="Arial" w:cs="Arial" w:eastAsia="Arial" w:hAnsi="Arial"/>
          <w:sz w:val="15"/>
          <w:szCs w:val="15"/>
          <w:color w:val="7B7C80"/>
        </w:rPr>
        <w:t>Mr. Houston has overall responsibility for all businesses of the organization. He previously</w:t>
      </w:r>
      <w:r>
        <w:rPr>
          <w:rFonts w:ascii="Arial" w:cs="Arial" w:eastAsia="Arial" w:hAnsi="Arial"/>
          <w:sz w:val="15"/>
          <w:szCs w:val="15"/>
          <w:b w:val="1"/>
          <w:bCs w:val="1"/>
          <w:color w:val="7B7C80"/>
        </w:rPr>
        <w:t xml:space="preserve"> </w:t>
      </w:r>
      <w:r>
        <w:rPr>
          <w:rFonts w:ascii="Arial" w:cs="Arial" w:eastAsia="Arial" w:hAnsi="Arial"/>
          <w:sz w:val="15"/>
          <w:szCs w:val="15"/>
          <w:color w:val="7B7C80"/>
        </w:rPr>
        <w:t>served as President and Chief Operating Officer, overseeing all global businesses, and the Retirement and Investor Services and U.S. Insurance Solutions segments of the organization.</w:t>
      </w:r>
    </w:p>
    <w:p>
      <w:pPr>
        <w:spacing w:after="0" w:line="146" w:lineRule="exact"/>
        <w:rPr>
          <w:rFonts w:ascii="Arial" w:cs="Arial" w:eastAsia="Arial" w:hAnsi="Arial"/>
          <w:sz w:val="15"/>
          <w:szCs w:val="15"/>
          <w:color w:val="7B7C80"/>
        </w:rPr>
      </w:pPr>
    </w:p>
    <w:p>
      <w:pPr>
        <w:jc w:val="both"/>
        <w:ind w:left="448" w:hanging="448"/>
        <w:spacing w:after="0" w:line="256" w:lineRule="auto"/>
        <w:tabs>
          <w:tab w:leader="none" w:pos="448" w:val="left"/>
        </w:tabs>
        <w:numPr>
          <w:ilvl w:val="0"/>
          <w:numId w:val="19"/>
        </w:numPr>
        <w:rPr>
          <w:rFonts w:ascii="Arial" w:cs="Arial" w:eastAsia="Arial" w:hAnsi="Arial"/>
          <w:sz w:val="15"/>
          <w:szCs w:val="15"/>
          <w:color w:val="7B7C80"/>
        </w:rPr>
      </w:pPr>
      <w:r>
        <w:rPr>
          <w:rFonts w:ascii="Arial" w:cs="Arial" w:eastAsia="Arial" w:hAnsi="Arial"/>
          <w:sz w:val="15"/>
          <w:szCs w:val="15"/>
          <w:b w:val="1"/>
          <w:bCs w:val="1"/>
          <w:color w:val="7B7C80"/>
        </w:rPr>
        <w:t xml:space="preserve">Deanna D. Strable, Executive Vice President and Chief Financial Officer. </w:t>
      </w:r>
      <w:r>
        <w:rPr>
          <w:rFonts w:ascii="Arial" w:cs="Arial" w:eastAsia="Arial" w:hAnsi="Arial"/>
          <w:sz w:val="15"/>
          <w:szCs w:val="15"/>
          <w:color w:val="7B7C80"/>
        </w:rPr>
        <w:t>Ms. Strable has been with the Company since 1990, and prior to becoming Chief</w:t>
      </w:r>
      <w:r>
        <w:rPr>
          <w:rFonts w:ascii="Arial" w:cs="Arial" w:eastAsia="Arial" w:hAnsi="Arial"/>
          <w:sz w:val="15"/>
          <w:szCs w:val="15"/>
          <w:b w:val="1"/>
          <w:bCs w:val="1"/>
          <w:color w:val="7B7C80"/>
        </w:rPr>
        <w:t xml:space="preserve"> </w:t>
      </w:r>
      <w:r>
        <w:rPr>
          <w:rFonts w:ascii="Arial" w:cs="Arial" w:eastAsia="Arial" w:hAnsi="Arial"/>
          <w:sz w:val="15"/>
          <w:szCs w:val="15"/>
          <w:color w:val="7B7C80"/>
        </w:rPr>
        <w:t>Financial Officer, was Executive Vice President and President of U. S. Insurance Solutions with overall accountability for individual life, nonqualified deferred compensation, individual disability and group benefits.</w:t>
      </w:r>
    </w:p>
    <w:p>
      <w:pPr>
        <w:spacing w:after="0" w:line="135" w:lineRule="exact"/>
        <w:rPr>
          <w:rFonts w:ascii="Arial" w:cs="Arial" w:eastAsia="Arial" w:hAnsi="Arial"/>
          <w:sz w:val="15"/>
          <w:szCs w:val="15"/>
          <w:color w:val="7B7C80"/>
        </w:rPr>
      </w:pPr>
    </w:p>
    <w:p>
      <w:pPr>
        <w:ind w:left="448" w:right="20" w:hanging="448"/>
        <w:spacing w:after="0" w:line="272" w:lineRule="auto"/>
        <w:tabs>
          <w:tab w:leader="none" w:pos="448" w:val="left"/>
        </w:tabs>
        <w:numPr>
          <w:ilvl w:val="0"/>
          <w:numId w:val="19"/>
        </w:numPr>
        <w:rPr>
          <w:rFonts w:ascii="Arial" w:cs="Arial" w:eastAsia="Arial" w:hAnsi="Arial"/>
          <w:sz w:val="15"/>
          <w:szCs w:val="15"/>
          <w:color w:val="7B7C80"/>
        </w:rPr>
      </w:pPr>
      <w:r>
        <w:rPr>
          <w:rFonts w:ascii="Arial" w:cs="Arial" w:eastAsia="Arial" w:hAnsi="Arial"/>
          <w:sz w:val="15"/>
          <w:szCs w:val="15"/>
          <w:b w:val="1"/>
          <w:bCs w:val="1"/>
          <w:color w:val="7B7C80"/>
        </w:rPr>
        <w:t xml:space="preserve">Terrance J. Lillis, Executive Vice President and Chief Financial Officer. </w:t>
      </w:r>
      <w:r>
        <w:rPr>
          <w:rFonts w:ascii="Arial" w:cs="Arial" w:eastAsia="Arial" w:hAnsi="Arial"/>
          <w:sz w:val="15"/>
          <w:szCs w:val="15"/>
          <w:color w:val="7B7C80"/>
        </w:rPr>
        <w:t>Mr. Lillis was Executive Vice President and Chief Financial Officer from March of 2014 to</w:t>
      </w:r>
      <w:r>
        <w:rPr>
          <w:rFonts w:ascii="Arial" w:cs="Arial" w:eastAsia="Arial" w:hAnsi="Arial"/>
          <w:sz w:val="15"/>
          <w:szCs w:val="15"/>
          <w:b w:val="1"/>
          <w:bCs w:val="1"/>
          <w:color w:val="7B7C80"/>
        </w:rPr>
        <w:t xml:space="preserve"> </w:t>
      </w:r>
      <w:r>
        <w:rPr>
          <w:rFonts w:ascii="Arial" w:cs="Arial" w:eastAsia="Arial" w:hAnsi="Arial"/>
          <w:sz w:val="15"/>
          <w:szCs w:val="15"/>
          <w:color w:val="7B7C80"/>
        </w:rPr>
        <w:t>February 14, 2017 and retired May 1, 2017.</w:t>
      </w:r>
    </w:p>
    <w:p>
      <w:pPr>
        <w:spacing w:after="0" w:line="124" w:lineRule="exact"/>
        <w:rPr>
          <w:rFonts w:ascii="Arial" w:cs="Arial" w:eastAsia="Arial" w:hAnsi="Arial"/>
          <w:sz w:val="15"/>
          <w:szCs w:val="15"/>
          <w:color w:val="7B7C80"/>
        </w:rPr>
      </w:pPr>
    </w:p>
    <w:p>
      <w:pPr>
        <w:ind w:left="448" w:hanging="448"/>
        <w:spacing w:after="0" w:line="272" w:lineRule="auto"/>
        <w:tabs>
          <w:tab w:leader="none" w:pos="448" w:val="left"/>
        </w:tabs>
        <w:numPr>
          <w:ilvl w:val="0"/>
          <w:numId w:val="19"/>
        </w:numPr>
        <w:rPr>
          <w:rFonts w:ascii="Arial" w:cs="Arial" w:eastAsia="Arial" w:hAnsi="Arial"/>
          <w:sz w:val="15"/>
          <w:szCs w:val="15"/>
          <w:color w:val="7B7C80"/>
        </w:rPr>
      </w:pPr>
      <w:r>
        <w:rPr>
          <w:rFonts w:ascii="Arial" w:cs="Arial" w:eastAsia="Arial" w:hAnsi="Arial"/>
          <w:sz w:val="15"/>
          <w:szCs w:val="15"/>
          <w:b w:val="1"/>
          <w:bCs w:val="1"/>
          <w:color w:val="7B7C80"/>
        </w:rPr>
        <w:t xml:space="preserve">Nora M. Everett, President, Retirement and Income Solutions. </w:t>
      </w:r>
      <w:r>
        <w:rPr>
          <w:rFonts w:ascii="Arial" w:cs="Arial" w:eastAsia="Arial" w:hAnsi="Arial"/>
          <w:sz w:val="15"/>
          <w:szCs w:val="15"/>
          <w:color w:val="7B7C80"/>
        </w:rPr>
        <w:t>Ms. Everett is responsible for U.S. retirement, annuity, broker-dealer and banking businesses. She</w:t>
      </w:r>
      <w:r>
        <w:rPr>
          <w:rFonts w:ascii="Arial" w:cs="Arial" w:eastAsia="Arial" w:hAnsi="Arial"/>
          <w:sz w:val="15"/>
          <w:szCs w:val="15"/>
          <w:b w:val="1"/>
          <w:bCs w:val="1"/>
          <w:color w:val="7B7C80"/>
        </w:rPr>
        <w:t xml:space="preserve"> </w:t>
      </w:r>
      <w:r>
        <w:rPr>
          <w:rFonts w:ascii="Arial" w:cs="Arial" w:eastAsia="Arial" w:hAnsi="Arial"/>
          <w:sz w:val="15"/>
          <w:szCs w:val="15"/>
          <w:color w:val="7B7C80"/>
        </w:rPr>
        <w:t>has been with the Company since 1991 and previously served as Senior Vice President, Retirement and Investor Services and CEO of Principal Funds.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95885</wp:posOffset>
            </wp:positionV>
            <wp:extent cx="960120" cy="28384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71"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24</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27" w:name="page28"/>
    <w:bookmarkEnd w:id="27"/>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ind w:left="448" w:hanging="448"/>
        <w:spacing w:after="0" w:line="272" w:lineRule="auto"/>
        <w:tabs>
          <w:tab w:leader="none" w:pos="448" w:val="left"/>
        </w:tabs>
        <w:numPr>
          <w:ilvl w:val="0"/>
          <w:numId w:val="20"/>
        </w:numPr>
        <w:rPr>
          <w:rFonts w:ascii="Arial" w:cs="Arial" w:eastAsia="Arial" w:hAnsi="Arial"/>
          <w:sz w:val="15"/>
          <w:szCs w:val="15"/>
          <w:color w:val="7B7C80"/>
        </w:rPr>
      </w:pPr>
      <w:r>
        <w:rPr>
          <w:rFonts w:ascii="Arial" w:cs="Arial" w:eastAsia="Arial" w:hAnsi="Arial"/>
          <w:sz w:val="15"/>
          <w:szCs w:val="15"/>
          <w:b w:val="1"/>
          <w:bCs w:val="1"/>
          <w:color w:val="7B7C80"/>
        </w:rPr>
        <w:t xml:space="preserve">James P. McCaughan, President—Global Asset Management. </w:t>
      </w:r>
      <w:r>
        <w:rPr>
          <w:rFonts w:ascii="Arial" w:cs="Arial" w:eastAsia="Arial" w:hAnsi="Arial"/>
          <w:sz w:val="15"/>
          <w:szCs w:val="15"/>
          <w:color w:val="7B7C80"/>
        </w:rPr>
        <w:t>Mr. McCaughan heads the Principal Global Investors segment of our operations, overseeing all</w:t>
      </w:r>
      <w:r>
        <w:rPr>
          <w:rFonts w:ascii="Arial" w:cs="Arial" w:eastAsia="Arial" w:hAnsi="Arial"/>
          <w:sz w:val="15"/>
          <w:szCs w:val="15"/>
          <w:b w:val="1"/>
          <w:bCs w:val="1"/>
          <w:color w:val="7B7C80"/>
        </w:rPr>
        <w:t xml:space="preserve"> </w:t>
      </w:r>
      <w:r>
        <w:rPr>
          <w:rFonts w:ascii="Arial" w:cs="Arial" w:eastAsia="Arial" w:hAnsi="Arial"/>
          <w:sz w:val="15"/>
          <w:szCs w:val="15"/>
          <w:color w:val="7B7C80"/>
        </w:rPr>
        <w:t>global asset management activities, including developing global strategies and identifying and analyzing market opportunities.</w:t>
      </w:r>
    </w:p>
    <w:p>
      <w:pPr>
        <w:spacing w:after="0" w:line="136" w:lineRule="exact"/>
        <w:rPr>
          <w:rFonts w:ascii="Arial" w:cs="Arial" w:eastAsia="Arial" w:hAnsi="Arial"/>
          <w:sz w:val="15"/>
          <w:szCs w:val="15"/>
          <w:color w:val="7B7C80"/>
        </w:rPr>
      </w:pPr>
    </w:p>
    <w:p>
      <w:pPr>
        <w:ind w:left="448" w:right="20" w:hanging="448"/>
        <w:spacing w:after="0" w:line="272" w:lineRule="auto"/>
        <w:tabs>
          <w:tab w:leader="none" w:pos="448" w:val="left"/>
        </w:tabs>
        <w:numPr>
          <w:ilvl w:val="0"/>
          <w:numId w:val="20"/>
        </w:numPr>
        <w:rPr>
          <w:rFonts w:ascii="Arial" w:cs="Arial" w:eastAsia="Arial" w:hAnsi="Arial"/>
          <w:sz w:val="15"/>
          <w:szCs w:val="15"/>
          <w:color w:val="7B7C80"/>
        </w:rPr>
      </w:pPr>
      <w:r>
        <w:rPr>
          <w:rFonts w:ascii="Arial" w:cs="Arial" w:eastAsia="Arial" w:hAnsi="Arial"/>
          <w:sz w:val="15"/>
          <w:szCs w:val="15"/>
          <w:b w:val="1"/>
          <w:bCs w:val="1"/>
          <w:color w:val="7B7C80"/>
        </w:rPr>
        <w:t xml:space="preserve">Luis Valdés, President—International Asset Management &amp; Accumulation. </w:t>
      </w:r>
      <w:r>
        <w:rPr>
          <w:rFonts w:ascii="Arial" w:cs="Arial" w:eastAsia="Arial" w:hAnsi="Arial"/>
          <w:sz w:val="15"/>
          <w:szCs w:val="15"/>
          <w:color w:val="7B7C80"/>
        </w:rPr>
        <w:t>Mr. Valdés is responsible for managing the Company's operations outside of the</w:t>
      </w:r>
      <w:r>
        <w:rPr>
          <w:rFonts w:ascii="Arial" w:cs="Arial" w:eastAsia="Arial" w:hAnsi="Arial"/>
          <w:sz w:val="15"/>
          <w:szCs w:val="15"/>
          <w:b w:val="1"/>
          <w:bCs w:val="1"/>
          <w:color w:val="7B7C80"/>
        </w:rPr>
        <w:t xml:space="preserve"> </w:t>
      </w:r>
      <w:r>
        <w:rPr>
          <w:rFonts w:ascii="Arial" w:cs="Arial" w:eastAsia="Arial" w:hAnsi="Arial"/>
          <w:sz w:val="15"/>
          <w:szCs w:val="15"/>
          <w:color w:val="7B7C80"/>
        </w:rPr>
        <w:t>United States in our international asset management and accumulation segment.</w:t>
      </w:r>
    </w:p>
    <w:p>
      <w:pPr>
        <w:spacing w:after="0" w:line="136"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2017 Company Performance Highlights:</w:t>
      </w:r>
    </w:p>
    <w:p>
      <w:pPr>
        <w:spacing w:after="0" w:line="201" w:lineRule="exact"/>
        <w:rPr>
          <w:sz w:val="20"/>
          <w:szCs w:val="20"/>
          <w:color w:val="auto"/>
        </w:rPr>
      </w:pPr>
    </w:p>
    <w:p>
      <w:pPr>
        <w:jc w:val="both"/>
        <w:ind w:left="8"/>
        <w:spacing w:after="0" w:line="220" w:lineRule="auto"/>
        <w:rPr>
          <w:sz w:val="20"/>
          <w:szCs w:val="20"/>
          <w:color w:val="auto"/>
        </w:rPr>
      </w:pPr>
      <w:r>
        <w:rPr>
          <w:rFonts w:ascii="Arial" w:cs="Arial" w:eastAsia="Arial" w:hAnsi="Arial"/>
          <w:sz w:val="15"/>
          <w:szCs w:val="15"/>
          <w:color w:val="7B7C80"/>
        </w:rPr>
        <w:t>2017 was another very good year for Principal with a record $2.3 billion of net income available to Principal Financial Group and a record $1.5 billion of non-GAAP operating earnings</w:t>
      </w:r>
      <w:r>
        <w:rPr>
          <w:rFonts w:ascii="Arial" w:cs="Arial" w:eastAsia="Arial" w:hAnsi="Arial"/>
          <w:sz w:val="24"/>
          <w:szCs w:val="24"/>
          <w:color w:val="7B7C80"/>
          <w:vertAlign w:val="superscript"/>
        </w:rPr>
        <w:t>(1)</w:t>
      </w:r>
      <w:r>
        <w:rPr>
          <w:rFonts w:ascii="Arial" w:cs="Arial" w:eastAsia="Arial" w:hAnsi="Arial"/>
          <w:sz w:val="15"/>
          <w:szCs w:val="15"/>
          <w:color w:val="7B7C80"/>
        </w:rPr>
        <w:t>, an 11% increase from 2016 on a reported basis, reflecting strong growth across our businesses. The Tax Cuts and Jobs Act of 2017 had a net $568 million benefit to net income in 2017, primarily due to the re-measurement of our net deferred tax liability. Net income also benefited from a large gain on a real estate transaction in 2017.</w:t>
      </w:r>
    </w:p>
    <w:p>
      <w:pPr>
        <w:spacing w:after="0" w:line="178" w:lineRule="exact"/>
        <w:rPr>
          <w:sz w:val="20"/>
          <w:szCs w:val="20"/>
          <w:color w:val="auto"/>
        </w:rPr>
      </w:pPr>
    </w:p>
    <w:p>
      <w:pPr>
        <w:jc w:val="both"/>
        <w:ind w:left="8" w:right="20"/>
        <w:spacing w:after="0" w:line="247" w:lineRule="auto"/>
        <w:rPr>
          <w:sz w:val="20"/>
          <w:szCs w:val="20"/>
          <w:color w:val="auto"/>
        </w:rPr>
      </w:pPr>
      <w:r>
        <w:rPr>
          <w:rFonts w:ascii="Arial" w:cs="Arial" w:eastAsia="Arial" w:hAnsi="Arial"/>
          <w:sz w:val="15"/>
          <w:szCs w:val="15"/>
          <w:color w:val="7B7C80"/>
        </w:rPr>
        <w:t>In 2017, we grew assets under management by $77 billion, or 13%, to a record $669 billion at year-end. Investment performance remains very competitive and speaks to our ongoing ability to stand out among active managers.</w:t>
      </w:r>
    </w:p>
    <w:p>
      <w:pPr>
        <w:spacing w:after="0" w:line="172"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We deployed $913 million of capital in 2017, or 68% of net income, excluding the net income impacts from U.S. tax reform and the real estate transaction. We take a balanced approach to capital deployment—we returned $733 million of capital to shareholders through common stock dividends and share repurchases in 2017; increased ownership in our investment boutiques; and committed capital to two planned acquisitions: MetLife Afore, MetLife's pension fund management business in Mexico, and Internos, a European real estate investment firm.</w:t>
      </w:r>
    </w:p>
    <w:p>
      <w:pPr>
        <w:spacing w:after="0" w:line="175" w:lineRule="exact"/>
        <w:rPr>
          <w:sz w:val="20"/>
          <w:szCs w:val="20"/>
          <w:color w:val="auto"/>
        </w:rPr>
      </w:pPr>
    </w:p>
    <w:p>
      <w:pPr>
        <w:jc w:val="both"/>
        <w:ind w:left="8" w:right="20"/>
        <w:spacing w:after="0" w:line="247" w:lineRule="auto"/>
        <w:rPr>
          <w:sz w:val="20"/>
          <w:szCs w:val="20"/>
          <w:color w:val="auto"/>
        </w:rPr>
      </w:pPr>
      <w:r>
        <w:rPr>
          <w:rFonts w:ascii="Arial" w:cs="Arial" w:eastAsia="Arial" w:hAnsi="Arial"/>
          <w:sz w:val="15"/>
          <w:szCs w:val="15"/>
          <w:color w:val="7B7C80"/>
        </w:rPr>
        <w:t>2017 was a year of strong growth for Principal, and a year of meaningful progress. Competitive and environmental challenges remain, but we go forward from a position of strength, with outstanding fundamentals and the benefit of broad diversification.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1797050</wp:posOffset>
            </wp:positionH>
            <wp:positionV relativeFrom="paragraph">
              <wp:posOffset>107315</wp:posOffset>
            </wp:positionV>
            <wp:extent cx="3673475" cy="218249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3673475" cy="21824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2017 Compensation Highlights</w:t>
      </w:r>
    </w:p>
    <w:p>
      <w:pPr>
        <w:spacing w:after="0" w:line="201" w:lineRule="exact"/>
        <w:rPr>
          <w:sz w:val="20"/>
          <w:szCs w:val="20"/>
          <w:color w:val="auto"/>
        </w:rPr>
      </w:pPr>
    </w:p>
    <w:p>
      <w:pPr>
        <w:jc w:val="both"/>
        <w:ind w:left="448" w:hanging="448"/>
        <w:spacing w:after="0" w:line="243" w:lineRule="auto"/>
        <w:tabs>
          <w:tab w:leader="none" w:pos="448" w:val="left"/>
        </w:tabs>
        <w:numPr>
          <w:ilvl w:val="0"/>
          <w:numId w:val="21"/>
        </w:numPr>
        <w:rPr>
          <w:rFonts w:ascii="Arial" w:cs="Arial" w:eastAsia="Arial" w:hAnsi="Arial"/>
          <w:sz w:val="15"/>
          <w:szCs w:val="15"/>
          <w:color w:val="7B7C80"/>
        </w:rPr>
      </w:pPr>
      <w:r>
        <w:rPr>
          <w:rFonts w:ascii="Arial" w:cs="Arial" w:eastAsia="Arial" w:hAnsi="Arial"/>
          <w:sz w:val="15"/>
          <w:szCs w:val="15"/>
          <w:color w:val="7B7C80"/>
        </w:rPr>
        <w:t>In 2017, the Company's shareholders voted to approve the Company's Executive compensation program. Of the votes cast, over 96% supported the Executive compensation program. The Company considered the shareholders' approval of the compensation program to be approval of the Company's compensation philosophy, which has not changed since that vote.</w:t>
      </w:r>
    </w:p>
    <w:p>
      <w:pPr>
        <w:spacing w:after="0" w:line="163" w:lineRule="exact"/>
        <w:rPr>
          <w:rFonts w:ascii="Arial" w:cs="Arial" w:eastAsia="Arial" w:hAnsi="Arial"/>
          <w:sz w:val="15"/>
          <w:szCs w:val="15"/>
          <w:color w:val="7B7C80"/>
        </w:rPr>
      </w:pPr>
    </w:p>
    <w:p>
      <w:pPr>
        <w:ind w:left="448" w:right="20" w:hanging="448"/>
        <w:spacing w:after="0" w:line="247" w:lineRule="auto"/>
        <w:tabs>
          <w:tab w:leader="none" w:pos="448" w:val="left"/>
        </w:tabs>
        <w:numPr>
          <w:ilvl w:val="0"/>
          <w:numId w:val="21"/>
        </w:numPr>
        <w:rPr>
          <w:rFonts w:ascii="Arial" w:cs="Arial" w:eastAsia="Arial" w:hAnsi="Arial"/>
          <w:sz w:val="15"/>
          <w:szCs w:val="15"/>
          <w:color w:val="7B7C80"/>
        </w:rPr>
      </w:pPr>
      <w:r>
        <w:rPr>
          <w:rFonts w:ascii="Arial" w:cs="Arial" w:eastAsia="Arial" w:hAnsi="Arial"/>
          <w:sz w:val="15"/>
          <w:szCs w:val="15"/>
          <w:color w:val="7B7C80"/>
        </w:rPr>
        <w:t>Based on our 2017 annual performance achievements, many of which are outlined above, 2017 Annual incentive payouts for Named Executive Officers averaged 107% of target.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260350</wp:posOffset>
            </wp:positionV>
            <wp:extent cx="1760220" cy="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760220" cy="6985"/>
                    </a:xfrm>
                    <a:prstGeom prst="rect">
                      <a:avLst/>
                    </a:prstGeom>
                    <a:noFill/>
                  </pic:spPr>
                </pic:pic>
              </a:graphicData>
            </a:graphic>
          </wp:anchor>
        </w:drawing>
      </w:r>
    </w:p>
    <w:p>
      <w:pPr>
        <w:spacing w:after="0" w:line="200" w:lineRule="exact"/>
        <w:rPr>
          <w:sz w:val="20"/>
          <w:szCs w:val="20"/>
          <w:color w:val="auto"/>
        </w:rPr>
      </w:pPr>
    </w:p>
    <w:p>
      <w:pPr>
        <w:spacing w:after="0" w:line="389" w:lineRule="exact"/>
        <w:rPr>
          <w:sz w:val="20"/>
          <w:szCs w:val="20"/>
          <w:color w:val="auto"/>
        </w:rPr>
      </w:pPr>
    </w:p>
    <w:p>
      <w:pPr>
        <w:ind w:left="448" w:hanging="448"/>
        <w:spacing w:after="0"/>
        <w:tabs>
          <w:tab w:leader="none" w:pos="448" w:val="left"/>
        </w:tabs>
        <w:numPr>
          <w:ilvl w:val="0"/>
          <w:numId w:val="22"/>
        </w:numPr>
        <w:rPr>
          <w:rFonts w:ascii="Arial" w:cs="Arial" w:eastAsia="Arial" w:hAnsi="Arial"/>
          <w:sz w:val="12"/>
          <w:szCs w:val="12"/>
          <w:color w:val="7B7C80"/>
        </w:rPr>
      </w:pPr>
      <w:r>
        <w:rPr>
          <w:rFonts w:ascii="Arial" w:cs="Arial" w:eastAsia="Arial" w:hAnsi="Arial"/>
          <w:sz w:val="12"/>
          <w:szCs w:val="12"/>
          <w:color w:val="7B7C80"/>
        </w:rPr>
        <w:t>This is a non-GAAP financial measure. See non-GAAP financial measure reconciliations in Appendix 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113665</wp:posOffset>
            </wp:positionV>
            <wp:extent cx="960120" cy="28384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9"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25</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28" w:name="page29"/>
    <w:bookmarkEnd w:id="28"/>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2" w:lineRule="exact"/>
        <w:rPr>
          <w:sz w:val="20"/>
          <w:szCs w:val="20"/>
          <w:color w:val="auto"/>
        </w:rPr>
      </w:pPr>
    </w:p>
    <w:p>
      <w:pPr>
        <w:jc w:val="both"/>
        <w:ind w:left="448" w:hanging="448"/>
        <w:spacing w:after="0" w:line="193" w:lineRule="auto"/>
        <w:tabs>
          <w:tab w:leader="none" w:pos="448" w:val="left"/>
        </w:tabs>
        <w:numPr>
          <w:ilvl w:val="0"/>
          <w:numId w:val="23"/>
        </w:numPr>
        <w:rPr>
          <w:rFonts w:ascii="Arial" w:cs="Arial" w:eastAsia="Arial" w:hAnsi="Arial"/>
          <w:sz w:val="30"/>
          <w:szCs w:val="30"/>
          <w:color w:val="7B7C80"/>
          <w:vertAlign w:val="superscript"/>
        </w:rPr>
      </w:pPr>
      <w:r>
        <w:rPr>
          <w:rFonts w:ascii="Arial" w:cs="Arial" w:eastAsia="Arial" w:hAnsi="Arial"/>
          <w:sz w:val="15"/>
          <w:szCs w:val="15"/>
          <w:color w:val="7B7C80"/>
        </w:rPr>
        <w:t>Based on the Company's three-year average return on equity ("ROE")</w:t>
      </w:r>
      <w:r>
        <w:rPr>
          <w:rFonts w:ascii="Arial" w:cs="Arial" w:eastAsia="Arial" w:hAnsi="Arial"/>
          <w:sz w:val="24"/>
          <w:szCs w:val="24"/>
          <w:color w:val="7B7C80"/>
          <w:vertAlign w:val="superscript"/>
        </w:rPr>
        <w:t>(2)</w:t>
      </w:r>
      <w:r>
        <w:rPr>
          <w:rFonts w:ascii="Arial" w:cs="Arial" w:eastAsia="Arial" w:hAnsi="Arial"/>
          <w:sz w:val="15"/>
          <w:szCs w:val="15"/>
          <w:color w:val="7B7C80"/>
        </w:rPr>
        <w:t xml:space="preserve"> and three-year average book value per share</w:t>
      </w:r>
      <w:r>
        <w:rPr>
          <w:rFonts w:ascii="Arial" w:cs="Arial" w:eastAsia="Arial" w:hAnsi="Arial"/>
          <w:sz w:val="24"/>
          <w:szCs w:val="24"/>
          <w:color w:val="7B7C80"/>
          <w:vertAlign w:val="superscript"/>
        </w:rPr>
        <w:t>(3)</w:t>
      </w:r>
      <w:r>
        <w:rPr>
          <w:rFonts w:ascii="Arial" w:cs="Arial" w:eastAsia="Arial" w:hAnsi="Arial"/>
          <w:sz w:val="15"/>
          <w:szCs w:val="15"/>
          <w:color w:val="7B7C80"/>
        </w:rPr>
        <w:t xml:space="preserve"> performance, the 2015-2017 PSUs vested on December 31, 2017 and 100% of the target number of shares were paid out in February 2018, according to the established performance scale, and approval by the Human Resources Committee.</w:t>
      </w:r>
    </w:p>
    <w:p>
      <w:pPr>
        <w:spacing w:after="0" w:line="161"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Compensation Program Philosophy and Policies</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7B7C80"/>
        </w:rPr>
        <w:t>Compensation Philosophy</w:t>
      </w:r>
      <w:r>
        <w:rPr>
          <w:rFonts w:ascii="Arial" w:cs="Arial" w:eastAsia="Arial" w:hAnsi="Arial"/>
          <w:sz w:val="15"/>
          <w:szCs w:val="15"/>
          <w:color w:val="7B7C80"/>
        </w:rPr>
        <w:t>—our compensation programs are designed to:</w:t>
      </w:r>
    </w:p>
    <w:p>
      <w:pPr>
        <w:spacing w:after="0" w:line="194" w:lineRule="exact"/>
        <w:rPr>
          <w:sz w:val="20"/>
          <w:szCs w:val="20"/>
          <w:color w:val="auto"/>
        </w:rPr>
      </w:pPr>
    </w:p>
    <w:p>
      <w:pPr>
        <w:ind w:left="448" w:hanging="448"/>
        <w:spacing w:after="0"/>
        <w:tabs>
          <w:tab w:leader="none" w:pos="448" w:val="left"/>
        </w:tabs>
        <w:numPr>
          <w:ilvl w:val="0"/>
          <w:numId w:val="24"/>
        </w:numPr>
        <w:rPr>
          <w:rFonts w:ascii="Arial" w:cs="Arial" w:eastAsia="Arial" w:hAnsi="Arial"/>
          <w:sz w:val="15"/>
          <w:szCs w:val="15"/>
          <w:color w:val="7B7C80"/>
        </w:rPr>
      </w:pPr>
      <w:r>
        <w:rPr>
          <w:rFonts w:ascii="Arial" w:cs="Arial" w:eastAsia="Arial" w:hAnsi="Arial"/>
          <w:sz w:val="15"/>
          <w:szCs w:val="15"/>
          <w:b w:val="1"/>
          <w:bCs w:val="1"/>
          <w:color w:val="7B7C80"/>
        </w:rPr>
        <w:t xml:space="preserve">Attract and retain </w:t>
      </w:r>
      <w:r>
        <w:rPr>
          <w:rFonts w:ascii="Arial" w:cs="Arial" w:eastAsia="Arial" w:hAnsi="Arial"/>
          <w:sz w:val="15"/>
          <w:szCs w:val="15"/>
          <w:color w:val="7B7C80"/>
        </w:rPr>
        <w:t>talented Executives and motivate them to perform at the highest level and contribute significantly to the Company's long term success;</w:t>
      </w:r>
    </w:p>
    <w:p>
      <w:pPr>
        <w:spacing w:after="0" w:line="171" w:lineRule="exact"/>
        <w:rPr>
          <w:rFonts w:ascii="Arial" w:cs="Arial" w:eastAsia="Arial" w:hAnsi="Arial"/>
          <w:sz w:val="15"/>
          <w:szCs w:val="15"/>
          <w:color w:val="7B7C80"/>
        </w:rPr>
      </w:pPr>
    </w:p>
    <w:p>
      <w:pPr>
        <w:ind w:left="448" w:right="20" w:hanging="448"/>
        <w:spacing w:after="0" w:line="272" w:lineRule="auto"/>
        <w:tabs>
          <w:tab w:leader="none" w:pos="448" w:val="left"/>
        </w:tabs>
        <w:numPr>
          <w:ilvl w:val="0"/>
          <w:numId w:val="24"/>
        </w:numPr>
        <w:rPr>
          <w:rFonts w:ascii="Arial" w:cs="Arial" w:eastAsia="Arial" w:hAnsi="Arial"/>
          <w:sz w:val="15"/>
          <w:szCs w:val="15"/>
          <w:color w:val="7B7C80"/>
        </w:rPr>
      </w:pPr>
      <w:r>
        <w:rPr>
          <w:rFonts w:ascii="Arial" w:cs="Arial" w:eastAsia="Arial" w:hAnsi="Arial"/>
          <w:sz w:val="15"/>
          <w:szCs w:val="15"/>
          <w:color w:val="7B7C80"/>
        </w:rPr>
        <w:t xml:space="preserve">Reinforce the Company's </w:t>
      </w:r>
      <w:r>
        <w:rPr>
          <w:rFonts w:ascii="Arial" w:cs="Arial" w:eastAsia="Arial" w:hAnsi="Arial"/>
          <w:sz w:val="15"/>
          <w:szCs w:val="15"/>
          <w:b w:val="1"/>
          <w:bCs w:val="1"/>
          <w:color w:val="7B7C80"/>
        </w:rPr>
        <w:t>pay for performance</w:t>
      </w:r>
      <w:r>
        <w:rPr>
          <w:rFonts w:ascii="Arial" w:cs="Arial" w:eastAsia="Arial" w:hAnsi="Arial"/>
          <w:sz w:val="15"/>
          <w:szCs w:val="15"/>
          <w:color w:val="7B7C80"/>
        </w:rPr>
        <w:t xml:space="preserve"> culture by making a significant portion of total compensation variable and by differentiating awards based on Company and individual performance in achieving short and long term financial and strategic objectives;</w:t>
      </w:r>
    </w:p>
    <w:p>
      <w:pPr>
        <w:spacing w:after="0" w:line="124" w:lineRule="exact"/>
        <w:rPr>
          <w:rFonts w:ascii="Arial" w:cs="Arial" w:eastAsia="Arial" w:hAnsi="Arial"/>
          <w:sz w:val="15"/>
          <w:szCs w:val="15"/>
          <w:color w:val="7B7C80"/>
        </w:rPr>
      </w:pPr>
    </w:p>
    <w:p>
      <w:pPr>
        <w:ind w:left="448" w:hanging="448"/>
        <w:spacing w:after="0"/>
        <w:tabs>
          <w:tab w:leader="none" w:pos="448" w:val="left"/>
        </w:tabs>
        <w:numPr>
          <w:ilvl w:val="0"/>
          <w:numId w:val="24"/>
        </w:numPr>
        <w:rPr>
          <w:rFonts w:ascii="Arial" w:cs="Arial" w:eastAsia="Arial" w:hAnsi="Arial"/>
          <w:sz w:val="15"/>
          <w:szCs w:val="15"/>
          <w:color w:val="7B7C80"/>
        </w:rPr>
      </w:pPr>
      <w:r>
        <w:rPr>
          <w:rFonts w:ascii="Arial" w:cs="Arial" w:eastAsia="Arial" w:hAnsi="Arial"/>
          <w:sz w:val="15"/>
          <w:szCs w:val="15"/>
          <w:color w:val="7B7C80"/>
        </w:rPr>
        <w:t xml:space="preserve">Have a greater percentage of </w:t>
      </w:r>
      <w:r>
        <w:rPr>
          <w:rFonts w:ascii="Arial" w:cs="Arial" w:eastAsia="Arial" w:hAnsi="Arial"/>
          <w:sz w:val="15"/>
          <w:szCs w:val="15"/>
          <w:b w:val="1"/>
          <w:bCs w:val="1"/>
          <w:color w:val="7B7C80"/>
        </w:rPr>
        <w:t>compensation to be at risk</w:t>
      </w:r>
      <w:r>
        <w:rPr>
          <w:rFonts w:ascii="Arial" w:cs="Arial" w:eastAsia="Arial" w:hAnsi="Arial"/>
          <w:sz w:val="15"/>
          <w:szCs w:val="15"/>
          <w:color w:val="7B7C80"/>
        </w:rPr>
        <w:t xml:space="preserve"> for Executives who bear higher levels of responsibility for the Company's performance;</w:t>
      </w:r>
    </w:p>
    <w:p>
      <w:pPr>
        <w:spacing w:after="0" w:line="182" w:lineRule="exact"/>
        <w:rPr>
          <w:rFonts w:ascii="Arial" w:cs="Arial" w:eastAsia="Arial" w:hAnsi="Arial"/>
          <w:sz w:val="15"/>
          <w:szCs w:val="15"/>
          <w:color w:val="7B7C80"/>
        </w:rPr>
      </w:pPr>
    </w:p>
    <w:p>
      <w:pPr>
        <w:ind w:left="448" w:right="20" w:hanging="448"/>
        <w:spacing w:after="0" w:line="272" w:lineRule="auto"/>
        <w:tabs>
          <w:tab w:leader="none" w:pos="448" w:val="left"/>
        </w:tabs>
        <w:numPr>
          <w:ilvl w:val="0"/>
          <w:numId w:val="24"/>
        </w:numPr>
        <w:rPr>
          <w:rFonts w:ascii="Arial" w:cs="Arial" w:eastAsia="Arial" w:hAnsi="Arial"/>
          <w:sz w:val="15"/>
          <w:szCs w:val="15"/>
          <w:color w:val="7B7C80"/>
        </w:rPr>
      </w:pPr>
      <w:r>
        <w:rPr>
          <w:rFonts w:ascii="Arial" w:cs="Arial" w:eastAsia="Arial" w:hAnsi="Arial"/>
          <w:sz w:val="15"/>
          <w:szCs w:val="15"/>
          <w:b w:val="1"/>
          <w:bCs w:val="1"/>
          <w:color w:val="7B7C80"/>
        </w:rPr>
        <w:t xml:space="preserve">Align the interests </w:t>
      </w:r>
      <w:r>
        <w:rPr>
          <w:rFonts w:ascii="Arial" w:cs="Arial" w:eastAsia="Arial" w:hAnsi="Arial"/>
          <w:sz w:val="15"/>
          <w:szCs w:val="15"/>
          <w:color w:val="7B7C80"/>
        </w:rPr>
        <w:t>of Executives and other stakeholders, including shareholders, customers and employees, by having a significant portion of the Executives'</w:t>
      </w:r>
      <w:r>
        <w:rPr>
          <w:rFonts w:ascii="Arial" w:cs="Arial" w:eastAsia="Arial" w:hAnsi="Arial"/>
          <w:sz w:val="15"/>
          <w:szCs w:val="15"/>
          <w:b w:val="1"/>
          <w:bCs w:val="1"/>
          <w:color w:val="7B7C80"/>
        </w:rPr>
        <w:t xml:space="preserve"> </w:t>
      </w:r>
      <w:r>
        <w:rPr>
          <w:rFonts w:ascii="Arial" w:cs="Arial" w:eastAsia="Arial" w:hAnsi="Arial"/>
          <w:sz w:val="15"/>
          <w:szCs w:val="15"/>
          <w:color w:val="7B7C80"/>
        </w:rPr>
        <w:t>compensation in stock and requiring Executives to hold stock; and</w:t>
      </w:r>
    </w:p>
    <w:p>
      <w:pPr>
        <w:spacing w:after="0" w:line="124" w:lineRule="exact"/>
        <w:rPr>
          <w:rFonts w:ascii="Arial" w:cs="Arial" w:eastAsia="Arial" w:hAnsi="Arial"/>
          <w:sz w:val="15"/>
          <w:szCs w:val="15"/>
          <w:color w:val="7B7C80"/>
        </w:rPr>
      </w:pPr>
    </w:p>
    <w:p>
      <w:pPr>
        <w:ind w:left="448" w:hanging="448"/>
        <w:spacing w:after="0"/>
        <w:tabs>
          <w:tab w:leader="none" w:pos="448" w:val="left"/>
        </w:tabs>
        <w:numPr>
          <w:ilvl w:val="0"/>
          <w:numId w:val="24"/>
        </w:numPr>
        <w:rPr>
          <w:rFonts w:ascii="Arial" w:cs="Arial" w:eastAsia="Arial" w:hAnsi="Arial"/>
          <w:sz w:val="15"/>
          <w:szCs w:val="15"/>
          <w:color w:val="7B7C80"/>
        </w:rPr>
      </w:pPr>
      <w:r>
        <w:rPr>
          <w:rFonts w:ascii="Arial" w:cs="Arial" w:eastAsia="Arial" w:hAnsi="Arial"/>
          <w:sz w:val="15"/>
          <w:szCs w:val="15"/>
          <w:color w:val="7B7C80"/>
        </w:rPr>
        <w:t xml:space="preserve">Support important </w:t>
      </w:r>
      <w:r>
        <w:rPr>
          <w:rFonts w:ascii="Arial" w:cs="Arial" w:eastAsia="Arial" w:hAnsi="Arial"/>
          <w:sz w:val="15"/>
          <w:szCs w:val="15"/>
          <w:b w:val="1"/>
          <w:bCs w:val="1"/>
          <w:color w:val="7B7C80"/>
        </w:rPr>
        <w:t>corporate governance</w:t>
      </w:r>
      <w:r>
        <w:rPr>
          <w:rFonts w:ascii="Arial" w:cs="Arial" w:eastAsia="Arial" w:hAnsi="Arial"/>
          <w:sz w:val="15"/>
          <w:szCs w:val="15"/>
          <w:color w:val="7B7C80"/>
        </w:rPr>
        <w:t xml:space="preserve"> principles and established best practices.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278765</wp:posOffset>
            </wp:positionV>
            <wp:extent cx="1760220" cy="698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760220" cy="6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448" w:hanging="448"/>
        <w:spacing w:after="0" w:line="253" w:lineRule="auto"/>
        <w:tabs>
          <w:tab w:leader="none" w:pos="448" w:val="left"/>
        </w:tabs>
        <w:numPr>
          <w:ilvl w:val="0"/>
          <w:numId w:val="25"/>
        </w:numPr>
        <w:rPr>
          <w:rFonts w:ascii="Arial" w:cs="Arial" w:eastAsia="Arial" w:hAnsi="Arial"/>
          <w:sz w:val="12"/>
          <w:szCs w:val="12"/>
          <w:color w:val="7B7C80"/>
        </w:rPr>
      </w:pPr>
      <w:r>
        <w:rPr>
          <w:rFonts w:ascii="Arial" w:cs="Arial" w:eastAsia="Arial" w:hAnsi="Arial"/>
          <w:sz w:val="12"/>
          <w:szCs w:val="12"/>
          <w:color w:val="7B7C80"/>
        </w:rPr>
        <w:t>Return on equity ("ROE") is defined as (i) income from continuing operations before income taxes per the audited Consolidated Statements of Operations less net realized/unrealized capital gains (losses) and preferred stock dividends declared during such calendar year divided by (ii) the average equity excluding other comprehensive income available to common stockholders.</w:t>
      </w:r>
    </w:p>
    <w:p>
      <w:pPr>
        <w:spacing w:after="0" w:line="121" w:lineRule="exact"/>
        <w:rPr>
          <w:rFonts w:ascii="Arial" w:cs="Arial" w:eastAsia="Arial" w:hAnsi="Arial"/>
          <w:sz w:val="12"/>
          <w:szCs w:val="12"/>
          <w:color w:val="7B7C80"/>
        </w:rPr>
      </w:pPr>
    </w:p>
    <w:p>
      <w:pPr>
        <w:ind w:left="448" w:hanging="448"/>
        <w:spacing w:after="0"/>
        <w:tabs>
          <w:tab w:leader="none" w:pos="448" w:val="left"/>
        </w:tabs>
        <w:numPr>
          <w:ilvl w:val="0"/>
          <w:numId w:val="25"/>
        </w:numPr>
        <w:rPr>
          <w:rFonts w:ascii="Arial" w:cs="Arial" w:eastAsia="Arial" w:hAnsi="Arial"/>
          <w:sz w:val="12"/>
          <w:szCs w:val="12"/>
          <w:color w:val="7B7C80"/>
        </w:rPr>
      </w:pPr>
      <w:r>
        <w:rPr>
          <w:rFonts w:ascii="Arial" w:cs="Arial" w:eastAsia="Arial" w:hAnsi="Arial"/>
          <w:sz w:val="12"/>
          <w:szCs w:val="12"/>
          <w:color w:val="7B7C80"/>
        </w:rPr>
        <w:t>Book value per share is defined as total ending common equity excluding other comprehensive income divided by number of common shares outstanding end of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113665</wp:posOffset>
            </wp:positionV>
            <wp:extent cx="960120" cy="2838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9"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26</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29" w:name="page30"/>
    <w:bookmarkEnd w:id="2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Compensation Policies</w:t>
      </w:r>
      <w:r>
        <w:rPr>
          <w:rFonts w:ascii="Arial" w:cs="Arial" w:eastAsia="Arial" w:hAnsi="Arial"/>
          <w:sz w:val="15"/>
          <w:szCs w:val="15"/>
          <w:color w:val="7B7C80"/>
        </w:rPr>
        <w:t>—Principal's Executive compensation program incorporates the following best practices:</w:t>
      </w:r>
    </w:p>
    <w:p>
      <w:pPr>
        <w:spacing w:after="0" w:line="178" w:lineRule="exact"/>
        <w:rPr>
          <w:sz w:val="20"/>
          <w:szCs w:val="20"/>
          <w:color w:val="auto"/>
        </w:rPr>
      </w:pPr>
    </w:p>
    <w:tbl>
      <w:tblPr>
        <w:tblLayout w:type="fixed"/>
        <w:tblInd w:w="10" w:type="dxa"/>
        <w:tblCellMar>
          <w:top w:w="0" w:type="dxa"/>
          <w:left w:w="0" w:type="dxa"/>
          <w:bottom w:w="0" w:type="dxa"/>
          <w:right w:w="0" w:type="dxa"/>
        </w:tblCellMar>
      </w:tblPr>
      <w:tr>
        <w:trPr>
          <w:trHeight w:val="186"/>
        </w:trPr>
        <w:tc>
          <w:tcPr>
            <w:tcW w:w="2360" w:type="dxa"/>
            <w:vAlign w:val="bottom"/>
            <w:tcBorders>
              <w:top w:val="single" w:sz="8" w:color="7B7C80"/>
              <w:left w:val="single" w:sz="8" w:color="7B7C80"/>
              <w:right w:val="single" w:sz="8" w:color="7B7C80"/>
            </w:tcBorders>
          </w:tcPr>
          <w:p>
            <w:pPr>
              <w:spacing w:after="0"/>
              <w:rPr>
                <w:sz w:val="16"/>
                <w:szCs w:val="16"/>
                <w:color w:val="auto"/>
              </w:rPr>
            </w:pPr>
          </w:p>
        </w:tc>
        <w:tc>
          <w:tcPr>
            <w:tcW w:w="8900" w:type="dxa"/>
            <w:vAlign w:val="bottom"/>
            <w:tcBorders>
              <w:top w:val="single" w:sz="8" w:color="7B7C80"/>
            </w:tcBorders>
          </w:tcPr>
          <w:p>
            <w:pPr>
              <w:ind w:left="80"/>
              <w:spacing w:after="0"/>
              <w:rPr>
                <w:sz w:val="20"/>
                <w:szCs w:val="20"/>
                <w:color w:val="auto"/>
              </w:rPr>
            </w:pPr>
            <w:r>
              <w:rPr>
                <w:rFonts w:ascii="Arial" w:cs="Arial" w:eastAsia="Arial" w:hAnsi="Arial"/>
                <w:sz w:val="15"/>
                <w:szCs w:val="15"/>
                <w:color w:val="7B7C80"/>
              </w:rPr>
              <w:t>The Human Resources Committee's independent compensation consultant is selected and retained by the Committee to advise on</w:t>
            </w:r>
          </w:p>
        </w:tc>
        <w:tc>
          <w:tcPr>
            <w:tcW w:w="180" w:type="dxa"/>
            <w:vAlign w:val="bottom"/>
            <w:tcBorders>
              <w:top w:val="single" w:sz="8" w:color="7B7C80"/>
              <w:right w:val="single" w:sz="8" w:color="7B7C80"/>
            </w:tcBorders>
          </w:tcPr>
          <w:p>
            <w:pPr>
              <w:spacing w:after="0"/>
              <w:rPr>
                <w:sz w:val="16"/>
                <w:szCs w:val="16"/>
                <w:color w:val="auto"/>
              </w:rPr>
            </w:pPr>
          </w:p>
        </w:tc>
        <w:tc>
          <w:tcPr>
            <w:tcW w:w="0" w:type="dxa"/>
            <w:vAlign w:val="bottom"/>
          </w:tcPr>
          <w:p>
            <w:pPr>
              <w:spacing w:after="0"/>
              <w:rPr>
                <w:sz w:val="1"/>
                <w:szCs w:val="1"/>
                <w:color w:val="auto"/>
              </w:rPr>
            </w:pPr>
          </w:p>
        </w:tc>
      </w:tr>
      <w:tr>
        <w:trPr>
          <w:trHeight w:val="172"/>
        </w:trPr>
        <w:tc>
          <w:tcPr>
            <w:tcW w:w="2360" w:type="dxa"/>
            <w:vAlign w:val="bottom"/>
            <w:tcBorders>
              <w:left w:val="single" w:sz="8" w:color="7B7C80"/>
              <w:right w:val="single" w:sz="8" w:color="7B7C80"/>
            </w:tcBorders>
            <w:vMerge w:val="restart"/>
          </w:tcPr>
          <w:p>
            <w:pPr>
              <w:ind w:left="140"/>
              <w:spacing w:after="0"/>
              <w:rPr>
                <w:sz w:val="20"/>
                <w:szCs w:val="20"/>
                <w:color w:val="auto"/>
              </w:rPr>
            </w:pPr>
            <w:r>
              <w:rPr>
                <w:rFonts w:ascii="Arial" w:cs="Arial" w:eastAsia="Arial" w:hAnsi="Arial"/>
                <w:sz w:val="15"/>
                <w:szCs w:val="15"/>
                <w:b w:val="1"/>
                <w:bCs w:val="1"/>
                <w:color w:val="7B7C80"/>
              </w:rPr>
              <w:t>Independent Consultant</w:t>
            </w:r>
          </w:p>
        </w:tc>
        <w:tc>
          <w:tcPr>
            <w:tcW w:w="8900" w:type="dxa"/>
            <w:vAlign w:val="bottom"/>
          </w:tcPr>
          <w:p>
            <w:pPr>
              <w:ind w:left="80"/>
              <w:spacing w:after="0"/>
              <w:rPr>
                <w:sz w:val="20"/>
                <w:szCs w:val="20"/>
                <w:color w:val="auto"/>
              </w:rPr>
            </w:pPr>
            <w:r>
              <w:rPr>
                <w:rFonts w:ascii="Arial" w:cs="Arial" w:eastAsia="Arial" w:hAnsi="Arial"/>
                <w:sz w:val="15"/>
                <w:szCs w:val="15"/>
                <w:color w:val="7B7C80"/>
              </w:rPr>
              <w:t>Executive and Director compensation and does no other work for the Company. The independent compensation consultant to the</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2360" w:type="dxa"/>
            <w:vAlign w:val="bottom"/>
            <w:tcBorders>
              <w:left w:val="single" w:sz="8" w:color="7B7C80"/>
              <w:right w:val="single" w:sz="8" w:color="7B7C80"/>
            </w:tcBorders>
            <w:vMerge w:val="continue"/>
          </w:tcPr>
          <w:p>
            <w:pPr>
              <w:spacing w:after="0"/>
              <w:rPr>
                <w:sz w:val="14"/>
                <w:szCs w:val="14"/>
                <w:color w:val="auto"/>
              </w:rPr>
            </w:pPr>
          </w:p>
        </w:tc>
        <w:tc>
          <w:tcPr>
            <w:tcW w:w="8900" w:type="dxa"/>
            <w:vAlign w:val="bottom"/>
          </w:tcPr>
          <w:p>
            <w:pPr>
              <w:ind w:left="80"/>
              <w:spacing w:after="0"/>
              <w:rPr>
                <w:sz w:val="20"/>
                <w:szCs w:val="20"/>
                <w:color w:val="auto"/>
              </w:rPr>
            </w:pPr>
            <w:r>
              <w:rPr>
                <w:rFonts w:ascii="Arial" w:cs="Arial" w:eastAsia="Arial" w:hAnsi="Arial"/>
                <w:sz w:val="15"/>
                <w:szCs w:val="15"/>
                <w:color w:val="7B7C80"/>
              </w:rPr>
              <w:t>Human Resources Committee was FW Cook until September of 2017. As part of its normal practice, the Committee periodically</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2360" w:type="dxa"/>
            <w:vAlign w:val="bottom"/>
            <w:tcBorders>
              <w:left w:val="single" w:sz="8" w:color="7B7C80"/>
              <w:right w:val="single" w:sz="8" w:color="7B7C80"/>
            </w:tcBorders>
          </w:tcPr>
          <w:p>
            <w:pPr>
              <w:spacing w:after="0"/>
              <w:rPr>
                <w:sz w:val="14"/>
                <w:szCs w:val="14"/>
                <w:color w:val="auto"/>
              </w:rPr>
            </w:pPr>
          </w:p>
        </w:tc>
        <w:tc>
          <w:tcPr>
            <w:tcW w:w="9080" w:type="dxa"/>
            <w:vAlign w:val="bottom"/>
            <w:tcBorders>
              <w:right w:val="single" w:sz="8" w:color="7B7C80"/>
            </w:tcBorders>
            <w:gridSpan w:val="2"/>
          </w:tcPr>
          <w:p>
            <w:pPr>
              <w:ind w:left="80"/>
              <w:spacing w:after="0"/>
              <w:rPr>
                <w:sz w:val="20"/>
                <w:szCs w:val="20"/>
                <w:color w:val="auto"/>
              </w:rPr>
            </w:pPr>
            <w:r>
              <w:rPr>
                <w:rFonts w:ascii="Arial" w:cs="Arial" w:eastAsia="Arial" w:hAnsi="Arial"/>
                <w:sz w:val="15"/>
                <w:szCs w:val="15"/>
                <w:color w:val="7B7C80"/>
              </w:rPr>
              <w:t>considers whether to change consultants. A search for a new consultant was conducted in 2017, and Compensation Advisory Partners</w:t>
            </w:r>
          </w:p>
        </w:tc>
        <w:tc>
          <w:tcPr>
            <w:tcW w:w="0" w:type="dxa"/>
            <w:vAlign w:val="bottom"/>
          </w:tcPr>
          <w:p>
            <w:pPr>
              <w:spacing w:after="0"/>
              <w:rPr>
                <w:sz w:val="1"/>
                <w:szCs w:val="1"/>
                <w:color w:val="auto"/>
              </w:rPr>
            </w:pPr>
          </w:p>
        </w:tc>
      </w:tr>
      <w:tr>
        <w:trPr>
          <w:trHeight w:val="169"/>
        </w:trPr>
        <w:tc>
          <w:tcPr>
            <w:tcW w:w="2360" w:type="dxa"/>
            <w:vAlign w:val="bottom"/>
            <w:tcBorders>
              <w:left w:val="single" w:sz="8" w:color="7B7C80"/>
              <w:bottom w:val="single" w:sz="8" w:color="7B7C80"/>
              <w:right w:val="single" w:sz="8" w:color="7B7C80"/>
            </w:tcBorders>
          </w:tcPr>
          <w:p>
            <w:pPr>
              <w:spacing w:after="0"/>
              <w:rPr>
                <w:sz w:val="14"/>
                <w:szCs w:val="14"/>
                <w:color w:val="auto"/>
              </w:rPr>
            </w:pPr>
          </w:p>
        </w:tc>
        <w:tc>
          <w:tcPr>
            <w:tcW w:w="8900" w:type="dxa"/>
            <w:vAlign w:val="bottom"/>
            <w:tcBorders>
              <w:bottom w:val="single" w:sz="8" w:color="7B7C80"/>
            </w:tcBorders>
          </w:tcPr>
          <w:p>
            <w:pPr>
              <w:ind w:left="80"/>
              <w:spacing w:after="0" w:line="169" w:lineRule="exact"/>
              <w:rPr>
                <w:sz w:val="20"/>
                <w:szCs w:val="20"/>
                <w:color w:val="auto"/>
              </w:rPr>
            </w:pPr>
            <w:r>
              <w:rPr>
                <w:rFonts w:ascii="Arial" w:cs="Arial" w:eastAsia="Arial" w:hAnsi="Arial"/>
                <w:sz w:val="15"/>
                <w:szCs w:val="15"/>
                <w:color w:val="7B7C80"/>
              </w:rPr>
              <w:t>was selected.</w:t>
            </w:r>
          </w:p>
        </w:tc>
        <w:tc>
          <w:tcPr>
            <w:tcW w:w="18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2360" w:type="dxa"/>
            <w:vAlign w:val="bottom"/>
            <w:tcBorders>
              <w:left w:val="single" w:sz="8" w:color="7B7C80"/>
              <w:right w:val="single" w:sz="8" w:color="7B7C80"/>
            </w:tcBorders>
            <w:vMerge w:val="restart"/>
          </w:tcPr>
          <w:p>
            <w:pPr>
              <w:ind w:left="140"/>
              <w:spacing w:after="0"/>
              <w:rPr>
                <w:sz w:val="20"/>
                <w:szCs w:val="20"/>
                <w:color w:val="auto"/>
              </w:rPr>
            </w:pPr>
            <w:r>
              <w:rPr>
                <w:rFonts w:ascii="Arial" w:cs="Arial" w:eastAsia="Arial" w:hAnsi="Arial"/>
                <w:sz w:val="15"/>
                <w:szCs w:val="15"/>
                <w:b w:val="1"/>
                <w:bCs w:val="1"/>
                <w:color w:val="7B7C80"/>
              </w:rPr>
              <w:t>Risk Review</w:t>
            </w:r>
          </w:p>
        </w:tc>
        <w:tc>
          <w:tcPr>
            <w:tcW w:w="8900" w:type="dxa"/>
            <w:vAlign w:val="bottom"/>
          </w:tcPr>
          <w:p>
            <w:pPr>
              <w:ind w:left="80"/>
              <w:spacing w:after="0" w:line="166" w:lineRule="exact"/>
              <w:rPr>
                <w:sz w:val="20"/>
                <w:szCs w:val="20"/>
                <w:color w:val="auto"/>
              </w:rPr>
            </w:pPr>
            <w:r>
              <w:rPr>
                <w:rFonts w:ascii="Arial" w:cs="Arial" w:eastAsia="Arial" w:hAnsi="Arial"/>
                <w:sz w:val="15"/>
                <w:szCs w:val="15"/>
                <w:color w:val="7B7C80"/>
              </w:rPr>
              <w:t>The Human Resources Committee annually reviews an analysis of the Company's incentive compensation plans to ensure they are</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2360" w:type="dxa"/>
            <w:vAlign w:val="bottom"/>
            <w:tcBorders>
              <w:left w:val="single" w:sz="8" w:color="7B7C80"/>
              <w:right w:val="single" w:sz="8" w:color="7B7C80"/>
            </w:tcBorders>
            <w:vMerge w:val="continue"/>
          </w:tcPr>
          <w:p>
            <w:pPr>
              <w:spacing w:after="0"/>
              <w:rPr>
                <w:sz w:val="14"/>
                <w:szCs w:val="14"/>
                <w:color w:val="auto"/>
              </w:rPr>
            </w:pPr>
          </w:p>
        </w:tc>
        <w:tc>
          <w:tcPr>
            <w:tcW w:w="8900" w:type="dxa"/>
            <w:vAlign w:val="bottom"/>
          </w:tcPr>
          <w:p>
            <w:pPr>
              <w:ind w:left="80"/>
              <w:spacing w:after="0"/>
              <w:rPr>
                <w:sz w:val="20"/>
                <w:szCs w:val="20"/>
                <w:color w:val="auto"/>
              </w:rPr>
            </w:pPr>
            <w:r>
              <w:rPr>
                <w:rFonts w:ascii="Arial" w:cs="Arial" w:eastAsia="Arial" w:hAnsi="Arial"/>
                <w:sz w:val="15"/>
                <w:szCs w:val="15"/>
                <w:color w:val="7B7C80"/>
                <w:w w:val="99"/>
              </w:rPr>
              <w:t>designed to create and maintain shareholder value, provide rewards based on the long term performance of the Company and do not</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360" w:type="dxa"/>
            <w:vAlign w:val="bottom"/>
            <w:tcBorders>
              <w:left w:val="single" w:sz="8" w:color="7B7C80"/>
              <w:bottom w:val="single" w:sz="8" w:color="7B7C80"/>
              <w:right w:val="single" w:sz="8" w:color="7B7C80"/>
            </w:tcBorders>
          </w:tcPr>
          <w:p>
            <w:pPr>
              <w:spacing w:after="0"/>
              <w:rPr>
                <w:sz w:val="14"/>
                <w:szCs w:val="14"/>
                <w:color w:val="auto"/>
              </w:rPr>
            </w:pPr>
          </w:p>
        </w:tc>
        <w:tc>
          <w:tcPr>
            <w:tcW w:w="8900" w:type="dxa"/>
            <w:vAlign w:val="bottom"/>
            <w:tcBorders>
              <w:bottom w:val="single" w:sz="8" w:color="7B7C80"/>
            </w:tcBorders>
          </w:tcPr>
          <w:p>
            <w:pPr>
              <w:ind w:left="80"/>
              <w:spacing w:after="0" w:line="169" w:lineRule="exact"/>
              <w:rPr>
                <w:sz w:val="20"/>
                <w:szCs w:val="20"/>
                <w:color w:val="auto"/>
              </w:rPr>
            </w:pPr>
            <w:r>
              <w:rPr>
                <w:rFonts w:ascii="Arial" w:cs="Arial" w:eastAsia="Arial" w:hAnsi="Arial"/>
                <w:sz w:val="15"/>
                <w:szCs w:val="15"/>
                <w:color w:val="7B7C80"/>
              </w:rPr>
              <w:t>encourage excessive risk.</w:t>
            </w:r>
          </w:p>
        </w:tc>
        <w:tc>
          <w:tcPr>
            <w:tcW w:w="18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2360" w:type="dxa"/>
            <w:vAlign w:val="bottom"/>
            <w:tcBorders>
              <w:left w:val="single" w:sz="8" w:color="7B7C80"/>
              <w:right w:val="single" w:sz="8" w:color="7B7C80"/>
            </w:tcBorders>
            <w:vMerge w:val="restart"/>
          </w:tcPr>
          <w:p>
            <w:pPr>
              <w:ind w:left="140"/>
              <w:spacing w:after="0"/>
              <w:rPr>
                <w:sz w:val="20"/>
                <w:szCs w:val="20"/>
                <w:color w:val="auto"/>
              </w:rPr>
            </w:pPr>
            <w:r>
              <w:rPr>
                <w:rFonts w:ascii="Arial" w:cs="Arial" w:eastAsia="Arial" w:hAnsi="Arial"/>
                <w:sz w:val="15"/>
                <w:szCs w:val="15"/>
                <w:b w:val="1"/>
                <w:bCs w:val="1"/>
                <w:color w:val="7B7C80"/>
              </w:rPr>
              <w:t>Emphasis on Variable</w:t>
            </w:r>
          </w:p>
        </w:tc>
        <w:tc>
          <w:tcPr>
            <w:tcW w:w="8900" w:type="dxa"/>
            <w:vAlign w:val="bottom"/>
          </w:tcPr>
          <w:p>
            <w:pPr>
              <w:ind w:left="80"/>
              <w:spacing w:after="0" w:line="166" w:lineRule="exact"/>
              <w:rPr>
                <w:sz w:val="20"/>
                <w:szCs w:val="20"/>
                <w:color w:val="auto"/>
              </w:rPr>
            </w:pPr>
            <w:r>
              <w:rPr>
                <w:rFonts w:ascii="Arial" w:cs="Arial" w:eastAsia="Arial" w:hAnsi="Arial"/>
                <w:sz w:val="15"/>
                <w:szCs w:val="15"/>
                <w:color w:val="7B7C80"/>
                <w:w w:val="99"/>
              </w:rPr>
              <w:t>Most of our Executive compensation is variable and linked to meeting our short term and long term financial and strategic goals and to</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2360" w:type="dxa"/>
            <w:vAlign w:val="bottom"/>
            <w:tcBorders>
              <w:left w:val="single" w:sz="8" w:color="7B7C80"/>
              <w:right w:val="single" w:sz="8" w:color="7B7C80"/>
            </w:tcBorders>
            <w:vMerge w:val="continue"/>
          </w:tcPr>
          <w:p>
            <w:pPr>
              <w:spacing w:after="0"/>
              <w:rPr>
                <w:sz w:val="5"/>
                <w:szCs w:val="5"/>
                <w:color w:val="auto"/>
              </w:rPr>
            </w:pPr>
          </w:p>
        </w:tc>
        <w:tc>
          <w:tcPr>
            <w:tcW w:w="8900" w:type="dxa"/>
            <w:vAlign w:val="bottom"/>
            <w:vMerge w:val="restart"/>
          </w:tcPr>
          <w:p>
            <w:pPr>
              <w:ind w:left="80"/>
              <w:spacing w:after="0"/>
              <w:rPr>
                <w:sz w:val="20"/>
                <w:szCs w:val="20"/>
                <w:color w:val="auto"/>
              </w:rPr>
            </w:pPr>
            <w:r>
              <w:rPr>
                <w:rFonts w:ascii="Arial" w:cs="Arial" w:eastAsia="Arial" w:hAnsi="Arial"/>
                <w:sz w:val="15"/>
                <w:szCs w:val="15"/>
                <w:color w:val="7B7C80"/>
                <w:w w:val="99"/>
              </w:rPr>
              <w:t>the performance of the Company's stock over time. Ninety percent of our CEO's 2017 target compensation and an average of 80% of</w:t>
            </w:r>
          </w:p>
        </w:tc>
        <w:tc>
          <w:tcPr>
            <w:tcW w:w="180" w:type="dxa"/>
            <w:vAlign w:val="bottom"/>
            <w:tcBorders>
              <w:right w:val="single" w:sz="8" w:color="7B7C80"/>
            </w:tcBorders>
          </w:tcPr>
          <w:p>
            <w:pPr>
              <w:spacing w:after="0"/>
              <w:rPr>
                <w:sz w:val="5"/>
                <w:szCs w:val="5"/>
                <w:color w:val="auto"/>
              </w:rPr>
            </w:pPr>
          </w:p>
        </w:tc>
        <w:tc>
          <w:tcPr>
            <w:tcW w:w="0" w:type="dxa"/>
            <w:vAlign w:val="bottom"/>
          </w:tcPr>
          <w:p>
            <w:pPr>
              <w:spacing w:after="0"/>
              <w:rPr>
                <w:sz w:val="1"/>
                <w:szCs w:val="1"/>
                <w:color w:val="auto"/>
              </w:rPr>
            </w:pPr>
          </w:p>
        </w:tc>
      </w:tr>
      <w:tr>
        <w:trPr>
          <w:trHeight w:val="110"/>
        </w:trPr>
        <w:tc>
          <w:tcPr>
            <w:tcW w:w="2360" w:type="dxa"/>
            <w:vAlign w:val="bottom"/>
            <w:tcBorders>
              <w:left w:val="single" w:sz="8" w:color="7B7C80"/>
              <w:right w:val="single" w:sz="8" w:color="7B7C80"/>
            </w:tcBorders>
            <w:vMerge w:val="restart"/>
          </w:tcPr>
          <w:p>
            <w:pPr>
              <w:ind w:left="140"/>
              <w:spacing w:after="0"/>
              <w:rPr>
                <w:sz w:val="20"/>
                <w:szCs w:val="20"/>
                <w:color w:val="auto"/>
              </w:rPr>
            </w:pPr>
            <w:r>
              <w:rPr>
                <w:rFonts w:ascii="Arial" w:cs="Arial" w:eastAsia="Arial" w:hAnsi="Arial"/>
                <w:sz w:val="15"/>
                <w:szCs w:val="15"/>
                <w:b w:val="1"/>
                <w:bCs w:val="1"/>
                <w:color w:val="7B7C80"/>
              </w:rPr>
              <w:t>Compensation</w:t>
            </w:r>
            <w:r>
              <w:rPr>
                <w:rFonts w:ascii="Arial" w:cs="Arial" w:eastAsia="Arial" w:hAnsi="Arial"/>
                <w:sz w:val="15"/>
                <w:szCs w:val="15"/>
                <w:color w:val="7B7C80"/>
              </w:rPr>
              <w:t>:</w:t>
            </w:r>
          </w:p>
        </w:tc>
        <w:tc>
          <w:tcPr>
            <w:tcW w:w="8900" w:type="dxa"/>
            <w:vAlign w:val="bottom"/>
            <w:vMerge w:val="continue"/>
          </w:tcPr>
          <w:p>
            <w:pPr>
              <w:spacing w:after="0"/>
              <w:rPr>
                <w:sz w:val="9"/>
                <w:szCs w:val="9"/>
                <w:color w:val="auto"/>
              </w:rPr>
            </w:pPr>
          </w:p>
        </w:tc>
        <w:tc>
          <w:tcPr>
            <w:tcW w:w="180" w:type="dxa"/>
            <w:vAlign w:val="bottom"/>
            <w:tcBorders>
              <w:right w:val="single" w:sz="8" w:color="7B7C80"/>
            </w:tcBorders>
          </w:tcPr>
          <w:p>
            <w:pPr>
              <w:spacing w:after="0"/>
              <w:rPr>
                <w:sz w:val="9"/>
                <w:szCs w:val="9"/>
                <w:color w:val="auto"/>
              </w:rPr>
            </w:pPr>
          </w:p>
        </w:tc>
        <w:tc>
          <w:tcPr>
            <w:tcW w:w="0" w:type="dxa"/>
            <w:vAlign w:val="bottom"/>
          </w:tcPr>
          <w:p>
            <w:pPr>
              <w:spacing w:after="0"/>
              <w:rPr>
                <w:sz w:val="1"/>
                <w:szCs w:val="1"/>
                <w:color w:val="auto"/>
              </w:rPr>
            </w:pPr>
          </w:p>
        </w:tc>
      </w:tr>
      <w:tr>
        <w:trPr>
          <w:trHeight w:val="87"/>
        </w:trPr>
        <w:tc>
          <w:tcPr>
            <w:tcW w:w="2360" w:type="dxa"/>
            <w:vAlign w:val="bottom"/>
            <w:tcBorders>
              <w:left w:val="single" w:sz="8" w:color="7B7C80"/>
              <w:right w:val="single" w:sz="8" w:color="7B7C80"/>
            </w:tcBorders>
            <w:vMerge w:val="continue"/>
          </w:tcPr>
          <w:p>
            <w:pPr>
              <w:spacing w:after="0"/>
              <w:rPr>
                <w:sz w:val="7"/>
                <w:szCs w:val="7"/>
                <w:color w:val="auto"/>
              </w:rPr>
            </w:pPr>
          </w:p>
        </w:tc>
        <w:tc>
          <w:tcPr>
            <w:tcW w:w="8900" w:type="dxa"/>
            <w:vAlign w:val="bottom"/>
            <w:vMerge w:val="restart"/>
          </w:tcPr>
          <w:p>
            <w:pPr>
              <w:ind w:left="80"/>
              <w:spacing w:after="0" w:line="169" w:lineRule="exact"/>
              <w:rPr>
                <w:sz w:val="20"/>
                <w:szCs w:val="20"/>
                <w:color w:val="auto"/>
              </w:rPr>
            </w:pPr>
            <w:r>
              <w:rPr>
                <w:rFonts w:ascii="Arial" w:cs="Arial" w:eastAsia="Arial" w:hAnsi="Arial"/>
                <w:sz w:val="15"/>
                <w:szCs w:val="15"/>
                <w:color w:val="7B7C80"/>
              </w:rPr>
              <w:t>our other Named Executive Officer's target total compensation are variable and tied to Company performance.</w:t>
            </w:r>
          </w:p>
        </w:tc>
        <w:tc>
          <w:tcPr>
            <w:tcW w:w="18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2"/>
        </w:trPr>
        <w:tc>
          <w:tcPr>
            <w:tcW w:w="2360" w:type="dxa"/>
            <w:vAlign w:val="bottom"/>
            <w:tcBorders>
              <w:left w:val="single" w:sz="8" w:color="7B7C80"/>
              <w:bottom w:val="single" w:sz="8" w:color="7B7C80"/>
              <w:right w:val="single" w:sz="8" w:color="7B7C80"/>
            </w:tcBorders>
          </w:tcPr>
          <w:p>
            <w:pPr>
              <w:spacing w:after="0"/>
              <w:rPr>
                <w:sz w:val="7"/>
                <w:szCs w:val="7"/>
                <w:color w:val="auto"/>
              </w:rPr>
            </w:pPr>
          </w:p>
        </w:tc>
        <w:tc>
          <w:tcPr>
            <w:tcW w:w="8900" w:type="dxa"/>
            <w:vAlign w:val="bottom"/>
            <w:tcBorders>
              <w:bottom w:val="single" w:sz="8" w:color="7B7C80"/>
            </w:tcBorders>
            <w:vMerge w:val="continue"/>
          </w:tcPr>
          <w:p>
            <w:pPr>
              <w:spacing w:after="0"/>
              <w:rPr>
                <w:sz w:val="7"/>
                <w:szCs w:val="7"/>
                <w:color w:val="auto"/>
              </w:rPr>
            </w:pPr>
          </w:p>
        </w:tc>
        <w:tc>
          <w:tcPr>
            <w:tcW w:w="180" w:type="dxa"/>
            <w:vAlign w:val="bottom"/>
            <w:tcBorders>
              <w:bottom w:val="single" w:sz="8" w:color="7B7C80"/>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6"/>
        </w:trPr>
        <w:tc>
          <w:tcPr>
            <w:tcW w:w="2360" w:type="dxa"/>
            <w:vAlign w:val="bottom"/>
            <w:tcBorders>
              <w:left w:val="single" w:sz="8" w:color="7B7C80"/>
              <w:right w:val="single" w:sz="8" w:color="7B7C80"/>
            </w:tcBorders>
            <w:vMerge w:val="restart"/>
          </w:tcPr>
          <w:p>
            <w:pPr>
              <w:ind w:left="140"/>
              <w:spacing w:after="0"/>
              <w:rPr>
                <w:sz w:val="20"/>
                <w:szCs w:val="20"/>
                <w:color w:val="auto"/>
              </w:rPr>
            </w:pPr>
            <w:r>
              <w:rPr>
                <w:rFonts w:ascii="Arial" w:cs="Arial" w:eastAsia="Arial" w:hAnsi="Arial"/>
                <w:sz w:val="15"/>
                <w:szCs w:val="15"/>
                <w:b w:val="1"/>
                <w:bCs w:val="1"/>
                <w:color w:val="7B7C80"/>
              </w:rPr>
              <w:t>Executive Ownership</w:t>
            </w:r>
          </w:p>
        </w:tc>
        <w:tc>
          <w:tcPr>
            <w:tcW w:w="8900" w:type="dxa"/>
            <w:vAlign w:val="bottom"/>
          </w:tcPr>
          <w:p>
            <w:pPr>
              <w:ind w:left="80"/>
              <w:spacing w:after="0" w:line="166" w:lineRule="exact"/>
              <w:rPr>
                <w:sz w:val="20"/>
                <w:szCs w:val="20"/>
                <w:color w:val="auto"/>
              </w:rPr>
            </w:pPr>
            <w:r>
              <w:rPr>
                <w:rFonts w:ascii="Arial" w:cs="Arial" w:eastAsia="Arial" w:hAnsi="Arial"/>
                <w:sz w:val="15"/>
                <w:szCs w:val="15"/>
                <w:color w:val="7B7C80"/>
              </w:rPr>
              <w:t>Executives receive a significant portion of their compensation in stock as noted in the chart on page 32, and are required to own a</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87"/>
        </w:trPr>
        <w:tc>
          <w:tcPr>
            <w:tcW w:w="2360" w:type="dxa"/>
            <w:vAlign w:val="bottom"/>
            <w:tcBorders>
              <w:left w:val="single" w:sz="8" w:color="7B7C80"/>
              <w:right w:val="single" w:sz="8" w:color="7B7C80"/>
            </w:tcBorders>
            <w:vMerge w:val="continue"/>
          </w:tcPr>
          <w:p>
            <w:pPr>
              <w:spacing w:after="0"/>
              <w:rPr>
                <w:sz w:val="7"/>
                <w:szCs w:val="7"/>
                <w:color w:val="auto"/>
              </w:rPr>
            </w:pPr>
          </w:p>
        </w:tc>
        <w:tc>
          <w:tcPr>
            <w:tcW w:w="8900" w:type="dxa"/>
            <w:vAlign w:val="bottom"/>
            <w:vMerge w:val="restart"/>
          </w:tcPr>
          <w:p>
            <w:pPr>
              <w:ind w:left="80"/>
              <w:spacing w:after="0" w:line="169" w:lineRule="exact"/>
              <w:rPr>
                <w:sz w:val="20"/>
                <w:szCs w:val="20"/>
                <w:color w:val="auto"/>
              </w:rPr>
            </w:pPr>
            <w:r>
              <w:rPr>
                <w:rFonts w:ascii="Arial" w:cs="Arial" w:eastAsia="Arial" w:hAnsi="Arial"/>
                <w:sz w:val="15"/>
                <w:szCs w:val="15"/>
                <w:color w:val="7B7C80"/>
              </w:rPr>
              <w:t>meaningful amount of stock in the Company, both of which contribute to strong alignment of management and shareholder interests.</w:t>
            </w:r>
          </w:p>
        </w:tc>
        <w:tc>
          <w:tcPr>
            <w:tcW w:w="18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2"/>
        </w:trPr>
        <w:tc>
          <w:tcPr>
            <w:tcW w:w="2360" w:type="dxa"/>
            <w:vAlign w:val="bottom"/>
            <w:tcBorders>
              <w:left w:val="single" w:sz="8" w:color="7B7C80"/>
              <w:bottom w:val="single" w:sz="8" w:color="7B7C80"/>
              <w:right w:val="single" w:sz="8" w:color="7B7C80"/>
            </w:tcBorders>
          </w:tcPr>
          <w:p>
            <w:pPr>
              <w:spacing w:after="0"/>
              <w:rPr>
                <w:sz w:val="7"/>
                <w:szCs w:val="7"/>
                <w:color w:val="auto"/>
              </w:rPr>
            </w:pPr>
          </w:p>
        </w:tc>
        <w:tc>
          <w:tcPr>
            <w:tcW w:w="8900" w:type="dxa"/>
            <w:vAlign w:val="bottom"/>
            <w:tcBorders>
              <w:bottom w:val="single" w:sz="8" w:color="7B7C80"/>
            </w:tcBorders>
            <w:vMerge w:val="continue"/>
          </w:tcPr>
          <w:p>
            <w:pPr>
              <w:spacing w:after="0"/>
              <w:rPr>
                <w:sz w:val="7"/>
                <w:szCs w:val="7"/>
                <w:color w:val="auto"/>
              </w:rPr>
            </w:pPr>
          </w:p>
        </w:tc>
        <w:tc>
          <w:tcPr>
            <w:tcW w:w="180" w:type="dxa"/>
            <w:vAlign w:val="bottom"/>
            <w:tcBorders>
              <w:bottom w:val="single" w:sz="8" w:color="7B7C80"/>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6"/>
        </w:trPr>
        <w:tc>
          <w:tcPr>
            <w:tcW w:w="2360" w:type="dxa"/>
            <w:vAlign w:val="bottom"/>
            <w:tcBorders>
              <w:left w:val="single" w:sz="8" w:color="7B7C80"/>
              <w:right w:val="single" w:sz="8" w:color="7B7C80"/>
            </w:tcBorders>
          </w:tcPr>
          <w:p>
            <w:pPr>
              <w:spacing w:after="0"/>
              <w:rPr>
                <w:sz w:val="14"/>
                <w:szCs w:val="14"/>
                <w:color w:val="auto"/>
              </w:rPr>
            </w:pPr>
          </w:p>
        </w:tc>
        <w:tc>
          <w:tcPr>
            <w:tcW w:w="8900" w:type="dxa"/>
            <w:vAlign w:val="bottom"/>
          </w:tcPr>
          <w:p>
            <w:pPr>
              <w:ind w:left="80"/>
              <w:spacing w:after="0" w:line="166" w:lineRule="exact"/>
              <w:rPr>
                <w:sz w:val="20"/>
                <w:szCs w:val="20"/>
                <w:color w:val="auto"/>
              </w:rPr>
            </w:pPr>
            <w:r>
              <w:rPr>
                <w:rFonts w:ascii="Arial" w:cs="Arial" w:eastAsia="Arial" w:hAnsi="Arial"/>
                <w:sz w:val="15"/>
                <w:szCs w:val="15"/>
                <w:color w:val="7B7C80"/>
              </w:rPr>
              <w:t>Principal prohibits all employees, including Named Executive Officers, from purchasing any Principal securities on margin (except for</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2360" w:type="dxa"/>
            <w:vAlign w:val="bottom"/>
            <w:tcBorders>
              <w:left w:val="single" w:sz="8" w:color="7B7C80"/>
              <w:right w:val="single" w:sz="8" w:color="7B7C80"/>
            </w:tcBorders>
            <w:vMerge w:val="restart"/>
          </w:tcPr>
          <w:p>
            <w:pPr>
              <w:ind w:left="140"/>
              <w:spacing w:after="0"/>
              <w:rPr>
                <w:sz w:val="20"/>
                <w:szCs w:val="20"/>
                <w:color w:val="auto"/>
              </w:rPr>
            </w:pPr>
            <w:r>
              <w:rPr>
                <w:rFonts w:ascii="Arial" w:cs="Arial" w:eastAsia="Arial" w:hAnsi="Arial"/>
                <w:sz w:val="15"/>
                <w:szCs w:val="15"/>
                <w:b w:val="1"/>
                <w:bCs w:val="1"/>
                <w:color w:val="7B7C80"/>
              </w:rPr>
              <w:t>Prohibition on Hedging</w:t>
            </w:r>
          </w:p>
        </w:tc>
        <w:tc>
          <w:tcPr>
            <w:tcW w:w="8900" w:type="dxa"/>
            <w:vAlign w:val="bottom"/>
          </w:tcPr>
          <w:p>
            <w:pPr>
              <w:ind w:left="80"/>
              <w:spacing w:after="0"/>
              <w:rPr>
                <w:sz w:val="20"/>
                <w:szCs w:val="20"/>
                <w:color w:val="auto"/>
              </w:rPr>
            </w:pPr>
            <w:r>
              <w:rPr>
                <w:rFonts w:ascii="Arial" w:cs="Arial" w:eastAsia="Arial" w:hAnsi="Arial"/>
                <w:sz w:val="15"/>
                <w:szCs w:val="15"/>
                <w:color w:val="7B7C80"/>
              </w:rPr>
              <w:t>exercising stock options), engaging in short sales or trading in any put or call options; and purchasing, directly or indirectly, any</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87"/>
        </w:trPr>
        <w:tc>
          <w:tcPr>
            <w:tcW w:w="2360" w:type="dxa"/>
            <w:vAlign w:val="bottom"/>
            <w:tcBorders>
              <w:left w:val="single" w:sz="8" w:color="7B7C80"/>
              <w:right w:val="single" w:sz="8" w:color="7B7C80"/>
            </w:tcBorders>
            <w:vMerge w:val="continue"/>
          </w:tcPr>
          <w:p>
            <w:pPr>
              <w:spacing w:after="0"/>
              <w:rPr>
                <w:sz w:val="7"/>
                <w:szCs w:val="7"/>
                <w:color w:val="auto"/>
              </w:rPr>
            </w:pPr>
          </w:p>
        </w:tc>
        <w:tc>
          <w:tcPr>
            <w:tcW w:w="9080" w:type="dxa"/>
            <w:vAlign w:val="bottom"/>
            <w:tcBorders>
              <w:right w:val="single" w:sz="8" w:color="7B7C80"/>
            </w:tcBorders>
            <w:gridSpan w:val="2"/>
            <w:vMerge w:val="restart"/>
          </w:tcPr>
          <w:p>
            <w:pPr>
              <w:ind w:left="80"/>
              <w:spacing w:after="0"/>
              <w:rPr>
                <w:sz w:val="20"/>
                <w:szCs w:val="20"/>
                <w:color w:val="auto"/>
              </w:rPr>
            </w:pPr>
            <w:r>
              <w:rPr>
                <w:rFonts w:ascii="Arial" w:cs="Arial" w:eastAsia="Arial" w:hAnsi="Arial"/>
                <w:sz w:val="15"/>
                <w:szCs w:val="15"/>
                <w:color w:val="7B7C80"/>
              </w:rPr>
              <w:t>financial instrument (including prepaid variable forward contracts, equity swaps, collars and exchange funds) that is designed to hedge</w:t>
            </w:r>
          </w:p>
        </w:tc>
        <w:tc>
          <w:tcPr>
            <w:tcW w:w="0" w:type="dxa"/>
            <w:vAlign w:val="bottom"/>
          </w:tcPr>
          <w:p>
            <w:pPr>
              <w:spacing w:after="0"/>
              <w:rPr>
                <w:sz w:val="1"/>
                <w:szCs w:val="1"/>
                <w:color w:val="auto"/>
              </w:rPr>
            </w:pPr>
          </w:p>
        </w:tc>
      </w:tr>
      <w:tr>
        <w:trPr>
          <w:trHeight w:val="85"/>
        </w:trPr>
        <w:tc>
          <w:tcPr>
            <w:tcW w:w="2360" w:type="dxa"/>
            <w:vAlign w:val="bottom"/>
            <w:tcBorders>
              <w:left w:val="single" w:sz="8" w:color="7B7C80"/>
              <w:right w:val="single" w:sz="8" w:color="7B7C80"/>
            </w:tcBorders>
          </w:tcPr>
          <w:p>
            <w:pPr>
              <w:spacing w:after="0"/>
              <w:rPr>
                <w:sz w:val="7"/>
                <w:szCs w:val="7"/>
                <w:color w:val="auto"/>
              </w:rPr>
            </w:pPr>
          </w:p>
        </w:tc>
        <w:tc>
          <w:tcPr>
            <w:tcW w:w="9080" w:type="dxa"/>
            <w:vAlign w:val="bottom"/>
            <w:tcBorders>
              <w:right w:val="single" w:sz="8" w:color="7B7C80"/>
            </w:tcBorders>
            <w:gridSpan w:val="2"/>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360" w:type="dxa"/>
            <w:vAlign w:val="bottom"/>
            <w:tcBorders>
              <w:left w:val="single" w:sz="8" w:color="7B7C80"/>
              <w:bottom w:val="single" w:sz="8" w:color="7B7C80"/>
              <w:right w:val="single" w:sz="8" w:color="7B7C80"/>
            </w:tcBorders>
          </w:tcPr>
          <w:p>
            <w:pPr>
              <w:spacing w:after="0"/>
              <w:rPr>
                <w:sz w:val="14"/>
                <w:szCs w:val="14"/>
                <w:color w:val="auto"/>
              </w:rPr>
            </w:pPr>
          </w:p>
        </w:tc>
        <w:tc>
          <w:tcPr>
            <w:tcW w:w="8900" w:type="dxa"/>
            <w:vAlign w:val="bottom"/>
            <w:tcBorders>
              <w:bottom w:val="single" w:sz="8" w:color="7B7C80"/>
            </w:tcBorders>
          </w:tcPr>
          <w:p>
            <w:pPr>
              <w:ind w:left="80"/>
              <w:spacing w:after="0" w:line="169" w:lineRule="exact"/>
              <w:rPr>
                <w:sz w:val="20"/>
                <w:szCs w:val="20"/>
                <w:color w:val="auto"/>
              </w:rPr>
            </w:pPr>
            <w:r>
              <w:rPr>
                <w:rFonts w:ascii="Arial" w:cs="Arial" w:eastAsia="Arial" w:hAnsi="Arial"/>
                <w:sz w:val="15"/>
                <w:szCs w:val="15"/>
                <w:color w:val="7B7C80"/>
              </w:rPr>
              <w:t>or offset any decrease in the market value of Principal securities.</w:t>
            </w:r>
          </w:p>
        </w:tc>
        <w:tc>
          <w:tcPr>
            <w:tcW w:w="18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2360" w:type="dxa"/>
            <w:vAlign w:val="bottom"/>
            <w:tcBorders>
              <w:left w:val="single" w:sz="8" w:color="7B7C80"/>
              <w:right w:val="single" w:sz="8" w:color="7B7C80"/>
            </w:tcBorders>
          </w:tcPr>
          <w:p>
            <w:pPr>
              <w:spacing w:after="0"/>
              <w:rPr>
                <w:sz w:val="14"/>
                <w:szCs w:val="14"/>
                <w:color w:val="auto"/>
              </w:rPr>
            </w:pPr>
          </w:p>
        </w:tc>
        <w:tc>
          <w:tcPr>
            <w:tcW w:w="8900" w:type="dxa"/>
            <w:vAlign w:val="bottom"/>
          </w:tcPr>
          <w:p>
            <w:pPr>
              <w:ind w:left="80"/>
              <w:spacing w:after="0" w:line="166" w:lineRule="exact"/>
              <w:rPr>
                <w:sz w:val="20"/>
                <w:szCs w:val="20"/>
                <w:color w:val="auto"/>
              </w:rPr>
            </w:pPr>
            <w:r>
              <w:rPr>
                <w:rFonts w:ascii="Arial" w:cs="Arial" w:eastAsia="Arial" w:hAnsi="Arial"/>
                <w:sz w:val="15"/>
                <w:szCs w:val="15"/>
                <w:color w:val="7B7C80"/>
              </w:rPr>
              <w:t>Principal has a claw back policy to recover incentive compensation paid to Executives if the compensation was based on achieving</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2360" w:type="dxa"/>
            <w:vAlign w:val="bottom"/>
            <w:tcBorders>
              <w:left w:val="single" w:sz="8" w:color="7B7C80"/>
              <w:right w:val="single" w:sz="8" w:color="7B7C80"/>
            </w:tcBorders>
            <w:vMerge w:val="restart"/>
          </w:tcPr>
          <w:p>
            <w:pPr>
              <w:ind w:left="140"/>
              <w:spacing w:after="0"/>
              <w:rPr>
                <w:sz w:val="20"/>
                <w:szCs w:val="20"/>
                <w:color w:val="auto"/>
              </w:rPr>
            </w:pPr>
            <w:r>
              <w:rPr>
                <w:rFonts w:ascii="Arial" w:cs="Arial" w:eastAsia="Arial" w:hAnsi="Arial"/>
                <w:sz w:val="15"/>
                <w:szCs w:val="15"/>
                <w:b w:val="1"/>
                <w:bCs w:val="1"/>
                <w:color w:val="7B7C80"/>
              </w:rPr>
              <w:t>Clawback Policy</w:t>
            </w:r>
          </w:p>
        </w:tc>
        <w:tc>
          <w:tcPr>
            <w:tcW w:w="8900" w:type="dxa"/>
            <w:vAlign w:val="bottom"/>
          </w:tcPr>
          <w:p>
            <w:pPr>
              <w:ind w:left="80"/>
              <w:spacing w:after="0"/>
              <w:rPr>
                <w:sz w:val="20"/>
                <w:szCs w:val="20"/>
                <w:color w:val="auto"/>
              </w:rPr>
            </w:pPr>
            <w:r>
              <w:rPr>
                <w:rFonts w:ascii="Arial" w:cs="Arial" w:eastAsia="Arial" w:hAnsi="Arial"/>
                <w:sz w:val="15"/>
                <w:szCs w:val="15"/>
                <w:color w:val="7B7C80"/>
              </w:rPr>
              <w:t>financial results that were subsequently restated, if the Committee decides that the Executive engaged in fraud or intentional</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87"/>
        </w:trPr>
        <w:tc>
          <w:tcPr>
            <w:tcW w:w="2360" w:type="dxa"/>
            <w:vAlign w:val="bottom"/>
            <w:tcBorders>
              <w:left w:val="single" w:sz="8" w:color="7B7C80"/>
              <w:right w:val="single" w:sz="8" w:color="7B7C80"/>
            </w:tcBorders>
            <w:vMerge w:val="continue"/>
          </w:tcPr>
          <w:p>
            <w:pPr>
              <w:spacing w:after="0"/>
              <w:rPr>
                <w:sz w:val="7"/>
                <w:szCs w:val="7"/>
                <w:color w:val="auto"/>
              </w:rPr>
            </w:pPr>
          </w:p>
        </w:tc>
        <w:tc>
          <w:tcPr>
            <w:tcW w:w="8900" w:type="dxa"/>
            <w:vAlign w:val="bottom"/>
            <w:vMerge w:val="restart"/>
          </w:tcPr>
          <w:p>
            <w:pPr>
              <w:ind w:left="80"/>
              <w:spacing w:after="0"/>
              <w:rPr>
                <w:sz w:val="20"/>
                <w:szCs w:val="20"/>
                <w:color w:val="auto"/>
              </w:rPr>
            </w:pPr>
            <w:r>
              <w:rPr>
                <w:rFonts w:ascii="Arial" w:cs="Arial" w:eastAsia="Arial" w:hAnsi="Arial"/>
                <w:sz w:val="15"/>
                <w:szCs w:val="15"/>
                <w:color w:val="7B7C80"/>
                <w:w w:val="99"/>
              </w:rPr>
              <w:t>misconduct that caused the restatement, and if the amount of the Executive's incentive compensation would have been lower had the</w:t>
            </w:r>
          </w:p>
        </w:tc>
        <w:tc>
          <w:tcPr>
            <w:tcW w:w="18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5"/>
        </w:trPr>
        <w:tc>
          <w:tcPr>
            <w:tcW w:w="2360" w:type="dxa"/>
            <w:vAlign w:val="bottom"/>
            <w:tcBorders>
              <w:left w:val="single" w:sz="8" w:color="7B7C80"/>
              <w:right w:val="single" w:sz="8" w:color="7B7C80"/>
            </w:tcBorders>
          </w:tcPr>
          <w:p>
            <w:pPr>
              <w:spacing w:after="0"/>
              <w:rPr>
                <w:sz w:val="7"/>
                <w:szCs w:val="7"/>
                <w:color w:val="auto"/>
              </w:rPr>
            </w:pPr>
          </w:p>
        </w:tc>
        <w:tc>
          <w:tcPr>
            <w:tcW w:w="8900" w:type="dxa"/>
            <w:vAlign w:val="bottom"/>
            <w:vMerge w:val="continue"/>
          </w:tcPr>
          <w:p>
            <w:pPr>
              <w:spacing w:after="0"/>
              <w:rPr>
                <w:sz w:val="7"/>
                <w:szCs w:val="7"/>
                <w:color w:val="auto"/>
              </w:rPr>
            </w:pPr>
          </w:p>
        </w:tc>
        <w:tc>
          <w:tcPr>
            <w:tcW w:w="18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360" w:type="dxa"/>
            <w:vAlign w:val="bottom"/>
            <w:tcBorders>
              <w:left w:val="single" w:sz="8" w:color="7B7C80"/>
              <w:bottom w:val="single" w:sz="8" w:color="7B7C80"/>
              <w:right w:val="single" w:sz="8" w:color="7B7C80"/>
            </w:tcBorders>
          </w:tcPr>
          <w:p>
            <w:pPr>
              <w:spacing w:after="0"/>
              <w:rPr>
                <w:sz w:val="14"/>
                <w:szCs w:val="14"/>
                <w:color w:val="auto"/>
              </w:rPr>
            </w:pPr>
          </w:p>
        </w:tc>
        <w:tc>
          <w:tcPr>
            <w:tcW w:w="8900" w:type="dxa"/>
            <w:vAlign w:val="bottom"/>
            <w:tcBorders>
              <w:bottom w:val="single" w:sz="8" w:color="7B7C80"/>
            </w:tcBorders>
          </w:tcPr>
          <w:p>
            <w:pPr>
              <w:ind w:left="80"/>
              <w:spacing w:after="0" w:line="169" w:lineRule="exact"/>
              <w:rPr>
                <w:sz w:val="20"/>
                <w:szCs w:val="20"/>
                <w:color w:val="auto"/>
              </w:rPr>
            </w:pPr>
            <w:r>
              <w:rPr>
                <w:rFonts w:ascii="Arial" w:cs="Arial" w:eastAsia="Arial" w:hAnsi="Arial"/>
                <w:sz w:val="15"/>
                <w:szCs w:val="15"/>
                <w:color w:val="7B7C80"/>
              </w:rPr>
              <w:t>financial results been properly reported.</w:t>
            </w:r>
          </w:p>
        </w:tc>
        <w:tc>
          <w:tcPr>
            <w:tcW w:w="18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2360" w:type="dxa"/>
            <w:vAlign w:val="bottom"/>
            <w:tcBorders>
              <w:left w:val="single" w:sz="8" w:color="7B7C80"/>
              <w:right w:val="single" w:sz="8" w:color="7B7C80"/>
            </w:tcBorders>
            <w:vMerge w:val="restart"/>
          </w:tcPr>
          <w:p>
            <w:pPr>
              <w:ind w:left="140"/>
              <w:spacing w:after="0"/>
              <w:rPr>
                <w:sz w:val="20"/>
                <w:szCs w:val="20"/>
                <w:color w:val="auto"/>
              </w:rPr>
            </w:pPr>
            <w:r>
              <w:rPr>
                <w:rFonts w:ascii="Arial" w:cs="Arial" w:eastAsia="Arial" w:hAnsi="Arial"/>
                <w:sz w:val="15"/>
                <w:szCs w:val="15"/>
                <w:b w:val="1"/>
                <w:bCs w:val="1"/>
                <w:color w:val="7B7C80"/>
              </w:rPr>
              <w:t>Market Severance Protection</w:t>
            </w:r>
          </w:p>
        </w:tc>
        <w:tc>
          <w:tcPr>
            <w:tcW w:w="8900" w:type="dxa"/>
            <w:vAlign w:val="bottom"/>
          </w:tcPr>
          <w:p>
            <w:pPr>
              <w:ind w:left="80"/>
              <w:spacing w:after="0" w:line="166" w:lineRule="exact"/>
              <w:rPr>
                <w:sz w:val="20"/>
                <w:szCs w:val="20"/>
                <w:color w:val="auto"/>
              </w:rPr>
            </w:pPr>
            <w:r>
              <w:rPr>
                <w:rFonts w:ascii="Arial" w:cs="Arial" w:eastAsia="Arial" w:hAnsi="Arial"/>
                <w:sz w:val="15"/>
                <w:szCs w:val="15"/>
                <w:color w:val="7B7C80"/>
              </w:rPr>
              <w:t>Our change of control agreements with Executives provide market based severance protection and do not provide excise tax gross</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87"/>
        </w:trPr>
        <w:tc>
          <w:tcPr>
            <w:tcW w:w="2360" w:type="dxa"/>
            <w:vAlign w:val="bottom"/>
            <w:tcBorders>
              <w:left w:val="single" w:sz="8" w:color="7B7C80"/>
              <w:right w:val="single" w:sz="8" w:color="7B7C80"/>
            </w:tcBorders>
            <w:vMerge w:val="continue"/>
          </w:tcPr>
          <w:p>
            <w:pPr>
              <w:spacing w:after="0"/>
              <w:rPr>
                <w:sz w:val="7"/>
                <w:szCs w:val="7"/>
                <w:color w:val="auto"/>
              </w:rPr>
            </w:pPr>
          </w:p>
        </w:tc>
        <w:tc>
          <w:tcPr>
            <w:tcW w:w="8900" w:type="dxa"/>
            <w:vAlign w:val="bottom"/>
            <w:vMerge w:val="restart"/>
          </w:tcPr>
          <w:p>
            <w:pPr>
              <w:ind w:left="80"/>
              <w:spacing w:after="0" w:line="169" w:lineRule="exact"/>
              <w:rPr>
                <w:sz w:val="20"/>
                <w:szCs w:val="20"/>
                <w:color w:val="auto"/>
              </w:rPr>
            </w:pPr>
            <w:r>
              <w:rPr>
                <w:rFonts w:ascii="Arial" w:cs="Arial" w:eastAsia="Arial" w:hAnsi="Arial"/>
                <w:sz w:val="15"/>
                <w:szCs w:val="15"/>
                <w:color w:val="7B7C80"/>
              </w:rPr>
              <w:t>ups.</w:t>
            </w:r>
          </w:p>
        </w:tc>
        <w:tc>
          <w:tcPr>
            <w:tcW w:w="18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2"/>
        </w:trPr>
        <w:tc>
          <w:tcPr>
            <w:tcW w:w="2360" w:type="dxa"/>
            <w:vAlign w:val="bottom"/>
            <w:tcBorders>
              <w:left w:val="single" w:sz="8" w:color="7B7C80"/>
              <w:bottom w:val="single" w:sz="8" w:color="7B7C80"/>
              <w:right w:val="single" w:sz="8" w:color="7B7C80"/>
            </w:tcBorders>
          </w:tcPr>
          <w:p>
            <w:pPr>
              <w:spacing w:after="0"/>
              <w:rPr>
                <w:sz w:val="7"/>
                <w:szCs w:val="7"/>
                <w:color w:val="auto"/>
              </w:rPr>
            </w:pPr>
          </w:p>
        </w:tc>
        <w:tc>
          <w:tcPr>
            <w:tcW w:w="8900" w:type="dxa"/>
            <w:vAlign w:val="bottom"/>
            <w:tcBorders>
              <w:bottom w:val="single" w:sz="8" w:color="7B7C80"/>
            </w:tcBorders>
            <w:vMerge w:val="continue"/>
          </w:tcPr>
          <w:p>
            <w:pPr>
              <w:spacing w:after="0"/>
              <w:rPr>
                <w:sz w:val="7"/>
                <w:szCs w:val="7"/>
                <w:color w:val="auto"/>
              </w:rPr>
            </w:pPr>
          </w:p>
        </w:tc>
        <w:tc>
          <w:tcPr>
            <w:tcW w:w="180" w:type="dxa"/>
            <w:vAlign w:val="bottom"/>
            <w:tcBorders>
              <w:bottom w:val="single" w:sz="8" w:color="7B7C80"/>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6"/>
        </w:trPr>
        <w:tc>
          <w:tcPr>
            <w:tcW w:w="2360" w:type="dxa"/>
            <w:vAlign w:val="bottom"/>
            <w:tcBorders>
              <w:left w:val="single" w:sz="8" w:color="7B7C80"/>
              <w:right w:val="single" w:sz="8" w:color="7B7C80"/>
            </w:tcBorders>
            <w:vMerge w:val="restart"/>
          </w:tcPr>
          <w:p>
            <w:pPr>
              <w:ind w:left="140"/>
              <w:spacing w:after="0"/>
              <w:rPr>
                <w:sz w:val="20"/>
                <w:szCs w:val="20"/>
                <w:color w:val="auto"/>
              </w:rPr>
            </w:pPr>
            <w:r>
              <w:rPr>
                <w:rFonts w:ascii="Arial" w:cs="Arial" w:eastAsia="Arial" w:hAnsi="Arial"/>
                <w:sz w:val="15"/>
                <w:szCs w:val="15"/>
                <w:b w:val="1"/>
                <w:bCs w:val="1"/>
                <w:color w:val="7B7C80"/>
              </w:rPr>
              <w:t>Limited Perquisites</w:t>
            </w:r>
          </w:p>
        </w:tc>
        <w:tc>
          <w:tcPr>
            <w:tcW w:w="8900" w:type="dxa"/>
            <w:vAlign w:val="bottom"/>
          </w:tcPr>
          <w:p>
            <w:pPr>
              <w:ind w:left="80"/>
              <w:spacing w:after="0" w:line="166" w:lineRule="exact"/>
              <w:rPr>
                <w:sz w:val="20"/>
                <w:szCs w:val="20"/>
                <w:color w:val="auto"/>
              </w:rPr>
            </w:pPr>
            <w:r>
              <w:rPr>
                <w:rFonts w:ascii="Arial" w:cs="Arial" w:eastAsia="Arial" w:hAnsi="Arial"/>
                <w:sz w:val="15"/>
                <w:szCs w:val="15"/>
                <w:color w:val="7B7C80"/>
                <w:w w:val="99"/>
              </w:rPr>
              <w:t>We do not provide perquisites to Executives that are not offered to all employees, except one physical examination per year, business</w:t>
            </w:r>
          </w:p>
        </w:tc>
        <w:tc>
          <w:tcPr>
            <w:tcW w:w="1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87"/>
        </w:trPr>
        <w:tc>
          <w:tcPr>
            <w:tcW w:w="2360" w:type="dxa"/>
            <w:vAlign w:val="bottom"/>
            <w:tcBorders>
              <w:left w:val="single" w:sz="8" w:color="7B7C80"/>
              <w:right w:val="single" w:sz="8" w:color="7B7C80"/>
            </w:tcBorders>
            <w:vMerge w:val="continue"/>
          </w:tcPr>
          <w:p>
            <w:pPr>
              <w:spacing w:after="0"/>
              <w:rPr>
                <w:sz w:val="7"/>
                <w:szCs w:val="7"/>
                <w:color w:val="auto"/>
              </w:rPr>
            </w:pPr>
          </w:p>
        </w:tc>
        <w:tc>
          <w:tcPr>
            <w:tcW w:w="8900" w:type="dxa"/>
            <w:vAlign w:val="bottom"/>
            <w:vMerge w:val="restart"/>
          </w:tcPr>
          <w:p>
            <w:pPr>
              <w:ind w:left="80"/>
              <w:spacing w:after="0" w:line="169" w:lineRule="exact"/>
              <w:rPr>
                <w:sz w:val="20"/>
                <w:szCs w:val="20"/>
                <w:color w:val="auto"/>
              </w:rPr>
            </w:pPr>
            <w:r>
              <w:rPr>
                <w:rFonts w:ascii="Arial" w:cs="Arial" w:eastAsia="Arial" w:hAnsi="Arial"/>
                <w:sz w:val="15"/>
                <w:szCs w:val="15"/>
                <w:color w:val="7B7C80"/>
              </w:rPr>
              <w:t>spousal travel, and gifts of nominal value given to all sales conference attendees.</w:t>
            </w:r>
          </w:p>
        </w:tc>
        <w:tc>
          <w:tcPr>
            <w:tcW w:w="18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2"/>
        </w:trPr>
        <w:tc>
          <w:tcPr>
            <w:tcW w:w="2360" w:type="dxa"/>
            <w:vAlign w:val="bottom"/>
            <w:tcBorders>
              <w:left w:val="single" w:sz="8" w:color="7B7C80"/>
              <w:bottom w:val="single" w:sz="8" w:color="7B7C80"/>
              <w:right w:val="single" w:sz="8" w:color="7B7C80"/>
            </w:tcBorders>
          </w:tcPr>
          <w:p>
            <w:pPr>
              <w:spacing w:after="0"/>
              <w:rPr>
                <w:sz w:val="7"/>
                <w:szCs w:val="7"/>
                <w:color w:val="auto"/>
              </w:rPr>
            </w:pPr>
          </w:p>
        </w:tc>
        <w:tc>
          <w:tcPr>
            <w:tcW w:w="8900" w:type="dxa"/>
            <w:vAlign w:val="bottom"/>
            <w:tcBorders>
              <w:bottom w:val="single" w:sz="8" w:color="7B7C80"/>
            </w:tcBorders>
            <w:vMerge w:val="continue"/>
          </w:tcPr>
          <w:p>
            <w:pPr>
              <w:spacing w:after="0"/>
              <w:rPr>
                <w:sz w:val="7"/>
                <w:szCs w:val="7"/>
                <w:color w:val="auto"/>
              </w:rPr>
            </w:pPr>
          </w:p>
        </w:tc>
        <w:tc>
          <w:tcPr>
            <w:tcW w:w="180" w:type="dxa"/>
            <w:vAlign w:val="bottom"/>
            <w:tcBorders>
              <w:bottom w:val="single" w:sz="8" w:color="7B7C80"/>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3"/>
        </w:trPr>
        <w:tc>
          <w:tcPr>
            <w:tcW w:w="2360" w:type="dxa"/>
            <w:vAlign w:val="bottom"/>
            <w:tcBorders>
              <w:left w:val="single" w:sz="8" w:color="7B7C80"/>
              <w:bottom w:val="single" w:sz="8" w:color="7B7C80"/>
              <w:right w:val="single" w:sz="8" w:color="7B7C80"/>
            </w:tcBorders>
          </w:tcPr>
          <w:p>
            <w:pPr>
              <w:ind w:left="140"/>
              <w:spacing w:after="0" w:line="164" w:lineRule="exact"/>
              <w:rPr>
                <w:sz w:val="20"/>
                <w:szCs w:val="20"/>
                <w:color w:val="auto"/>
              </w:rPr>
            </w:pPr>
            <w:r>
              <w:rPr>
                <w:rFonts w:ascii="Arial" w:cs="Arial" w:eastAsia="Arial" w:hAnsi="Arial"/>
                <w:sz w:val="15"/>
                <w:szCs w:val="15"/>
                <w:b w:val="1"/>
                <w:bCs w:val="1"/>
                <w:color w:val="7B7C80"/>
              </w:rPr>
              <w:t>No Repricing</w:t>
            </w:r>
          </w:p>
        </w:tc>
        <w:tc>
          <w:tcPr>
            <w:tcW w:w="890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We have not repriced underwater stock options and we will not do so without shareholder approval.</w:t>
            </w:r>
          </w:p>
        </w:tc>
        <w:tc>
          <w:tcPr>
            <w:tcW w:w="18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360" w:type="dxa"/>
            <w:vAlign w:val="bottom"/>
            <w:tcBorders>
              <w:left w:val="single" w:sz="8" w:color="7B7C80"/>
              <w:right w:val="single" w:sz="8" w:color="7B7C80"/>
            </w:tcBorders>
          </w:tcPr>
          <w:p>
            <w:pPr>
              <w:ind w:left="140"/>
              <w:spacing w:after="0" w:line="148" w:lineRule="exact"/>
              <w:rPr>
                <w:sz w:val="20"/>
                <w:szCs w:val="20"/>
                <w:color w:val="auto"/>
              </w:rPr>
            </w:pPr>
            <w:r>
              <w:rPr>
                <w:rFonts w:ascii="Arial" w:cs="Arial" w:eastAsia="Arial" w:hAnsi="Arial"/>
                <w:sz w:val="15"/>
                <w:szCs w:val="15"/>
                <w:b w:val="1"/>
                <w:bCs w:val="1"/>
                <w:color w:val="7B7C80"/>
              </w:rPr>
              <w:t>Tax and Accounting</w:t>
            </w:r>
          </w:p>
        </w:tc>
        <w:tc>
          <w:tcPr>
            <w:tcW w:w="8900" w:type="dxa"/>
            <w:vAlign w:val="bottom"/>
          </w:tcPr>
          <w:p>
            <w:pPr>
              <w:ind w:left="80"/>
              <w:spacing w:after="0" w:line="148" w:lineRule="exact"/>
              <w:rPr>
                <w:sz w:val="20"/>
                <w:szCs w:val="20"/>
                <w:color w:val="auto"/>
              </w:rPr>
            </w:pPr>
            <w:r>
              <w:rPr>
                <w:rFonts w:ascii="Arial" w:cs="Arial" w:eastAsia="Arial" w:hAnsi="Arial"/>
                <w:sz w:val="15"/>
                <w:szCs w:val="15"/>
                <w:color w:val="7B7C80"/>
              </w:rPr>
              <w:t>Our programs are designed, to the extent possible, to be financially efficient from tax, accounting, cash flow and share dilution</w:t>
            </w:r>
          </w:p>
        </w:tc>
        <w:tc>
          <w:tcPr>
            <w:tcW w:w="18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87"/>
        </w:trPr>
        <w:tc>
          <w:tcPr>
            <w:tcW w:w="2360" w:type="dxa"/>
            <w:vAlign w:val="bottom"/>
            <w:tcBorders>
              <w:left w:val="single" w:sz="8" w:color="7B7C80"/>
              <w:bottom w:val="single" w:sz="8" w:color="7B7C80"/>
              <w:right w:val="single" w:sz="8" w:color="7B7C80"/>
            </w:tcBorders>
          </w:tcPr>
          <w:p>
            <w:pPr>
              <w:ind w:left="140"/>
              <w:spacing w:after="0"/>
              <w:rPr>
                <w:sz w:val="20"/>
                <w:szCs w:val="20"/>
                <w:color w:val="auto"/>
              </w:rPr>
            </w:pPr>
            <w:r>
              <w:rPr>
                <w:rFonts w:ascii="Arial" w:cs="Arial" w:eastAsia="Arial" w:hAnsi="Arial"/>
                <w:sz w:val="15"/>
                <w:szCs w:val="15"/>
                <w:b w:val="1"/>
                <w:bCs w:val="1"/>
                <w:color w:val="7B7C80"/>
              </w:rPr>
              <w:t>Efficiency</w:t>
            </w:r>
          </w:p>
        </w:tc>
        <w:tc>
          <w:tcPr>
            <w:tcW w:w="8900" w:type="dxa"/>
            <w:vAlign w:val="bottom"/>
            <w:tcBorders>
              <w:bottom w:val="single" w:sz="8" w:color="7B7C80"/>
            </w:tcBorders>
          </w:tcPr>
          <w:p>
            <w:pPr>
              <w:ind w:left="80"/>
              <w:spacing w:after="0"/>
              <w:rPr>
                <w:sz w:val="20"/>
                <w:szCs w:val="20"/>
                <w:color w:val="auto"/>
              </w:rPr>
            </w:pPr>
            <w:r>
              <w:rPr>
                <w:rFonts w:ascii="Arial" w:cs="Arial" w:eastAsia="Arial" w:hAnsi="Arial"/>
                <w:sz w:val="15"/>
                <w:szCs w:val="15"/>
                <w:color w:val="7B7C80"/>
              </w:rPr>
              <w:t>perspectives.</w:t>
            </w:r>
          </w:p>
        </w:tc>
        <w:tc>
          <w:tcPr>
            <w:tcW w:w="180" w:type="dxa"/>
            <w:vAlign w:val="bottom"/>
            <w:tcBorders>
              <w:bottom w:val="single" w:sz="8" w:color="7B7C80"/>
              <w:right w:val="single" w:sz="8" w:color="7B7C80"/>
            </w:tcBorders>
          </w:tcPr>
          <w:p>
            <w:pPr>
              <w:spacing w:after="0"/>
              <w:rPr>
                <w:sz w:val="16"/>
                <w:szCs w:val="16"/>
                <w:color w:val="auto"/>
              </w:rPr>
            </w:pPr>
          </w:p>
        </w:tc>
        <w:tc>
          <w:tcPr>
            <w:tcW w:w="0" w:type="dxa"/>
            <w:vAlign w:val="bottom"/>
          </w:tcPr>
          <w:p>
            <w:pPr>
              <w:spacing w:after="0"/>
              <w:rPr>
                <w:sz w:val="1"/>
                <w:szCs w:val="1"/>
                <w:color w:val="auto"/>
              </w:rPr>
            </w:pPr>
          </w:p>
        </w:tc>
      </w:tr>
      <w:tr>
        <w:trPr>
          <w:trHeight w:val="163"/>
        </w:trPr>
        <w:tc>
          <w:tcPr>
            <w:tcW w:w="2360" w:type="dxa"/>
            <w:vAlign w:val="bottom"/>
            <w:tcBorders>
              <w:left w:val="single" w:sz="8" w:color="7B7C80"/>
              <w:bottom w:val="single" w:sz="8" w:color="7B7C80"/>
              <w:right w:val="single" w:sz="8" w:color="7B7C80"/>
            </w:tcBorders>
          </w:tcPr>
          <w:p>
            <w:pPr>
              <w:ind w:left="140"/>
              <w:spacing w:after="0" w:line="164" w:lineRule="exact"/>
              <w:rPr>
                <w:sz w:val="20"/>
                <w:szCs w:val="20"/>
                <w:color w:val="auto"/>
              </w:rPr>
            </w:pPr>
            <w:r>
              <w:rPr>
                <w:rFonts w:ascii="Arial" w:cs="Arial" w:eastAsia="Arial" w:hAnsi="Arial"/>
                <w:sz w:val="15"/>
                <w:szCs w:val="15"/>
                <w:b w:val="1"/>
                <w:bCs w:val="1"/>
                <w:color w:val="7B7C80"/>
              </w:rPr>
              <w:t>No Gross Ups</w:t>
            </w:r>
          </w:p>
        </w:tc>
        <w:tc>
          <w:tcPr>
            <w:tcW w:w="890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Executives do not receive any income tax gross ups.</w:t>
            </w:r>
          </w:p>
        </w:tc>
        <w:tc>
          <w:tcPr>
            <w:tcW w:w="18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494"/>
        </w:trPr>
        <w:tc>
          <w:tcPr>
            <w:tcW w:w="2360" w:type="dxa"/>
            <w:vAlign w:val="bottom"/>
          </w:tcPr>
          <w:p>
            <w:pPr>
              <w:spacing w:after="0"/>
              <w:rPr>
                <w:sz w:val="24"/>
                <w:szCs w:val="24"/>
                <w:color w:val="auto"/>
              </w:rPr>
            </w:pPr>
          </w:p>
        </w:tc>
        <w:tc>
          <w:tcPr>
            <w:tcW w:w="8900" w:type="dxa"/>
            <w:vAlign w:val="bottom"/>
          </w:tcPr>
          <w:p>
            <w:pPr>
              <w:ind w:left="7100"/>
              <w:spacing w:after="0"/>
              <w:rPr>
                <w:sz w:val="20"/>
                <w:szCs w:val="20"/>
                <w:color w:val="auto"/>
              </w:rPr>
            </w:pPr>
            <w:r>
              <w:rPr>
                <w:rFonts w:ascii="Arial" w:cs="Arial" w:eastAsia="Arial" w:hAnsi="Arial"/>
                <w:sz w:val="15"/>
                <w:szCs w:val="15"/>
                <w:color w:val="7B7C80"/>
              </w:rPr>
              <w:t>2018 Proxy Statement</w:t>
            </w:r>
          </w:p>
        </w:tc>
        <w:tc>
          <w:tcPr>
            <w:tcW w:w="180" w:type="dxa"/>
            <w:vAlign w:val="bottom"/>
          </w:tcPr>
          <w:p>
            <w:pPr>
              <w:jc w:val="right"/>
              <w:spacing w:after="0"/>
              <w:rPr>
                <w:sz w:val="20"/>
                <w:szCs w:val="20"/>
                <w:color w:val="auto"/>
              </w:rPr>
            </w:pPr>
            <w:r>
              <w:rPr>
                <w:rFonts w:ascii="Arial" w:cs="Arial" w:eastAsia="Arial" w:hAnsi="Arial"/>
                <w:sz w:val="15"/>
                <w:szCs w:val="15"/>
                <w:color w:val="009CCC"/>
                <w:w w:val="95"/>
              </w:rPr>
              <w:t>27</w:t>
            </w:r>
          </w:p>
        </w:tc>
        <w:tc>
          <w:tcPr>
            <w:tcW w:w="0" w:type="dxa"/>
            <w:vAlign w:val="bottom"/>
          </w:tcPr>
          <w:p>
            <w:pPr>
              <w:spacing w:after="0"/>
              <w:rPr>
                <w:sz w:val="1"/>
                <w:szCs w:val="1"/>
                <w:color w:val="auto"/>
              </w:rPr>
            </w:pPr>
          </w:p>
        </w:tc>
      </w:tr>
      <w:tr>
        <w:trPr>
          <w:trHeight w:val="318"/>
        </w:trPr>
        <w:tc>
          <w:tcPr>
            <w:tcW w:w="2360" w:type="dxa"/>
            <w:vAlign w:val="bottom"/>
            <w:tcBorders>
              <w:bottom w:val="single" w:sz="8" w:color="808080"/>
            </w:tcBorders>
          </w:tcPr>
          <w:p>
            <w:pPr>
              <w:spacing w:after="0"/>
              <w:rPr>
                <w:sz w:val="24"/>
                <w:szCs w:val="24"/>
                <w:color w:val="auto"/>
              </w:rPr>
            </w:pPr>
          </w:p>
        </w:tc>
        <w:tc>
          <w:tcPr>
            <w:tcW w:w="8900" w:type="dxa"/>
            <w:vAlign w:val="bottom"/>
            <w:tcBorders>
              <w:bottom w:val="single" w:sz="8" w:color="808080"/>
            </w:tcBorders>
          </w:tcPr>
          <w:p>
            <w:pPr>
              <w:spacing w:after="0"/>
              <w:rPr>
                <w:sz w:val="24"/>
                <w:szCs w:val="24"/>
                <w:color w:val="auto"/>
              </w:rPr>
            </w:pPr>
          </w:p>
        </w:tc>
        <w:tc>
          <w:tcPr>
            <w:tcW w:w="18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3072130</wp:posOffset>
            </wp:positionH>
            <wp:positionV relativeFrom="paragraph">
              <wp:posOffset>-416560</wp:posOffset>
            </wp:positionV>
            <wp:extent cx="960120" cy="28384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30" w:name="page31"/>
    <w:bookmarkEnd w:id="30"/>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Summary of Compensation Elements:</w:t>
      </w:r>
    </w:p>
    <w:p>
      <w:pPr>
        <w:spacing w:after="0" w:line="178" w:lineRule="exact"/>
        <w:rPr>
          <w:sz w:val="20"/>
          <w:szCs w:val="20"/>
          <w:color w:val="auto"/>
        </w:rPr>
      </w:pPr>
    </w:p>
    <w:tbl>
      <w:tblPr>
        <w:tblLayout w:type="fixed"/>
        <w:tblInd w:w="18" w:type="dxa"/>
        <w:tblCellMar>
          <w:top w:w="0" w:type="dxa"/>
          <w:left w:w="0" w:type="dxa"/>
          <w:bottom w:w="0" w:type="dxa"/>
          <w:right w:w="0" w:type="dxa"/>
        </w:tblCellMar>
      </w:tblPr>
      <w:tr>
        <w:trPr>
          <w:trHeight w:val="139"/>
        </w:trPr>
        <w:tc>
          <w:tcPr>
            <w:tcW w:w="1300" w:type="dxa"/>
            <w:vAlign w:val="bottom"/>
            <w:tcBorders>
              <w:top w:val="single" w:sz="8" w:color="7B7C80"/>
              <w:left w:val="single" w:sz="8" w:color="7B7C80"/>
              <w:right w:val="single" w:sz="8" w:color="7B7C80"/>
            </w:tcBorders>
          </w:tcPr>
          <w:p>
            <w:pPr>
              <w:jc w:val="center"/>
              <w:spacing w:after="0"/>
              <w:rPr>
                <w:sz w:val="20"/>
                <w:szCs w:val="20"/>
                <w:color w:val="auto"/>
              </w:rPr>
            </w:pPr>
            <w:r>
              <w:rPr>
                <w:rFonts w:ascii="Arial" w:cs="Arial" w:eastAsia="Arial" w:hAnsi="Arial"/>
                <w:sz w:val="12"/>
                <w:szCs w:val="12"/>
                <w:b w:val="1"/>
                <w:bCs w:val="1"/>
                <w:color w:val="009CCC"/>
              </w:rPr>
              <w:t>Compensation</w:t>
            </w:r>
          </w:p>
        </w:tc>
        <w:tc>
          <w:tcPr>
            <w:tcW w:w="3440" w:type="dxa"/>
            <w:vAlign w:val="bottom"/>
            <w:tcBorders>
              <w:top w:val="single" w:sz="8" w:color="7B7C80"/>
              <w:right w:val="single" w:sz="8" w:color="7B7C80"/>
            </w:tcBorders>
          </w:tcPr>
          <w:p>
            <w:pPr>
              <w:spacing w:after="0"/>
              <w:rPr>
                <w:sz w:val="12"/>
                <w:szCs w:val="12"/>
                <w:color w:val="auto"/>
              </w:rPr>
            </w:pPr>
          </w:p>
        </w:tc>
        <w:tc>
          <w:tcPr>
            <w:tcW w:w="6700" w:type="dxa"/>
            <w:vAlign w:val="bottom"/>
            <w:tcBorders>
              <w:top w:val="single" w:sz="8" w:color="7B7C80"/>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1300" w:type="dxa"/>
            <w:vAlign w:val="bottom"/>
            <w:tcBorders>
              <w:left w:val="single" w:sz="8" w:color="7B7C80"/>
              <w:bottom w:val="single" w:sz="8" w:color="7B7C80"/>
              <w:right w:val="single" w:sz="8" w:color="7B7C80"/>
            </w:tcBorders>
          </w:tcPr>
          <w:p>
            <w:pPr>
              <w:jc w:val="center"/>
              <w:spacing w:after="0"/>
              <w:rPr>
                <w:sz w:val="20"/>
                <w:szCs w:val="20"/>
                <w:color w:val="auto"/>
              </w:rPr>
            </w:pPr>
            <w:r>
              <w:rPr>
                <w:rFonts w:ascii="Arial" w:cs="Arial" w:eastAsia="Arial" w:hAnsi="Arial"/>
                <w:sz w:val="12"/>
                <w:szCs w:val="12"/>
                <w:b w:val="1"/>
                <w:bCs w:val="1"/>
                <w:color w:val="009CCC"/>
              </w:rPr>
              <w:t>Component</w:t>
            </w:r>
          </w:p>
        </w:tc>
        <w:tc>
          <w:tcPr>
            <w:tcW w:w="3440" w:type="dxa"/>
            <w:vAlign w:val="bottom"/>
            <w:tcBorders>
              <w:bottom w:val="single" w:sz="8" w:color="7B7C80"/>
              <w:right w:val="single" w:sz="8" w:color="7B7C80"/>
            </w:tcBorders>
          </w:tcPr>
          <w:p>
            <w:pPr>
              <w:ind w:left="1440"/>
              <w:spacing w:after="0"/>
              <w:rPr>
                <w:sz w:val="20"/>
                <w:szCs w:val="20"/>
                <w:color w:val="auto"/>
              </w:rPr>
            </w:pPr>
            <w:r>
              <w:rPr>
                <w:rFonts w:ascii="Arial" w:cs="Arial" w:eastAsia="Arial" w:hAnsi="Arial"/>
                <w:sz w:val="12"/>
                <w:szCs w:val="12"/>
                <w:b w:val="1"/>
                <w:bCs w:val="1"/>
                <w:color w:val="009CCC"/>
              </w:rPr>
              <w:t>Objective</w:t>
            </w:r>
          </w:p>
        </w:tc>
        <w:tc>
          <w:tcPr>
            <w:tcW w:w="6700" w:type="dxa"/>
            <w:vAlign w:val="bottom"/>
            <w:tcBorders>
              <w:bottom w:val="single" w:sz="8" w:color="7B7C80"/>
              <w:right w:val="single" w:sz="8" w:color="7B7C80"/>
            </w:tcBorders>
          </w:tcPr>
          <w:p>
            <w:pPr>
              <w:ind w:left="2420"/>
              <w:spacing w:after="0"/>
              <w:rPr>
                <w:sz w:val="20"/>
                <w:szCs w:val="20"/>
                <w:color w:val="auto"/>
              </w:rPr>
            </w:pPr>
            <w:r>
              <w:rPr>
                <w:rFonts w:ascii="Arial" w:cs="Arial" w:eastAsia="Arial" w:hAnsi="Arial"/>
                <w:sz w:val="12"/>
                <w:szCs w:val="12"/>
                <w:b w:val="1"/>
                <w:bCs w:val="1"/>
                <w:color w:val="009CCC"/>
              </w:rPr>
              <w:t>Description and 2017 Highlights</w:t>
            </w:r>
          </w:p>
        </w:tc>
        <w:tc>
          <w:tcPr>
            <w:tcW w:w="0" w:type="dxa"/>
            <w:vAlign w:val="bottom"/>
          </w:tcPr>
          <w:p>
            <w:pPr>
              <w:spacing w:after="0"/>
              <w:rPr>
                <w:sz w:val="1"/>
                <w:szCs w:val="1"/>
                <w:color w:val="auto"/>
              </w:rPr>
            </w:pPr>
          </w:p>
        </w:tc>
      </w:tr>
      <w:tr>
        <w:trPr>
          <w:trHeight w:val="166"/>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ind w:left="80"/>
              <w:spacing w:after="0" w:line="166" w:lineRule="exact"/>
              <w:rPr>
                <w:sz w:val="20"/>
                <w:szCs w:val="20"/>
                <w:color w:val="auto"/>
              </w:rPr>
            </w:pPr>
            <w:r>
              <w:rPr>
                <w:rFonts w:ascii="Arial" w:cs="Arial" w:eastAsia="Arial" w:hAnsi="Arial"/>
                <w:sz w:val="15"/>
                <w:szCs w:val="15"/>
                <w:color w:val="7B7C80"/>
              </w:rPr>
              <w:t>Provides fixed income based on the size, scope</w:t>
            </w:r>
          </w:p>
        </w:tc>
        <w:tc>
          <w:tcPr>
            <w:tcW w:w="6700" w:type="dxa"/>
            <w:vAlign w:val="bottom"/>
            <w:tcBorders>
              <w:right w:val="single" w:sz="8" w:color="7B7C80"/>
            </w:tcBorders>
          </w:tcPr>
          <w:p>
            <w:pPr>
              <w:ind w:left="80"/>
              <w:spacing w:after="0" w:line="166" w:lineRule="exact"/>
              <w:rPr>
                <w:sz w:val="20"/>
                <w:szCs w:val="20"/>
                <w:color w:val="auto"/>
              </w:rPr>
            </w:pPr>
            <w:r>
              <w:rPr>
                <w:rFonts w:ascii="Arial" w:cs="Arial" w:eastAsia="Arial" w:hAnsi="Arial"/>
                <w:sz w:val="15"/>
                <w:szCs w:val="15"/>
                <w:color w:val="7B7C80"/>
              </w:rPr>
              <w:t>Base salaries are generally targeted at market median, but may vary from median based on the</w:t>
            </w:r>
          </w:p>
        </w:tc>
        <w:tc>
          <w:tcPr>
            <w:tcW w:w="0" w:type="dxa"/>
            <w:vAlign w:val="bottom"/>
          </w:tcPr>
          <w:p>
            <w:pPr>
              <w:spacing w:after="0"/>
              <w:rPr>
                <w:sz w:val="1"/>
                <w:szCs w:val="1"/>
                <w:color w:val="auto"/>
              </w:rPr>
            </w:pPr>
          </w:p>
        </w:tc>
      </w:tr>
      <w:tr>
        <w:trPr>
          <w:trHeight w:val="183"/>
        </w:trPr>
        <w:tc>
          <w:tcPr>
            <w:tcW w:w="130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8"/>
              </w:rPr>
              <w:t>Base Salary</w:t>
            </w:r>
          </w:p>
        </w:tc>
        <w:tc>
          <w:tcPr>
            <w:tcW w:w="344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and complexity of the Executive's role,</w:t>
            </w: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Executive's performance, work experience, role and the difficulty of replacing the Executive.</w:t>
            </w:r>
          </w:p>
        </w:tc>
        <w:tc>
          <w:tcPr>
            <w:tcW w:w="0" w:type="dxa"/>
            <w:vAlign w:val="bottom"/>
          </w:tcPr>
          <w:p>
            <w:pPr>
              <w:spacing w:after="0"/>
              <w:rPr>
                <w:sz w:val="1"/>
                <w:szCs w:val="1"/>
                <w:color w:val="auto"/>
              </w:rPr>
            </w:pPr>
          </w:p>
        </w:tc>
      </w:tr>
      <w:tr>
        <w:trPr>
          <w:trHeight w:val="99"/>
        </w:trPr>
        <w:tc>
          <w:tcPr>
            <w:tcW w:w="1300" w:type="dxa"/>
            <w:vAlign w:val="bottom"/>
            <w:tcBorders>
              <w:left w:val="single" w:sz="8" w:color="7B7C80"/>
              <w:right w:val="single" w:sz="8" w:color="7B7C80"/>
            </w:tcBorders>
            <w:vMerge w:val="continue"/>
          </w:tcPr>
          <w:p>
            <w:pPr>
              <w:spacing w:after="0"/>
              <w:rPr>
                <w:sz w:val="8"/>
                <w:szCs w:val="8"/>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Executive's historical performance and relative</w:t>
            </w:r>
          </w:p>
        </w:tc>
        <w:tc>
          <w:tcPr>
            <w:tcW w:w="6700" w:type="dxa"/>
            <w:vAlign w:val="bottom"/>
            <w:tcBorders>
              <w:right w:val="single" w:sz="8" w:color="7B7C80"/>
            </w:tcBorders>
          </w:tcPr>
          <w:p>
            <w:pPr>
              <w:spacing w:after="0"/>
              <w:rPr>
                <w:sz w:val="8"/>
                <w:szCs w:val="8"/>
                <w:color w:val="auto"/>
              </w:rPr>
            </w:pPr>
          </w:p>
        </w:tc>
        <w:tc>
          <w:tcPr>
            <w:tcW w:w="0" w:type="dxa"/>
            <w:vAlign w:val="bottom"/>
          </w:tcPr>
          <w:p>
            <w:pPr>
              <w:spacing w:after="0"/>
              <w:rPr>
                <w:sz w:val="1"/>
                <w:szCs w:val="1"/>
                <w:color w:val="auto"/>
              </w:rPr>
            </w:pPr>
          </w:p>
        </w:tc>
      </w:tr>
      <w:tr>
        <w:trPr>
          <w:trHeight w:val="73"/>
        </w:trPr>
        <w:tc>
          <w:tcPr>
            <w:tcW w:w="1300" w:type="dxa"/>
            <w:vAlign w:val="bottom"/>
            <w:tcBorders>
              <w:left w:val="single" w:sz="8" w:color="7B7C80"/>
              <w:right w:val="single" w:sz="8" w:color="7B7C80"/>
            </w:tcBorders>
          </w:tcPr>
          <w:p>
            <w:pPr>
              <w:spacing w:after="0"/>
              <w:rPr>
                <w:sz w:val="6"/>
                <w:szCs w:val="6"/>
                <w:color w:val="auto"/>
              </w:rPr>
            </w:pPr>
          </w:p>
        </w:tc>
        <w:tc>
          <w:tcPr>
            <w:tcW w:w="3440" w:type="dxa"/>
            <w:vAlign w:val="bottom"/>
            <w:tcBorders>
              <w:right w:val="single" w:sz="8" w:color="7B7C80"/>
            </w:tcBorders>
            <w:vMerge w:val="continue"/>
          </w:tcPr>
          <w:p>
            <w:pPr>
              <w:spacing w:after="0"/>
              <w:rPr>
                <w:sz w:val="6"/>
                <w:szCs w:val="6"/>
                <w:color w:val="auto"/>
              </w:rPr>
            </w:pPr>
          </w:p>
        </w:tc>
        <w:tc>
          <w:tcPr>
            <w:tcW w:w="6700" w:type="dxa"/>
            <w:vAlign w:val="bottom"/>
            <w:tcBorders>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192"/>
        </w:trPr>
        <w:tc>
          <w:tcPr>
            <w:tcW w:w="1300" w:type="dxa"/>
            <w:vAlign w:val="bottom"/>
            <w:tcBorders>
              <w:left w:val="single" w:sz="8" w:color="7B7C80"/>
              <w:bottom w:val="single" w:sz="8" w:color="7B7C80"/>
              <w:right w:val="single" w:sz="8" w:color="7B7C80"/>
            </w:tcBorders>
          </w:tcPr>
          <w:p>
            <w:pPr>
              <w:spacing w:after="0"/>
              <w:rPr>
                <w:sz w:val="16"/>
                <w:szCs w:val="16"/>
                <w:color w:val="auto"/>
              </w:rPr>
            </w:pPr>
          </w:p>
        </w:tc>
        <w:tc>
          <w:tcPr>
            <w:tcW w:w="3440" w:type="dxa"/>
            <w:vAlign w:val="bottom"/>
            <w:tcBorders>
              <w:bottom w:val="single" w:sz="8" w:color="7B7C80"/>
              <w:right w:val="single" w:sz="8" w:color="7B7C80"/>
            </w:tcBorders>
          </w:tcPr>
          <w:p>
            <w:pPr>
              <w:ind w:left="80"/>
              <w:spacing w:after="0"/>
              <w:rPr>
                <w:sz w:val="20"/>
                <w:szCs w:val="20"/>
                <w:color w:val="auto"/>
              </w:rPr>
            </w:pPr>
            <w:r>
              <w:rPr>
                <w:rFonts w:ascii="Arial" w:cs="Arial" w:eastAsia="Arial" w:hAnsi="Arial"/>
                <w:sz w:val="15"/>
                <w:szCs w:val="15"/>
                <w:color w:val="7B7C80"/>
              </w:rPr>
              <w:t>position compared to market pay information</w:t>
            </w:r>
          </w:p>
        </w:tc>
        <w:tc>
          <w:tcPr>
            <w:tcW w:w="6700" w:type="dxa"/>
            <w:vAlign w:val="bottom"/>
            <w:tcBorders>
              <w:bottom w:val="single" w:sz="8" w:color="7B7C80"/>
              <w:right w:val="single" w:sz="8" w:color="7B7C80"/>
            </w:tcBorders>
          </w:tcPr>
          <w:p>
            <w:pPr>
              <w:ind w:left="80"/>
              <w:spacing w:after="0"/>
              <w:rPr>
                <w:sz w:val="20"/>
                <w:szCs w:val="20"/>
                <w:color w:val="auto"/>
              </w:rPr>
            </w:pPr>
            <w:r>
              <w:rPr>
                <w:rFonts w:ascii="Arial" w:cs="Arial" w:eastAsia="Arial" w:hAnsi="Arial"/>
                <w:sz w:val="15"/>
                <w:szCs w:val="15"/>
                <w:color w:val="7B7C80"/>
              </w:rPr>
              <w:t>In 2017, the Committee increased Executives' base salaries, as detailed on page 32.</w:t>
            </w:r>
          </w:p>
        </w:tc>
        <w:tc>
          <w:tcPr>
            <w:tcW w:w="0" w:type="dxa"/>
            <w:vAlign w:val="bottom"/>
          </w:tcPr>
          <w:p>
            <w:pPr>
              <w:spacing w:after="0"/>
              <w:rPr>
                <w:sz w:val="1"/>
                <w:szCs w:val="1"/>
                <w:color w:val="auto"/>
              </w:rPr>
            </w:pPr>
          </w:p>
        </w:tc>
      </w:tr>
      <w:tr>
        <w:trPr>
          <w:trHeight w:val="166"/>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spacing w:after="0"/>
              <w:rPr>
                <w:sz w:val="14"/>
                <w:szCs w:val="14"/>
                <w:color w:val="auto"/>
              </w:rPr>
            </w:pPr>
          </w:p>
        </w:tc>
        <w:tc>
          <w:tcPr>
            <w:tcW w:w="6700" w:type="dxa"/>
            <w:vAlign w:val="bottom"/>
            <w:tcBorders>
              <w:right w:val="single" w:sz="8" w:color="7B7C80"/>
            </w:tcBorders>
          </w:tcPr>
          <w:p>
            <w:pPr>
              <w:ind w:left="80"/>
              <w:spacing w:after="0" w:line="166" w:lineRule="exact"/>
              <w:rPr>
                <w:sz w:val="20"/>
                <w:szCs w:val="20"/>
                <w:color w:val="auto"/>
              </w:rPr>
            </w:pPr>
            <w:r>
              <w:rPr>
                <w:rFonts w:ascii="Arial" w:cs="Arial" w:eastAsia="Arial" w:hAnsi="Arial"/>
                <w:sz w:val="15"/>
                <w:szCs w:val="15"/>
                <w:color w:val="7B7C80"/>
              </w:rPr>
              <w:t>A range of earnings opportunity, expressed as percentages of base salary and corresponding to</w:t>
            </w:r>
          </w:p>
        </w:tc>
        <w:tc>
          <w:tcPr>
            <w:tcW w:w="0" w:type="dxa"/>
            <w:vAlign w:val="bottom"/>
          </w:tcPr>
          <w:p>
            <w:pPr>
              <w:spacing w:after="0"/>
              <w:rPr>
                <w:sz w:val="1"/>
                <w:szCs w:val="1"/>
                <w:color w:val="auto"/>
              </w:rPr>
            </w:pPr>
          </w:p>
        </w:tc>
      </w:tr>
      <w:tr>
        <w:trPr>
          <w:trHeight w:val="172"/>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spacing w:after="0"/>
              <w:rPr>
                <w:sz w:val="14"/>
                <w:szCs w:val="14"/>
                <w:color w:val="auto"/>
              </w:rPr>
            </w:pP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three levels of performance (threshold, target and maximum), is established for each Executive.</w:t>
            </w:r>
          </w:p>
        </w:tc>
        <w:tc>
          <w:tcPr>
            <w:tcW w:w="0" w:type="dxa"/>
            <w:vAlign w:val="bottom"/>
          </w:tcPr>
          <w:p>
            <w:pPr>
              <w:spacing w:after="0"/>
              <w:rPr>
                <w:sz w:val="1"/>
                <w:szCs w:val="1"/>
                <w:color w:val="auto"/>
              </w:rPr>
            </w:pPr>
          </w:p>
        </w:tc>
      </w:tr>
      <w:tr>
        <w:trPr>
          <w:trHeight w:val="172"/>
        </w:trPr>
        <w:tc>
          <w:tcPr>
            <w:tcW w:w="130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9"/>
              </w:rPr>
              <w:t>Annual Incentive</w:t>
            </w:r>
          </w:p>
        </w:tc>
        <w:tc>
          <w:tcPr>
            <w:tcW w:w="344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Motivates and rewards annual corporate</w:t>
            </w: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Actual bonuses depend on achievement relative to the key financial measures, corporate and</w:t>
            </w:r>
          </w:p>
        </w:tc>
        <w:tc>
          <w:tcPr>
            <w:tcW w:w="0" w:type="dxa"/>
            <w:vAlign w:val="bottom"/>
          </w:tcPr>
          <w:p>
            <w:pPr>
              <w:spacing w:after="0"/>
              <w:rPr>
                <w:sz w:val="1"/>
                <w:szCs w:val="1"/>
                <w:color w:val="auto"/>
              </w:rPr>
            </w:pPr>
          </w:p>
        </w:tc>
      </w:tr>
      <w:tr>
        <w:trPr>
          <w:trHeight w:val="103"/>
        </w:trPr>
        <w:tc>
          <w:tcPr>
            <w:tcW w:w="1300" w:type="dxa"/>
            <w:vAlign w:val="bottom"/>
            <w:tcBorders>
              <w:left w:val="single" w:sz="8" w:color="7B7C80"/>
              <w:right w:val="single" w:sz="8" w:color="7B7C80"/>
            </w:tcBorders>
            <w:vMerge w:val="continue"/>
          </w:tcPr>
          <w:p>
            <w:pPr>
              <w:spacing w:after="0"/>
              <w:rPr>
                <w:sz w:val="8"/>
                <w:szCs w:val="8"/>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performance as well as the Executive's</w:t>
            </w: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divisional goals, as outlined on pages 32-36.</w:t>
            </w:r>
          </w:p>
        </w:tc>
        <w:tc>
          <w:tcPr>
            <w:tcW w:w="0" w:type="dxa"/>
            <w:vAlign w:val="bottom"/>
          </w:tcPr>
          <w:p>
            <w:pPr>
              <w:spacing w:after="0"/>
              <w:rPr>
                <w:sz w:val="1"/>
                <w:szCs w:val="1"/>
                <w:color w:val="auto"/>
              </w:rPr>
            </w:pPr>
          </w:p>
        </w:tc>
      </w:tr>
      <w:tr>
        <w:trPr>
          <w:trHeight w:val="80"/>
        </w:trPr>
        <w:tc>
          <w:tcPr>
            <w:tcW w:w="130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9"/>
              </w:rPr>
              <w:t>Compensation</w:t>
            </w:r>
          </w:p>
        </w:tc>
        <w:tc>
          <w:tcPr>
            <w:tcW w:w="3440" w:type="dxa"/>
            <w:vAlign w:val="bottom"/>
            <w:tcBorders>
              <w:right w:val="single" w:sz="8" w:color="7B7C80"/>
            </w:tcBorders>
            <w:vMerge w:val="continue"/>
          </w:tcPr>
          <w:p>
            <w:pPr>
              <w:spacing w:after="0"/>
              <w:rPr>
                <w:sz w:val="6"/>
                <w:szCs w:val="6"/>
                <w:color w:val="auto"/>
              </w:rPr>
            </w:pPr>
          </w:p>
        </w:tc>
        <w:tc>
          <w:tcPr>
            <w:tcW w:w="6700" w:type="dxa"/>
            <w:vAlign w:val="bottom"/>
            <w:tcBorders>
              <w:right w:val="single" w:sz="8" w:color="7B7C80"/>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99"/>
        </w:trPr>
        <w:tc>
          <w:tcPr>
            <w:tcW w:w="1300" w:type="dxa"/>
            <w:vAlign w:val="bottom"/>
            <w:tcBorders>
              <w:left w:val="single" w:sz="8" w:color="7B7C80"/>
              <w:right w:val="single" w:sz="8" w:color="7B7C80"/>
            </w:tcBorders>
            <w:vMerge w:val="continue"/>
          </w:tcPr>
          <w:p>
            <w:pPr>
              <w:spacing w:after="0"/>
              <w:rPr>
                <w:sz w:val="8"/>
                <w:szCs w:val="8"/>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contribution to achieving our annual objectives.</w:t>
            </w:r>
          </w:p>
        </w:tc>
        <w:tc>
          <w:tcPr>
            <w:tcW w:w="6700" w:type="dxa"/>
            <w:vAlign w:val="bottom"/>
            <w:tcBorders>
              <w:right w:val="single" w:sz="8" w:color="7B7C80"/>
            </w:tcBorders>
          </w:tcPr>
          <w:p>
            <w:pPr>
              <w:spacing w:after="0"/>
              <w:rPr>
                <w:sz w:val="8"/>
                <w:szCs w:val="8"/>
                <w:color w:val="auto"/>
              </w:rPr>
            </w:pPr>
          </w:p>
        </w:tc>
        <w:tc>
          <w:tcPr>
            <w:tcW w:w="0" w:type="dxa"/>
            <w:vAlign w:val="bottom"/>
          </w:tcPr>
          <w:p>
            <w:pPr>
              <w:spacing w:after="0"/>
              <w:rPr>
                <w:sz w:val="1"/>
                <w:szCs w:val="1"/>
                <w:color w:val="auto"/>
              </w:rPr>
            </w:pPr>
          </w:p>
        </w:tc>
      </w:tr>
      <w:tr>
        <w:trPr>
          <w:trHeight w:val="80"/>
        </w:trPr>
        <w:tc>
          <w:tcPr>
            <w:tcW w:w="1300" w:type="dxa"/>
            <w:vAlign w:val="bottom"/>
            <w:tcBorders>
              <w:left w:val="single" w:sz="8" w:color="7B7C80"/>
              <w:right w:val="single" w:sz="8" w:color="7B7C80"/>
            </w:tcBorders>
          </w:tcPr>
          <w:p>
            <w:pPr>
              <w:spacing w:after="0"/>
              <w:rPr>
                <w:sz w:val="6"/>
                <w:szCs w:val="6"/>
                <w:color w:val="auto"/>
              </w:rPr>
            </w:pPr>
          </w:p>
        </w:tc>
        <w:tc>
          <w:tcPr>
            <w:tcW w:w="3440" w:type="dxa"/>
            <w:vAlign w:val="bottom"/>
            <w:tcBorders>
              <w:right w:val="single" w:sz="8" w:color="7B7C80"/>
            </w:tcBorders>
            <w:vMerge w:val="continue"/>
          </w:tcPr>
          <w:p>
            <w:pPr>
              <w:spacing w:after="0"/>
              <w:rPr>
                <w:sz w:val="6"/>
                <w:szCs w:val="6"/>
                <w:color w:val="auto"/>
              </w:rPr>
            </w:pPr>
          </w:p>
        </w:tc>
        <w:tc>
          <w:tcPr>
            <w:tcW w:w="6700" w:type="dxa"/>
            <w:vAlign w:val="bottom"/>
            <w:tcBorders>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188"/>
        </w:trPr>
        <w:tc>
          <w:tcPr>
            <w:tcW w:w="1300" w:type="dxa"/>
            <w:vAlign w:val="bottom"/>
            <w:tcBorders>
              <w:left w:val="single" w:sz="8" w:color="7B7C80"/>
              <w:right w:val="single" w:sz="8" w:color="7B7C80"/>
            </w:tcBorders>
          </w:tcPr>
          <w:p>
            <w:pPr>
              <w:spacing w:after="0"/>
              <w:rPr>
                <w:sz w:val="16"/>
                <w:szCs w:val="16"/>
                <w:color w:val="auto"/>
              </w:rPr>
            </w:pPr>
          </w:p>
        </w:tc>
        <w:tc>
          <w:tcPr>
            <w:tcW w:w="3440" w:type="dxa"/>
            <w:vAlign w:val="bottom"/>
            <w:tcBorders>
              <w:right w:val="single" w:sz="8" w:color="7B7C80"/>
            </w:tcBorders>
          </w:tcPr>
          <w:p>
            <w:pPr>
              <w:spacing w:after="0"/>
              <w:rPr>
                <w:sz w:val="16"/>
                <w:szCs w:val="16"/>
                <w:color w:val="auto"/>
              </w:rPr>
            </w:pP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Based on the Committee's assessment of performance, actual bonuses for 2017 averaged 107%</w:t>
            </w:r>
          </w:p>
        </w:tc>
        <w:tc>
          <w:tcPr>
            <w:tcW w:w="0" w:type="dxa"/>
            <w:vAlign w:val="bottom"/>
          </w:tcPr>
          <w:p>
            <w:pPr>
              <w:spacing w:after="0"/>
              <w:rPr>
                <w:sz w:val="1"/>
                <w:szCs w:val="1"/>
                <w:color w:val="auto"/>
              </w:rPr>
            </w:pPr>
          </w:p>
        </w:tc>
      </w:tr>
      <w:tr>
        <w:trPr>
          <w:trHeight w:val="169"/>
        </w:trPr>
        <w:tc>
          <w:tcPr>
            <w:tcW w:w="1300" w:type="dxa"/>
            <w:vAlign w:val="bottom"/>
            <w:tcBorders>
              <w:left w:val="single" w:sz="8" w:color="7B7C80"/>
              <w:bottom w:val="single" w:sz="8" w:color="7B7C80"/>
              <w:right w:val="single" w:sz="8" w:color="7B7C80"/>
            </w:tcBorders>
          </w:tcPr>
          <w:p>
            <w:pPr>
              <w:spacing w:after="0"/>
              <w:rPr>
                <w:sz w:val="14"/>
                <w:szCs w:val="14"/>
                <w:color w:val="auto"/>
              </w:rPr>
            </w:pPr>
          </w:p>
        </w:tc>
        <w:tc>
          <w:tcPr>
            <w:tcW w:w="3440" w:type="dxa"/>
            <w:vAlign w:val="bottom"/>
            <w:tcBorders>
              <w:bottom w:val="single" w:sz="8" w:color="7B7C80"/>
              <w:right w:val="single" w:sz="8" w:color="7B7C80"/>
            </w:tcBorders>
          </w:tcPr>
          <w:p>
            <w:pPr>
              <w:spacing w:after="0"/>
              <w:rPr>
                <w:sz w:val="14"/>
                <w:szCs w:val="14"/>
                <w:color w:val="auto"/>
              </w:rPr>
            </w:pPr>
          </w:p>
        </w:tc>
        <w:tc>
          <w:tcPr>
            <w:tcW w:w="6700" w:type="dxa"/>
            <w:vAlign w:val="bottom"/>
            <w:tcBorders>
              <w:bottom w:val="single" w:sz="8" w:color="7B7C80"/>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of target as detailed on page 36.</w:t>
            </w:r>
          </w:p>
        </w:tc>
        <w:tc>
          <w:tcPr>
            <w:tcW w:w="0" w:type="dxa"/>
            <w:vAlign w:val="bottom"/>
          </w:tcPr>
          <w:p>
            <w:pPr>
              <w:spacing w:after="0"/>
              <w:rPr>
                <w:sz w:val="1"/>
                <w:szCs w:val="1"/>
                <w:color w:val="auto"/>
              </w:rPr>
            </w:pPr>
          </w:p>
        </w:tc>
      </w:tr>
      <w:tr>
        <w:trPr>
          <w:trHeight w:val="166"/>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spacing w:after="0"/>
              <w:rPr>
                <w:sz w:val="14"/>
                <w:szCs w:val="14"/>
                <w:color w:val="auto"/>
              </w:rPr>
            </w:pPr>
          </w:p>
        </w:tc>
        <w:tc>
          <w:tcPr>
            <w:tcW w:w="6700" w:type="dxa"/>
            <w:vAlign w:val="bottom"/>
            <w:tcBorders>
              <w:right w:val="single" w:sz="8" w:color="7B7C80"/>
            </w:tcBorders>
          </w:tcPr>
          <w:p>
            <w:pPr>
              <w:ind w:left="80"/>
              <w:spacing w:after="0" w:line="166" w:lineRule="exact"/>
              <w:rPr>
                <w:sz w:val="20"/>
                <w:szCs w:val="20"/>
                <w:color w:val="auto"/>
              </w:rPr>
            </w:pPr>
            <w:r>
              <w:rPr>
                <w:rFonts w:ascii="Arial" w:cs="Arial" w:eastAsia="Arial" w:hAnsi="Arial"/>
                <w:sz w:val="15"/>
                <w:szCs w:val="15"/>
                <w:color w:val="7B7C80"/>
              </w:rPr>
              <w:t>Each year, the Committee establishes the long term award opportunity for each Named Executive</w:t>
            </w:r>
          </w:p>
        </w:tc>
        <w:tc>
          <w:tcPr>
            <w:tcW w:w="0" w:type="dxa"/>
            <w:vAlign w:val="bottom"/>
          </w:tcPr>
          <w:p>
            <w:pPr>
              <w:spacing w:after="0"/>
              <w:rPr>
                <w:sz w:val="1"/>
                <w:szCs w:val="1"/>
                <w:color w:val="auto"/>
              </w:rPr>
            </w:pPr>
          </w:p>
        </w:tc>
      </w:tr>
      <w:tr>
        <w:trPr>
          <w:trHeight w:val="172"/>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spacing w:after="0"/>
              <w:rPr>
                <w:sz w:val="14"/>
                <w:szCs w:val="14"/>
                <w:color w:val="auto"/>
              </w:rPr>
            </w:pP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Officer. One half of the award is granted in stock options and the other half in PSUs. Using equal</w:t>
            </w:r>
          </w:p>
        </w:tc>
        <w:tc>
          <w:tcPr>
            <w:tcW w:w="0" w:type="dxa"/>
            <w:vAlign w:val="bottom"/>
          </w:tcPr>
          <w:p>
            <w:pPr>
              <w:spacing w:after="0"/>
              <w:rPr>
                <w:sz w:val="1"/>
                <w:szCs w:val="1"/>
                <w:color w:val="auto"/>
              </w:rPr>
            </w:pPr>
          </w:p>
        </w:tc>
      </w:tr>
      <w:tr>
        <w:trPr>
          <w:trHeight w:val="172"/>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spacing w:after="0"/>
              <w:rPr>
                <w:sz w:val="14"/>
                <w:szCs w:val="14"/>
                <w:color w:val="auto"/>
              </w:rPr>
            </w:pP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amounts of PSUs and options creates a balance between achieving operating performance</w:t>
            </w:r>
          </w:p>
        </w:tc>
        <w:tc>
          <w:tcPr>
            <w:tcW w:w="0" w:type="dxa"/>
            <w:vAlign w:val="bottom"/>
          </w:tcPr>
          <w:p>
            <w:pPr>
              <w:spacing w:after="0"/>
              <w:rPr>
                <w:sz w:val="1"/>
                <w:szCs w:val="1"/>
                <w:color w:val="auto"/>
              </w:rPr>
            </w:pPr>
          </w:p>
        </w:tc>
      </w:tr>
      <w:tr>
        <w:trPr>
          <w:trHeight w:val="179"/>
        </w:trPr>
        <w:tc>
          <w:tcPr>
            <w:tcW w:w="1300" w:type="dxa"/>
            <w:vAlign w:val="bottom"/>
            <w:tcBorders>
              <w:left w:val="single" w:sz="8" w:color="7B7C80"/>
              <w:right w:val="single" w:sz="8" w:color="7B7C80"/>
            </w:tcBorders>
          </w:tcPr>
          <w:p>
            <w:pPr>
              <w:spacing w:after="0"/>
              <w:rPr>
                <w:sz w:val="15"/>
                <w:szCs w:val="15"/>
                <w:color w:val="auto"/>
              </w:rPr>
            </w:pPr>
          </w:p>
        </w:tc>
        <w:tc>
          <w:tcPr>
            <w:tcW w:w="3440" w:type="dxa"/>
            <w:vAlign w:val="bottom"/>
            <w:tcBorders>
              <w:right w:val="single" w:sz="8" w:color="7B7C80"/>
            </w:tcBorders>
          </w:tcPr>
          <w:p>
            <w:pPr>
              <w:spacing w:after="0"/>
              <w:rPr>
                <w:sz w:val="15"/>
                <w:szCs w:val="15"/>
                <w:color w:val="auto"/>
              </w:rPr>
            </w:pP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objectives and increases in shareholder value.</w:t>
            </w:r>
          </w:p>
        </w:tc>
        <w:tc>
          <w:tcPr>
            <w:tcW w:w="0" w:type="dxa"/>
            <w:vAlign w:val="bottom"/>
          </w:tcPr>
          <w:p>
            <w:pPr>
              <w:spacing w:after="0"/>
              <w:rPr>
                <w:sz w:val="1"/>
                <w:szCs w:val="1"/>
                <w:color w:val="auto"/>
              </w:rPr>
            </w:pPr>
          </w:p>
        </w:tc>
      </w:tr>
      <w:tr>
        <w:trPr>
          <w:trHeight w:val="371"/>
        </w:trPr>
        <w:tc>
          <w:tcPr>
            <w:tcW w:w="1300" w:type="dxa"/>
            <w:vAlign w:val="bottom"/>
            <w:tcBorders>
              <w:left w:val="single" w:sz="8" w:color="7B7C80"/>
              <w:right w:val="single" w:sz="8" w:color="7B7C80"/>
            </w:tcBorders>
          </w:tcPr>
          <w:p>
            <w:pPr>
              <w:spacing w:after="0"/>
              <w:rPr>
                <w:sz w:val="24"/>
                <w:szCs w:val="24"/>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Motivates and rewards long term corporate</w:t>
            </w: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The PSUs vest based on continued service (except for retirees, when they vest over time) and</w:t>
            </w:r>
          </w:p>
        </w:tc>
        <w:tc>
          <w:tcPr>
            <w:tcW w:w="0" w:type="dxa"/>
            <w:vAlign w:val="bottom"/>
          </w:tcPr>
          <w:p>
            <w:pPr>
              <w:spacing w:after="0"/>
              <w:rPr>
                <w:sz w:val="1"/>
                <w:szCs w:val="1"/>
                <w:color w:val="auto"/>
              </w:rPr>
            </w:pPr>
          </w:p>
        </w:tc>
      </w:tr>
      <w:tr>
        <w:trPr>
          <w:trHeight w:val="80"/>
        </w:trPr>
        <w:tc>
          <w:tcPr>
            <w:tcW w:w="1300" w:type="dxa"/>
            <w:vAlign w:val="bottom"/>
            <w:tcBorders>
              <w:left w:val="single" w:sz="8" w:color="7B7C80"/>
              <w:right w:val="single" w:sz="8" w:color="7B7C80"/>
            </w:tcBorders>
          </w:tcPr>
          <w:p>
            <w:pPr>
              <w:spacing w:after="0"/>
              <w:rPr>
                <w:sz w:val="6"/>
                <w:szCs w:val="6"/>
                <w:color w:val="auto"/>
              </w:rPr>
            </w:pPr>
          </w:p>
        </w:tc>
        <w:tc>
          <w:tcPr>
            <w:tcW w:w="3440" w:type="dxa"/>
            <w:vAlign w:val="bottom"/>
            <w:tcBorders>
              <w:right w:val="single" w:sz="8" w:color="7B7C80"/>
            </w:tcBorders>
            <w:vMerge w:val="continue"/>
          </w:tcPr>
          <w:p>
            <w:pPr>
              <w:spacing w:after="0"/>
              <w:rPr>
                <w:sz w:val="6"/>
                <w:szCs w:val="6"/>
                <w:color w:val="auto"/>
              </w:rPr>
            </w:pP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meeting financial objectives over a three year period (with each three year period treated as a</w:t>
            </w:r>
          </w:p>
        </w:tc>
        <w:tc>
          <w:tcPr>
            <w:tcW w:w="0" w:type="dxa"/>
            <w:vAlign w:val="bottom"/>
          </w:tcPr>
          <w:p>
            <w:pPr>
              <w:spacing w:after="0"/>
              <w:rPr>
                <w:sz w:val="1"/>
                <w:szCs w:val="1"/>
                <w:color w:val="auto"/>
              </w:rPr>
            </w:pPr>
          </w:p>
        </w:tc>
      </w:tr>
      <w:tr>
        <w:trPr>
          <w:trHeight w:val="92"/>
        </w:trPr>
        <w:tc>
          <w:tcPr>
            <w:tcW w:w="1300" w:type="dxa"/>
            <w:vAlign w:val="bottom"/>
            <w:tcBorders>
              <w:left w:val="single" w:sz="8" w:color="7B7C80"/>
              <w:right w:val="single" w:sz="8" w:color="7B7C80"/>
            </w:tcBorders>
          </w:tcPr>
          <w:p>
            <w:pPr>
              <w:spacing w:after="0"/>
              <w:rPr>
                <w:sz w:val="7"/>
                <w:szCs w:val="7"/>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performance as well as the Executive's</w:t>
            </w:r>
          </w:p>
        </w:tc>
        <w:tc>
          <w:tcPr>
            <w:tcW w:w="67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0"/>
        </w:trPr>
        <w:tc>
          <w:tcPr>
            <w:tcW w:w="130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6"/>
              </w:rPr>
              <w:t>Long Term</w:t>
            </w:r>
          </w:p>
        </w:tc>
        <w:tc>
          <w:tcPr>
            <w:tcW w:w="3440" w:type="dxa"/>
            <w:vAlign w:val="bottom"/>
            <w:tcBorders>
              <w:right w:val="single" w:sz="8" w:color="7B7C80"/>
            </w:tcBorders>
            <w:vMerge w:val="continue"/>
          </w:tcPr>
          <w:p>
            <w:pPr>
              <w:spacing w:after="0"/>
              <w:rPr>
                <w:sz w:val="6"/>
                <w:szCs w:val="6"/>
                <w:color w:val="auto"/>
              </w:rPr>
            </w:pP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"Performance Cycle"). The PSUs granted in 2016 for the 2016-2018 and in 2017 for the 2017-2019</w:t>
            </w:r>
          </w:p>
        </w:tc>
        <w:tc>
          <w:tcPr>
            <w:tcW w:w="0" w:type="dxa"/>
            <w:vAlign w:val="bottom"/>
          </w:tcPr>
          <w:p>
            <w:pPr>
              <w:spacing w:after="0"/>
              <w:rPr>
                <w:sz w:val="1"/>
                <w:szCs w:val="1"/>
                <w:color w:val="auto"/>
              </w:rPr>
            </w:pPr>
          </w:p>
        </w:tc>
      </w:tr>
      <w:tr>
        <w:trPr>
          <w:trHeight w:val="92"/>
        </w:trPr>
        <w:tc>
          <w:tcPr>
            <w:tcW w:w="1300" w:type="dxa"/>
            <w:vAlign w:val="bottom"/>
            <w:tcBorders>
              <w:left w:val="single" w:sz="8" w:color="7B7C80"/>
              <w:right w:val="single" w:sz="8" w:color="7B7C80"/>
            </w:tcBorders>
            <w:vMerge w:val="continue"/>
          </w:tcPr>
          <w:p>
            <w:pPr>
              <w:spacing w:after="0"/>
              <w:rPr>
                <w:sz w:val="7"/>
                <w:szCs w:val="7"/>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contribution to achieving our long term</w:t>
            </w:r>
          </w:p>
        </w:tc>
        <w:tc>
          <w:tcPr>
            <w:tcW w:w="67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0"/>
        </w:trPr>
        <w:tc>
          <w:tcPr>
            <w:tcW w:w="130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9"/>
              </w:rPr>
              <w:t>Incentive</w:t>
            </w:r>
          </w:p>
        </w:tc>
        <w:tc>
          <w:tcPr>
            <w:tcW w:w="3440" w:type="dxa"/>
            <w:vAlign w:val="bottom"/>
            <w:tcBorders>
              <w:right w:val="single" w:sz="8" w:color="7B7C80"/>
            </w:tcBorders>
            <w:vMerge w:val="continue"/>
          </w:tcPr>
          <w:p>
            <w:pPr>
              <w:spacing w:after="0"/>
              <w:rPr>
                <w:sz w:val="6"/>
                <w:szCs w:val="6"/>
                <w:color w:val="auto"/>
              </w:rPr>
            </w:pP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Performance Cycles will vest based on performance scales for three-year average Pre-Tax Return</w:t>
            </w:r>
          </w:p>
        </w:tc>
        <w:tc>
          <w:tcPr>
            <w:tcW w:w="0" w:type="dxa"/>
            <w:vAlign w:val="bottom"/>
          </w:tcPr>
          <w:p>
            <w:pPr>
              <w:spacing w:after="0"/>
              <w:rPr>
                <w:sz w:val="1"/>
                <w:szCs w:val="1"/>
                <w:color w:val="auto"/>
              </w:rPr>
            </w:pPr>
          </w:p>
        </w:tc>
      </w:tr>
      <w:tr>
        <w:trPr>
          <w:trHeight w:val="92"/>
        </w:trPr>
        <w:tc>
          <w:tcPr>
            <w:tcW w:w="1300" w:type="dxa"/>
            <w:vAlign w:val="bottom"/>
            <w:tcBorders>
              <w:left w:val="single" w:sz="8" w:color="7B7C80"/>
              <w:right w:val="single" w:sz="8" w:color="7B7C80"/>
            </w:tcBorders>
            <w:vMerge w:val="continue"/>
          </w:tcPr>
          <w:p>
            <w:pPr>
              <w:spacing w:after="0"/>
              <w:rPr>
                <w:sz w:val="7"/>
                <w:szCs w:val="7"/>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objectives. Reinforces the link between the</w:t>
            </w:r>
          </w:p>
        </w:tc>
        <w:tc>
          <w:tcPr>
            <w:tcW w:w="67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0"/>
        </w:trPr>
        <w:tc>
          <w:tcPr>
            <w:tcW w:w="130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9"/>
              </w:rPr>
              <w:t>Compensation</w:t>
            </w:r>
          </w:p>
        </w:tc>
        <w:tc>
          <w:tcPr>
            <w:tcW w:w="3440" w:type="dxa"/>
            <w:vAlign w:val="bottom"/>
            <w:tcBorders>
              <w:right w:val="single" w:sz="8" w:color="7B7C80"/>
            </w:tcBorders>
            <w:vMerge w:val="continue"/>
          </w:tcPr>
          <w:p>
            <w:pPr>
              <w:spacing w:after="0"/>
              <w:rPr>
                <w:sz w:val="6"/>
                <w:szCs w:val="6"/>
                <w:color w:val="auto"/>
              </w:rPr>
            </w:pP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on Net Revenue, each weighted 50% over the performance period. Payout on the ROE metric is</w:t>
            </w:r>
          </w:p>
        </w:tc>
        <w:tc>
          <w:tcPr>
            <w:tcW w:w="0" w:type="dxa"/>
            <w:vAlign w:val="bottom"/>
          </w:tcPr>
          <w:p>
            <w:pPr>
              <w:spacing w:after="0"/>
              <w:rPr>
                <w:sz w:val="1"/>
                <w:szCs w:val="1"/>
                <w:color w:val="auto"/>
              </w:rPr>
            </w:pPr>
          </w:p>
        </w:tc>
      </w:tr>
      <w:tr>
        <w:trPr>
          <w:trHeight w:val="92"/>
        </w:trPr>
        <w:tc>
          <w:tcPr>
            <w:tcW w:w="1300" w:type="dxa"/>
            <w:vAlign w:val="bottom"/>
            <w:tcBorders>
              <w:left w:val="single" w:sz="8" w:color="7B7C80"/>
              <w:right w:val="single" w:sz="8" w:color="7B7C80"/>
            </w:tcBorders>
            <w:vMerge w:val="continue"/>
          </w:tcPr>
          <w:p>
            <w:pPr>
              <w:spacing w:after="0"/>
              <w:rPr>
                <w:sz w:val="7"/>
                <w:szCs w:val="7"/>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interests of the Executives and shareholders.</w:t>
            </w:r>
          </w:p>
        </w:tc>
        <w:tc>
          <w:tcPr>
            <w:tcW w:w="67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0"/>
        </w:trPr>
        <w:tc>
          <w:tcPr>
            <w:tcW w:w="1300" w:type="dxa"/>
            <w:vAlign w:val="bottom"/>
            <w:tcBorders>
              <w:left w:val="single" w:sz="8" w:color="7B7C80"/>
              <w:right w:val="single" w:sz="8" w:color="7B7C80"/>
            </w:tcBorders>
          </w:tcPr>
          <w:p>
            <w:pPr>
              <w:spacing w:after="0"/>
              <w:rPr>
                <w:sz w:val="6"/>
                <w:szCs w:val="6"/>
                <w:color w:val="auto"/>
              </w:rPr>
            </w:pPr>
          </w:p>
        </w:tc>
        <w:tc>
          <w:tcPr>
            <w:tcW w:w="3440" w:type="dxa"/>
            <w:vAlign w:val="bottom"/>
            <w:tcBorders>
              <w:right w:val="single" w:sz="8" w:color="7B7C80"/>
            </w:tcBorders>
            <w:vMerge w:val="continue"/>
          </w:tcPr>
          <w:p>
            <w:pPr>
              <w:spacing w:after="0"/>
              <w:rPr>
                <w:sz w:val="6"/>
                <w:szCs w:val="6"/>
                <w:color w:val="auto"/>
              </w:rPr>
            </w:pP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modified based on three year Book Value per Share versus certain threshold goals. Details of the</w:t>
            </w:r>
          </w:p>
        </w:tc>
        <w:tc>
          <w:tcPr>
            <w:tcW w:w="0" w:type="dxa"/>
            <w:vAlign w:val="bottom"/>
          </w:tcPr>
          <w:p>
            <w:pPr>
              <w:spacing w:after="0"/>
              <w:rPr>
                <w:sz w:val="1"/>
                <w:szCs w:val="1"/>
                <w:color w:val="auto"/>
              </w:rPr>
            </w:pPr>
          </w:p>
        </w:tc>
      </w:tr>
      <w:tr>
        <w:trPr>
          <w:trHeight w:val="92"/>
        </w:trPr>
        <w:tc>
          <w:tcPr>
            <w:tcW w:w="1300" w:type="dxa"/>
            <w:vAlign w:val="bottom"/>
            <w:tcBorders>
              <w:left w:val="single" w:sz="8" w:color="7B7C80"/>
              <w:right w:val="single" w:sz="8" w:color="7B7C80"/>
            </w:tcBorders>
          </w:tcPr>
          <w:p>
            <w:pPr>
              <w:spacing w:after="0"/>
              <w:rPr>
                <w:sz w:val="7"/>
                <w:szCs w:val="7"/>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Encourages retention.</w:t>
            </w:r>
          </w:p>
        </w:tc>
        <w:tc>
          <w:tcPr>
            <w:tcW w:w="67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7"/>
        </w:trPr>
        <w:tc>
          <w:tcPr>
            <w:tcW w:w="1300" w:type="dxa"/>
            <w:vAlign w:val="bottom"/>
            <w:tcBorders>
              <w:left w:val="single" w:sz="8" w:color="7B7C80"/>
              <w:right w:val="single" w:sz="8" w:color="7B7C80"/>
            </w:tcBorders>
          </w:tcPr>
          <w:p>
            <w:pPr>
              <w:spacing w:after="0"/>
              <w:rPr>
                <w:sz w:val="7"/>
                <w:szCs w:val="7"/>
                <w:color w:val="auto"/>
              </w:rPr>
            </w:pPr>
          </w:p>
        </w:tc>
        <w:tc>
          <w:tcPr>
            <w:tcW w:w="3440" w:type="dxa"/>
            <w:vAlign w:val="bottom"/>
            <w:tcBorders>
              <w:right w:val="single" w:sz="8" w:color="7B7C80"/>
            </w:tcBorders>
            <w:vMerge w:val="continue"/>
          </w:tcPr>
          <w:p>
            <w:pPr>
              <w:spacing w:after="0"/>
              <w:rPr>
                <w:sz w:val="7"/>
                <w:szCs w:val="7"/>
                <w:color w:val="auto"/>
              </w:rPr>
            </w:pP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program are outlined on pages 36-38.</w:t>
            </w:r>
          </w:p>
        </w:tc>
        <w:tc>
          <w:tcPr>
            <w:tcW w:w="0" w:type="dxa"/>
            <w:vAlign w:val="bottom"/>
          </w:tcPr>
          <w:p>
            <w:pPr>
              <w:spacing w:after="0"/>
              <w:rPr>
                <w:sz w:val="1"/>
                <w:szCs w:val="1"/>
                <w:color w:val="auto"/>
              </w:rPr>
            </w:pPr>
          </w:p>
        </w:tc>
      </w:tr>
      <w:tr>
        <w:trPr>
          <w:trHeight w:val="92"/>
        </w:trPr>
        <w:tc>
          <w:tcPr>
            <w:tcW w:w="1300" w:type="dxa"/>
            <w:vAlign w:val="bottom"/>
            <w:tcBorders>
              <w:left w:val="single" w:sz="8" w:color="7B7C80"/>
              <w:right w:val="single" w:sz="8" w:color="7B7C80"/>
            </w:tcBorders>
          </w:tcPr>
          <w:p>
            <w:pPr>
              <w:spacing w:after="0"/>
              <w:rPr>
                <w:sz w:val="7"/>
                <w:szCs w:val="7"/>
                <w:color w:val="auto"/>
              </w:rPr>
            </w:pPr>
          </w:p>
        </w:tc>
        <w:tc>
          <w:tcPr>
            <w:tcW w:w="3440" w:type="dxa"/>
            <w:vAlign w:val="bottom"/>
            <w:tcBorders>
              <w:right w:val="single" w:sz="8" w:color="7B7C80"/>
            </w:tcBorders>
          </w:tcPr>
          <w:p>
            <w:pPr>
              <w:spacing w:after="0"/>
              <w:rPr>
                <w:sz w:val="7"/>
                <w:szCs w:val="7"/>
                <w:color w:val="auto"/>
              </w:rPr>
            </w:pPr>
          </w:p>
        </w:tc>
        <w:tc>
          <w:tcPr>
            <w:tcW w:w="67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371"/>
        </w:trPr>
        <w:tc>
          <w:tcPr>
            <w:tcW w:w="1300" w:type="dxa"/>
            <w:vAlign w:val="bottom"/>
            <w:tcBorders>
              <w:left w:val="single" w:sz="8" w:color="7B7C80"/>
              <w:right w:val="single" w:sz="8" w:color="7B7C80"/>
            </w:tcBorders>
          </w:tcPr>
          <w:p>
            <w:pPr>
              <w:spacing w:after="0"/>
              <w:rPr>
                <w:sz w:val="24"/>
                <w:szCs w:val="24"/>
                <w:color w:val="auto"/>
              </w:rPr>
            </w:pPr>
          </w:p>
        </w:tc>
        <w:tc>
          <w:tcPr>
            <w:tcW w:w="3440" w:type="dxa"/>
            <w:vAlign w:val="bottom"/>
            <w:tcBorders>
              <w:right w:val="single" w:sz="8" w:color="7B7C80"/>
            </w:tcBorders>
          </w:tcPr>
          <w:p>
            <w:pPr>
              <w:spacing w:after="0"/>
              <w:rPr>
                <w:sz w:val="24"/>
                <w:szCs w:val="24"/>
                <w:color w:val="auto"/>
              </w:rPr>
            </w:pP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The PSUs granted in 2015 for the 2015-2017 Performance Cycle were based on three-year</w:t>
            </w:r>
          </w:p>
        </w:tc>
        <w:tc>
          <w:tcPr>
            <w:tcW w:w="0" w:type="dxa"/>
            <w:vAlign w:val="bottom"/>
          </w:tcPr>
          <w:p>
            <w:pPr>
              <w:spacing w:after="0"/>
              <w:rPr>
                <w:sz w:val="1"/>
                <w:szCs w:val="1"/>
                <w:color w:val="auto"/>
              </w:rPr>
            </w:pPr>
          </w:p>
        </w:tc>
      </w:tr>
      <w:tr>
        <w:trPr>
          <w:trHeight w:val="172"/>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spacing w:after="0"/>
              <w:rPr>
                <w:sz w:val="14"/>
                <w:szCs w:val="14"/>
                <w:color w:val="auto"/>
              </w:rPr>
            </w:pP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average ROE and three-year average Book Value per Share, each weighted 50%. For the 2015-</w:t>
            </w:r>
          </w:p>
        </w:tc>
        <w:tc>
          <w:tcPr>
            <w:tcW w:w="0" w:type="dxa"/>
            <w:vAlign w:val="bottom"/>
          </w:tcPr>
          <w:p>
            <w:pPr>
              <w:spacing w:after="0"/>
              <w:rPr>
                <w:sz w:val="1"/>
                <w:szCs w:val="1"/>
                <w:color w:val="auto"/>
              </w:rPr>
            </w:pPr>
          </w:p>
        </w:tc>
      </w:tr>
      <w:tr>
        <w:trPr>
          <w:trHeight w:val="172"/>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spacing w:after="0"/>
              <w:rPr>
                <w:sz w:val="14"/>
                <w:szCs w:val="14"/>
                <w:color w:val="auto"/>
              </w:rPr>
            </w:pP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2017 Performance Cycle, the awards vested and paid out at 100% of the target number of PSUs</w:t>
            </w:r>
          </w:p>
        </w:tc>
        <w:tc>
          <w:tcPr>
            <w:tcW w:w="0" w:type="dxa"/>
            <w:vAlign w:val="bottom"/>
          </w:tcPr>
          <w:p>
            <w:pPr>
              <w:spacing w:after="0"/>
              <w:rPr>
                <w:sz w:val="1"/>
                <w:szCs w:val="1"/>
                <w:color w:val="auto"/>
              </w:rPr>
            </w:pPr>
          </w:p>
        </w:tc>
      </w:tr>
      <w:tr>
        <w:trPr>
          <w:trHeight w:val="169"/>
        </w:trPr>
        <w:tc>
          <w:tcPr>
            <w:tcW w:w="1300" w:type="dxa"/>
            <w:vAlign w:val="bottom"/>
            <w:tcBorders>
              <w:left w:val="single" w:sz="8" w:color="7B7C80"/>
              <w:bottom w:val="single" w:sz="8" w:color="7B7C80"/>
              <w:right w:val="single" w:sz="8" w:color="7B7C80"/>
            </w:tcBorders>
          </w:tcPr>
          <w:p>
            <w:pPr>
              <w:spacing w:after="0"/>
              <w:rPr>
                <w:sz w:val="14"/>
                <w:szCs w:val="14"/>
                <w:color w:val="auto"/>
              </w:rPr>
            </w:pPr>
          </w:p>
        </w:tc>
        <w:tc>
          <w:tcPr>
            <w:tcW w:w="3440" w:type="dxa"/>
            <w:vAlign w:val="bottom"/>
            <w:tcBorders>
              <w:bottom w:val="single" w:sz="8" w:color="7B7C80"/>
              <w:right w:val="single" w:sz="8" w:color="7B7C80"/>
            </w:tcBorders>
          </w:tcPr>
          <w:p>
            <w:pPr>
              <w:spacing w:after="0"/>
              <w:rPr>
                <w:sz w:val="14"/>
                <w:szCs w:val="14"/>
                <w:color w:val="auto"/>
              </w:rPr>
            </w:pPr>
          </w:p>
        </w:tc>
        <w:tc>
          <w:tcPr>
            <w:tcW w:w="6700" w:type="dxa"/>
            <w:vAlign w:val="bottom"/>
            <w:tcBorders>
              <w:bottom w:val="single" w:sz="8" w:color="7B7C80"/>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based on our ROE performance of 14.3% and Book Value per Share of $38.92.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116205</wp:posOffset>
            </wp:positionV>
            <wp:extent cx="960120" cy="28384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303" w:lineRule="exact"/>
        <w:rPr>
          <w:sz w:val="20"/>
          <w:szCs w:val="20"/>
          <w:color w:val="auto"/>
        </w:rPr>
      </w:pPr>
    </w:p>
    <w:p>
      <w:pPr>
        <w:ind w:left="488" w:hanging="488"/>
        <w:spacing w:after="0"/>
        <w:tabs>
          <w:tab w:leader="none" w:pos="488" w:val="left"/>
        </w:tabs>
        <w:numPr>
          <w:ilvl w:val="0"/>
          <w:numId w:val="26"/>
        </w:numPr>
        <w:rPr>
          <w:rFonts w:ascii="Arial" w:cs="Arial" w:eastAsia="Arial" w:hAnsi="Arial"/>
          <w:sz w:val="15"/>
          <w:szCs w:val="15"/>
          <w:color w:val="009CCC"/>
        </w:rPr>
      </w:pP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31" w:name="page32"/>
    <w:bookmarkEnd w:id="31"/>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0" w:lineRule="exact"/>
        <w:rPr>
          <w:sz w:val="20"/>
          <w:szCs w:val="20"/>
          <w:color w:val="auto"/>
        </w:rPr>
      </w:pPr>
    </w:p>
    <w:tbl>
      <w:tblPr>
        <w:tblLayout w:type="fixed"/>
        <w:tblInd w:w="18" w:type="dxa"/>
        <w:tblCellMar>
          <w:top w:w="0" w:type="dxa"/>
          <w:left w:w="0" w:type="dxa"/>
          <w:bottom w:w="0" w:type="dxa"/>
          <w:right w:w="0" w:type="dxa"/>
        </w:tblCellMar>
      </w:tblPr>
      <w:tr>
        <w:trPr>
          <w:trHeight w:val="345"/>
        </w:trPr>
        <w:tc>
          <w:tcPr>
            <w:tcW w:w="1300" w:type="dxa"/>
            <w:vAlign w:val="bottom"/>
            <w:tcBorders>
              <w:top w:val="single" w:sz="8" w:color="7B7C80"/>
              <w:left w:val="single" w:sz="8" w:color="7B7C80"/>
              <w:right w:val="single" w:sz="8" w:color="7B7C80"/>
            </w:tcBorders>
          </w:tcPr>
          <w:p>
            <w:pPr>
              <w:jc w:val="center"/>
              <w:spacing w:after="0"/>
              <w:rPr>
                <w:sz w:val="20"/>
                <w:szCs w:val="20"/>
                <w:color w:val="auto"/>
              </w:rPr>
            </w:pPr>
            <w:r>
              <w:rPr>
                <w:rFonts w:ascii="Arial" w:cs="Arial" w:eastAsia="Arial" w:hAnsi="Arial"/>
                <w:sz w:val="12"/>
                <w:szCs w:val="12"/>
                <w:b w:val="1"/>
                <w:bCs w:val="1"/>
                <w:color w:val="009CCC"/>
              </w:rPr>
              <w:t>Compensation</w:t>
            </w:r>
          </w:p>
        </w:tc>
        <w:tc>
          <w:tcPr>
            <w:tcW w:w="3440" w:type="dxa"/>
            <w:vAlign w:val="bottom"/>
            <w:tcBorders>
              <w:top w:val="single" w:sz="8" w:color="7B7C80"/>
              <w:right w:val="single" w:sz="8" w:color="7B7C80"/>
            </w:tcBorders>
          </w:tcPr>
          <w:p>
            <w:pPr>
              <w:spacing w:after="0"/>
              <w:rPr>
                <w:sz w:val="24"/>
                <w:szCs w:val="24"/>
                <w:color w:val="auto"/>
              </w:rPr>
            </w:pPr>
          </w:p>
        </w:tc>
        <w:tc>
          <w:tcPr>
            <w:tcW w:w="6700" w:type="dxa"/>
            <w:vAlign w:val="bottom"/>
            <w:tcBorders>
              <w:top w:val="single" w:sz="8" w:color="7B7C80"/>
              <w:right w:val="single" w:sz="8" w:color="7B7C80"/>
            </w:tcBorders>
          </w:tcPr>
          <w:p>
            <w:pPr>
              <w:spacing w:after="0"/>
              <w:rPr>
                <w:sz w:val="24"/>
                <w:szCs w:val="24"/>
                <w:color w:val="auto"/>
              </w:rPr>
            </w:pPr>
          </w:p>
        </w:tc>
        <w:tc>
          <w:tcPr>
            <w:tcW w:w="0" w:type="dxa"/>
            <w:vAlign w:val="bottom"/>
          </w:tcPr>
          <w:p>
            <w:pPr>
              <w:spacing w:after="0"/>
              <w:rPr>
                <w:sz w:val="1"/>
                <w:szCs w:val="1"/>
                <w:color w:val="auto"/>
              </w:rPr>
            </w:pPr>
          </w:p>
        </w:tc>
      </w:tr>
      <w:tr>
        <w:trPr>
          <w:trHeight w:val="147"/>
        </w:trPr>
        <w:tc>
          <w:tcPr>
            <w:tcW w:w="1300" w:type="dxa"/>
            <w:vAlign w:val="bottom"/>
            <w:tcBorders>
              <w:left w:val="single" w:sz="8" w:color="7B7C80"/>
              <w:bottom w:val="single" w:sz="8" w:color="7B7C80"/>
              <w:right w:val="single" w:sz="8" w:color="7B7C80"/>
            </w:tcBorders>
          </w:tcPr>
          <w:p>
            <w:pPr>
              <w:jc w:val="center"/>
              <w:spacing w:after="0"/>
              <w:rPr>
                <w:sz w:val="20"/>
                <w:szCs w:val="20"/>
                <w:color w:val="auto"/>
              </w:rPr>
            </w:pPr>
            <w:r>
              <w:rPr>
                <w:rFonts w:ascii="Arial" w:cs="Arial" w:eastAsia="Arial" w:hAnsi="Arial"/>
                <w:sz w:val="12"/>
                <w:szCs w:val="12"/>
                <w:b w:val="1"/>
                <w:bCs w:val="1"/>
                <w:color w:val="009CCC"/>
              </w:rPr>
              <w:t>Component</w:t>
            </w:r>
          </w:p>
        </w:tc>
        <w:tc>
          <w:tcPr>
            <w:tcW w:w="3440" w:type="dxa"/>
            <w:vAlign w:val="bottom"/>
            <w:tcBorders>
              <w:bottom w:val="single" w:sz="8" w:color="7B7C80"/>
              <w:right w:val="single" w:sz="8" w:color="7B7C80"/>
            </w:tcBorders>
          </w:tcPr>
          <w:p>
            <w:pPr>
              <w:ind w:left="1440"/>
              <w:spacing w:after="0"/>
              <w:rPr>
                <w:sz w:val="20"/>
                <w:szCs w:val="20"/>
                <w:color w:val="auto"/>
              </w:rPr>
            </w:pPr>
            <w:r>
              <w:rPr>
                <w:rFonts w:ascii="Arial" w:cs="Arial" w:eastAsia="Arial" w:hAnsi="Arial"/>
                <w:sz w:val="12"/>
                <w:szCs w:val="12"/>
                <w:b w:val="1"/>
                <w:bCs w:val="1"/>
                <w:color w:val="009CCC"/>
              </w:rPr>
              <w:t>Objective</w:t>
            </w:r>
          </w:p>
        </w:tc>
        <w:tc>
          <w:tcPr>
            <w:tcW w:w="6700" w:type="dxa"/>
            <w:vAlign w:val="bottom"/>
            <w:tcBorders>
              <w:bottom w:val="single" w:sz="8" w:color="7B7C80"/>
              <w:right w:val="single" w:sz="8" w:color="7B7C80"/>
            </w:tcBorders>
          </w:tcPr>
          <w:p>
            <w:pPr>
              <w:ind w:left="2420"/>
              <w:spacing w:after="0"/>
              <w:rPr>
                <w:sz w:val="20"/>
                <w:szCs w:val="20"/>
                <w:color w:val="auto"/>
              </w:rPr>
            </w:pPr>
            <w:r>
              <w:rPr>
                <w:rFonts w:ascii="Arial" w:cs="Arial" w:eastAsia="Arial" w:hAnsi="Arial"/>
                <w:sz w:val="12"/>
                <w:szCs w:val="12"/>
                <w:b w:val="1"/>
                <w:bCs w:val="1"/>
                <w:color w:val="009CCC"/>
              </w:rPr>
              <w:t>Description and 2017 Highlights</w:t>
            </w:r>
          </w:p>
        </w:tc>
        <w:tc>
          <w:tcPr>
            <w:tcW w:w="0" w:type="dxa"/>
            <w:vAlign w:val="bottom"/>
          </w:tcPr>
          <w:p>
            <w:pPr>
              <w:spacing w:after="0"/>
              <w:rPr>
                <w:sz w:val="1"/>
                <w:szCs w:val="1"/>
                <w:color w:val="auto"/>
              </w:rPr>
            </w:pPr>
          </w:p>
        </w:tc>
      </w:tr>
      <w:tr>
        <w:trPr>
          <w:trHeight w:val="166"/>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spacing w:after="0"/>
              <w:rPr>
                <w:sz w:val="14"/>
                <w:szCs w:val="14"/>
                <w:color w:val="auto"/>
              </w:rPr>
            </w:pPr>
          </w:p>
        </w:tc>
        <w:tc>
          <w:tcPr>
            <w:tcW w:w="6700" w:type="dxa"/>
            <w:vAlign w:val="bottom"/>
            <w:tcBorders>
              <w:right w:val="single" w:sz="8" w:color="7B7C80"/>
            </w:tcBorders>
          </w:tcPr>
          <w:p>
            <w:pPr>
              <w:ind w:left="80"/>
              <w:spacing w:after="0" w:line="166" w:lineRule="exact"/>
              <w:rPr>
                <w:sz w:val="20"/>
                <w:szCs w:val="20"/>
                <w:color w:val="auto"/>
              </w:rPr>
            </w:pPr>
            <w:r>
              <w:rPr>
                <w:rFonts w:ascii="Arial" w:cs="Arial" w:eastAsia="Arial" w:hAnsi="Arial"/>
                <w:sz w:val="15"/>
                <w:szCs w:val="15"/>
                <w:color w:val="7B7C80"/>
              </w:rPr>
              <w:t>Named Executive Officers participate in most of the same benefit plans as the Company's other</w:t>
            </w:r>
          </w:p>
        </w:tc>
        <w:tc>
          <w:tcPr>
            <w:tcW w:w="0" w:type="dxa"/>
            <w:vAlign w:val="bottom"/>
          </w:tcPr>
          <w:p>
            <w:pPr>
              <w:spacing w:after="0"/>
              <w:rPr>
                <w:sz w:val="1"/>
                <w:szCs w:val="1"/>
                <w:color w:val="auto"/>
              </w:rPr>
            </w:pPr>
          </w:p>
        </w:tc>
      </w:tr>
      <w:tr>
        <w:trPr>
          <w:trHeight w:val="172"/>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Protects against catastrophic expenses and</w:t>
            </w: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U.S. based employees, including health, life, disability income, vision and dental insurance, an</w:t>
            </w:r>
          </w:p>
        </w:tc>
        <w:tc>
          <w:tcPr>
            <w:tcW w:w="0" w:type="dxa"/>
            <w:vAlign w:val="bottom"/>
          </w:tcPr>
          <w:p>
            <w:pPr>
              <w:spacing w:after="0"/>
              <w:rPr>
                <w:sz w:val="1"/>
                <w:szCs w:val="1"/>
                <w:color w:val="auto"/>
              </w:rPr>
            </w:pPr>
          </w:p>
        </w:tc>
      </w:tr>
      <w:tr>
        <w:trPr>
          <w:trHeight w:val="80"/>
        </w:trPr>
        <w:tc>
          <w:tcPr>
            <w:tcW w:w="130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9"/>
              </w:rPr>
              <w:t>Benefits</w:t>
            </w:r>
          </w:p>
        </w:tc>
        <w:tc>
          <w:tcPr>
            <w:tcW w:w="3440" w:type="dxa"/>
            <w:vAlign w:val="bottom"/>
            <w:tcBorders>
              <w:right w:val="single" w:sz="8" w:color="7B7C80"/>
            </w:tcBorders>
            <w:vMerge w:val="continue"/>
          </w:tcPr>
          <w:p>
            <w:pPr>
              <w:spacing w:after="0"/>
              <w:rPr>
                <w:sz w:val="6"/>
                <w:szCs w:val="6"/>
                <w:color w:val="auto"/>
              </w:rPr>
            </w:pP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employee stock purchase plan, 401(k) plan and pension plan. Executives also participate in non</w:t>
            </w:r>
          </w:p>
        </w:tc>
        <w:tc>
          <w:tcPr>
            <w:tcW w:w="0" w:type="dxa"/>
            <w:vAlign w:val="bottom"/>
          </w:tcPr>
          <w:p>
            <w:pPr>
              <w:spacing w:after="0"/>
              <w:rPr>
                <w:sz w:val="1"/>
                <w:szCs w:val="1"/>
                <w:color w:val="auto"/>
              </w:rPr>
            </w:pPr>
          </w:p>
        </w:tc>
      </w:tr>
      <w:tr>
        <w:trPr>
          <w:trHeight w:val="92"/>
        </w:trPr>
        <w:tc>
          <w:tcPr>
            <w:tcW w:w="1300" w:type="dxa"/>
            <w:vAlign w:val="bottom"/>
            <w:tcBorders>
              <w:left w:val="single" w:sz="8" w:color="7B7C80"/>
              <w:right w:val="single" w:sz="8" w:color="7B7C80"/>
            </w:tcBorders>
            <w:vMerge w:val="continue"/>
          </w:tcPr>
          <w:p>
            <w:pPr>
              <w:spacing w:after="0"/>
              <w:rPr>
                <w:sz w:val="7"/>
                <w:szCs w:val="7"/>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provides retirement savings opportunities.</w:t>
            </w:r>
          </w:p>
        </w:tc>
        <w:tc>
          <w:tcPr>
            <w:tcW w:w="67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7"/>
        </w:trPr>
        <w:tc>
          <w:tcPr>
            <w:tcW w:w="1300" w:type="dxa"/>
            <w:vAlign w:val="bottom"/>
            <w:tcBorders>
              <w:left w:val="single" w:sz="8" w:color="7B7C80"/>
              <w:right w:val="single" w:sz="8" w:color="7B7C80"/>
            </w:tcBorders>
          </w:tcPr>
          <w:p>
            <w:pPr>
              <w:spacing w:after="0"/>
              <w:rPr>
                <w:sz w:val="7"/>
                <w:szCs w:val="7"/>
                <w:color w:val="auto"/>
              </w:rPr>
            </w:pPr>
          </w:p>
        </w:tc>
        <w:tc>
          <w:tcPr>
            <w:tcW w:w="3440" w:type="dxa"/>
            <w:vAlign w:val="bottom"/>
            <w:tcBorders>
              <w:right w:val="single" w:sz="8" w:color="7B7C80"/>
            </w:tcBorders>
            <w:vMerge w:val="continue"/>
          </w:tcPr>
          <w:p>
            <w:pPr>
              <w:spacing w:after="0"/>
              <w:rPr>
                <w:sz w:val="7"/>
                <w:szCs w:val="7"/>
                <w:color w:val="auto"/>
              </w:rPr>
            </w:pP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qualified retirement plans (defined benefit and defined contribution). Mr. McCaughan does not</w:t>
            </w:r>
          </w:p>
        </w:tc>
        <w:tc>
          <w:tcPr>
            <w:tcW w:w="0" w:type="dxa"/>
            <w:vAlign w:val="bottom"/>
          </w:tcPr>
          <w:p>
            <w:pPr>
              <w:spacing w:after="0"/>
              <w:rPr>
                <w:sz w:val="1"/>
                <w:szCs w:val="1"/>
                <w:color w:val="auto"/>
              </w:rPr>
            </w:pPr>
          </w:p>
        </w:tc>
      </w:tr>
      <w:tr>
        <w:trPr>
          <w:trHeight w:val="85"/>
        </w:trPr>
        <w:tc>
          <w:tcPr>
            <w:tcW w:w="1300" w:type="dxa"/>
            <w:vAlign w:val="bottom"/>
            <w:tcBorders>
              <w:left w:val="single" w:sz="8" w:color="7B7C80"/>
              <w:right w:val="single" w:sz="8" w:color="7B7C80"/>
            </w:tcBorders>
          </w:tcPr>
          <w:p>
            <w:pPr>
              <w:spacing w:after="0"/>
              <w:rPr>
                <w:sz w:val="7"/>
                <w:szCs w:val="7"/>
                <w:color w:val="auto"/>
              </w:rPr>
            </w:pPr>
          </w:p>
        </w:tc>
        <w:tc>
          <w:tcPr>
            <w:tcW w:w="3440" w:type="dxa"/>
            <w:vAlign w:val="bottom"/>
            <w:tcBorders>
              <w:right w:val="single" w:sz="8" w:color="7B7C80"/>
            </w:tcBorders>
          </w:tcPr>
          <w:p>
            <w:pPr>
              <w:spacing w:after="0"/>
              <w:rPr>
                <w:sz w:val="7"/>
                <w:szCs w:val="7"/>
                <w:color w:val="auto"/>
              </w:rPr>
            </w:pPr>
          </w:p>
        </w:tc>
        <w:tc>
          <w:tcPr>
            <w:tcW w:w="67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1300" w:type="dxa"/>
            <w:vAlign w:val="bottom"/>
            <w:tcBorders>
              <w:left w:val="single" w:sz="8" w:color="7B7C80"/>
              <w:bottom w:val="single" w:sz="8" w:color="7B7C80"/>
              <w:right w:val="single" w:sz="8" w:color="7B7C80"/>
            </w:tcBorders>
          </w:tcPr>
          <w:p>
            <w:pPr>
              <w:spacing w:after="0"/>
              <w:rPr>
                <w:sz w:val="14"/>
                <w:szCs w:val="14"/>
                <w:color w:val="auto"/>
              </w:rPr>
            </w:pPr>
          </w:p>
        </w:tc>
        <w:tc>
          <w:tcPr>
            <w:tcW w:w="3440" w:type="dxa"/>
            <w:vAlign w:val="bottom"/>
            <w:tcBorders>
              <w:bottom w:val="single" w:sz="8" w:color="7B7C80"/>
              <w:right w:val="single" w:sz="8" w:color="7B7C80"/>
            </w:tcBorders>
          </w:tcPr>
          <w:p>
            <w:pPr>
              <w:spacing w:after="0"/>
              <w:rPr>
                <w:sz w:val="14"/>
                <w:szCs w:val="14"/>
                <w:color w:val="auto"/>
              </w:rPr>
            </w:pPr>
          </w:p>
        </w:tc>
        <w:tc>
          <w:tcPr>
            <w:tcW w:w="6700" w:type="dxa"/>
            <w:vAlign w:val="bottom"/>
            <w:tcBorders>
              <w:bottom w:val="single" w:sz="8" w:color="7B7C80"/>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participate in the pension or non qualified retirement plans.</w:t>
            </w:r>
          </w:p>
        </w:tc>
        <w:tc>
          <w:tcPr>
            <w:tcW w:w="0" w:type="dxa"/>
            <w:vAlign w:val="bottom"/>
          </w:tcPr>
          <w:p>
            <w:pPr>
              <w:spacing w:after="0"/>
              <w:rPr>
                <w:sz w:val="1"/>
                <w:szCs w:val="1"/>
                <w:color w:val="auto"/>
              </w:rPr>
            </w:pPr>
          </w:p>
        </w:tc>
      </w:tr>
      <w:tr>
        <w:trPr>
          <w:trHeight w:val="166"/>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ind w:left="80"/>
              <w:spacing w:after="0" w:line="166" w:lineRule="exact"/>
              <w:rPr>
                <w:sz w:val="20"/>
                <w:szCs w:val="20"/>
                <w:color w:val="auto"/>
              </w:rPr>
            </w:pPr>
            <w:r>
              <w:rPr>
                <w:rFonts w:ascii="Arial" w:cs="Arial" w:eastAsia="Arial" w:hAnsi="Arial"/>
                <w:sz w:val="15"/>
                <w:szCs w:val="15"/>
                <w:color w:val="7B7C80"/>
              </w:rPr>
              <w:t>Modest additional benefits to help attract and</w:t>
            </w:r>
          </w:p>
        </w:tc>
        <w:tc>
          <w:tcPr>
            <w:tcW w:w="670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130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9"/>
              </w:rPr>
              <w:t>Perquisites</w:t>
            </w:r>
          </w:p>
        </w:tc>
        <w:tc>
          <w:tcPr>
            <w:tcW w:w="344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retain Executive talent and enable Executives to</w:t>
            </w:r>
          </w:p>
        </w:tc>
        <w:tc>
          <w:tcPr>
            <w:tcW w:w="670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Executives are eligible for one physical examination per year, business spousal travel and gifts of</w:t>
            </w:r>
          </w:p>
        </w:tc>
        <w:tc>
          <w:tcPr>
            <w:tcW w:w="0" w:type="dxa"/>
            <w:vAlign w:val="bottom"/>
          </w:tcPr>
          <w:p>
            <w:pPr>
              <w:spacing w:after="0"/>
              <w:rPr>
                <w:sz w:val="1"/>
                <w:szCs w:val="1"/>
                <w:color w:val="auto"/>
              </w:rPr>
            </w:pPr>
          </w:p>
        </w:tc>
      </w:tr>
      <w:tr>
        <w:trPr>
          <w:trHeight w:val="87"/>
        </w:trPr>
        <w:tc>
          <w:tcPr>
            <w:tcW w:w="1300" w:type="dxa"/>
            <w:vAlign w:val="bottom"/>
            <w:tcBorders>
              <w:left w:val="single" w:sz="8" w:color="7B7C80"/>
              <w:right w:val="single" w:sz="8" w:color="7B7C80"/>
            </w:tcBorders>
            <w:vMerge w:val="continue"/>
          </w:tcPr>
          <w:p>
            <w:pPr>
              <w:spacing w:after="0"/>
              <w:rPr>
                <w:sz w:val="7"/>
                <w:szCs w:val="7"/>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focus on Company business with minimal</w:t>
            </w: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nominal value given to all sales conference attendees.</w:t>
            </w:r>
          </w:p>
        </w:tc>
        <w:tc>
          <w:tcPr>
            <w:tcW w:w="0" w:type="dxa"/>
            <w:vAlign w:val="bottom"/>
          </w:tcPr>
          <w:p>
            <w:pPr>
              <w:spacing w:after="0"/>
              <w:rPr>
                <w:sz w:val="1"/>
                <w:szCs w:val="1"/>
                <w:color w:val="auto"/>
              </w:rPr>
            </w:pPr>
          </w:p>
        </w:tc>
      </w:tr>
      <w:tr>
        <w:trPr>
          <w:trHeight w:val="85"/>
        </w:trPr>
        <w:tc>
          <w:tcPr>
            <w:tcW w:w="1300" w:type="dxa"/>
            <w:vAlign w:val="bottom"/>
            <w:tcBorders>
              <w:left w:val="single" w:sz="8" w:color="7B7C80"/>
              <w:right w:val="single" w:sz="8" w:color="7B7C80"/>
            </w:tcBorders>
          </w:tcPr>
          <w:p>
            <w:pPr>
              <w:spacing w:after="0"/>
              <w:rPr>
                <w:sz w:val="7"/>
                <w:szCs w:val="7"/>
                <w:color w:val="auto"/>
              </w:rPr>
            </w:pPr>
          </w:p>
        </w:tc>
        <w:tc>
          <w:tcPr>
            <w:tcW w:w="3440" w:type="dxa"/>
            <w:vAlign w:val="bottom"/>
            <w:tcBorders>
              <w:right w:val="single" w:sz="8" w:color="7B7C80"/>
            </w:tcBorders>
            <w:vMerge w:val="continue"/>
          </w:tcPr>
          <w:p>
            <w:pPr>
              <w:spacing w:after="0"/>
              <w:rPr>
                <w:sz w:val="7"/>
                <w:szCs w:val="7"/>
                <w:color w:val="auto"/>
              </w:rPr>
            </w:pPr>
          </w:p>
        </w:tc>
        <w:tc>
          <w:tcPr>
            <w:tcW w:w="67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1300" w:type="dxa"/>
            <w:vAlign w:val="bottom"/>
            <w:tcBorders>
              <w:left w:val="single" w:sz="8" w:color="7B7C80"/>
              <w:bottom w:val="single" w:sz="8" w:color="7B7C80"/>
              <w:right w:val="single" w:sz="8" w:color="7B7C80"/>
            </w:tcBorders>
          </w:tcPr>
          <w:p>
            <w:pPr>
              <w:spacing w:after="0"/>
              <w:rPr>
                <w:sz w:val="14"/>
                <w:szCs w:val="14"/>
                <w:color w:val="auto"/>
              </w:rPr>
            </w:pPr>
          </w:p>
        </w:tc>
        <w:tc>
          <w:tcPr>
            <w:tcW w:w="3440" w:type="dxa"/>
            <w:vAlign w:val="bottom"/>
            <w:tcBorders>
              <w:bottom w:val="single" w:sz="8" w:color="7B7C80"/>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disruption.</w:t>
            </w:r>
          </w:p>
        </w:tc>
        <w:tc>
          <w:tcPr>
            <w:tcW w:w="670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30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ind w:left="80"/>
              <w:spacing w:after="0" w:line="166" w:lineRule="exact"/>
              <w:rPr>
                <w:sz w:val="20"/>
                <w:szCs w:val="20"/>
                <w:color w:val="auto"/>
              </w:rPr>
            </w:pPr>
            <w:r>
              <w:rPr>
                <w:rFonts w:ascii="Arial" w:cs="Arial" w:eastAsia="Arial" w:hAnsi="Arial"/>
                <w:sz w:val="15"/>
                <w:szCs w:val="15"/>
                <w:color w:val="7B7C80"/>
              </w:rPr>
              <w:t>Provides temporary income following an</w:t>
            </w:r>
          </w:p>
        </w:tc>
        <w:tc>
          <w:tcPr>
            <w:tcW w:w="670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130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8"/>
              </w:rPr>
              <w:t>Termination</w:t>
            </w:r>
          </w:p>
        </w:tc>
        <w:tc>
          <w:tcPr>
            <w:tcW w:w="344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Executive's involuntary termination of</w:t>
            </w: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Refer to pages 38-39 for a discussion of our change of control and separation benefits. These</w:t>
            </w:r>
          </w:p>
        </w:tc>
        <w:tc>
          <w:tcPr>
            <w:tcW w:w="0" w:type="dxa"/>
            <w:vAlign w:val="bottom"/>
          </w:tcPr>
          <w:p>
            <w:pPr>
              <w:spacing w:after="0"/>
              <w:rPr>
                <w:sz w:val="1"/>
                <w:szCs w:val="1"/>
                <w:color w:val="auto"/>
              </w:rPr>
            </w:pPr>
          </w:p>
        </w:tc>
      </w:tr>
      <w:tr>
        <w:trPr>
          <w:trHeight w:val="80"/>
        </w:trPr>
        <w:tc>
          <w:tcPr>
            <w:tcW w:w="1300" w:type="dxa"/>
            <w:vAlign w:val="bottom"/>
            <w:tcBorders>
              <w:left w:val="single" w:sz="8" w:color="7B7C80"/>
              <w:right w:val="single" w:sz="8" w:color="7B7C80"/>
            </w:tcBorders>
            <w:vMerge w:val="continue"/>
          </w:tcPr>
          <w:p>
            <w:pPr>
              <w:spacing w:after="0"/>
              <w:rPr>
                <w:sz w:val="6"/>
                <w:szCs w:val="6"/>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employment, and, in the case of a change of</w:t>
            </w:r>
          </w:p>
        </w:tc>
        <w:tc>
          <w:tcPr>
            <w:tcW w:w="6700" w:type="dxa"/>
            <w:vAlign w:val="bottom"/>
            <w:tcBorders>
              <w:right w:val="single" w:sz="8" w:color="7B7C80"/>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92"/>
        </w:trPr>
        <w:tc>
          <w:tcPr>
            <w:tcW w:w="130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color w:val="7B7C80"/>
                <w:w w:val="99"/>
              </w:rPr>
              <w:t>Benefits</w:t>
            </w:r>
          </w:p>
        </w:tc>
        <w:tc>
          <w:tcPr>
            <w:tcW w:w="3440" w:type="dxa"/>
            <w:vAlign w:val="bottom"/>
            <w:tcBorders>
              <w:right w:val="single" w:sz="8" w:color="7B7C80"/>
            </w:tcBorders>
            <w:vMerge w:val="continue"/>
          </w:tcPr>
          <w:p>
            <w:pPr>
              <w:spacing w:after="0"/>
              <w:rPr>
                <w:sz w:val="7"/>
                <w:szCs w:val="7"/>
                <w:color w:val="auto"/>
              </w:rPr>
            </w:pPr>
          </w:p>
        </w:tc>
        <w:tc>
          <w:tcPr>
            <w:tcW w:w="670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benefits do not include excise tax gross ups.</w:t>
            </w:r>
          </w:p>
        </w:tc>
        <w:tc>
          <w:tcPr>
            <w:tcW w:w="0" w:type="dxa"/>
            <w:vAlign w:val="bottom"/>
          </w:tcPr>
          <w:p>
            <w:pPr>
              <w:spacing w:after="0"/>
              <w:rPr>
                <w:sz w:val="1"/>
                <w:szCs w:val="1"/>
                <w:color w:val="auto"/>
              </w:rPr>
            </w:pPr>
          </w:p>
        </w:tc>
      </w:tr>
      <w:tr>
        <w:trPr>
          <w:trHeight w:val="87"/>
        </w:trPr>
        <w:tc>
          <w:tcPr>
            <w:tcW w:w="1300" w:type="dxa"/>
            <w:vAlign w:val="bottom"/>
            <w:tcBorders>
              <w:left w:val="single" w:sz="8" w:color="7B7C80"/>
              <w:right w:val="single" w:sz="8" w:color="7B7C80"/>
            </w:tcBorders>
            <w:vMerge w:val="continue"/>
          </w:tcPr>
          <w:p>
            <w:pPr>
              <w:spacing w:after="0"/>
              <w:rPr>
                <w:sz w:val="7"/>
                <w:szCs w:val="7"/>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control; helps ensure the continuity of</w:t>
            </w:r>
          </w:p>
        </w:tc>
        <w:tc>
          <w:tcPr>
            <w:tcW w:w="6700" w:type="dxa"/>
            <w:vAlign w:val="bottom"/>
            <w:tcBorders>
              <w:right w:val="single" w:sz="8" w:color="7B7C80"/>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85"/>
        </w:trPr>
        <w:tc>
          <w:tcPr>
            <w:tcW w:w="1300" w:type="dxa"/>
            <w:vAlign w:val="bottom"/>
            <w:tcBorders>
              <w:left w:val="single" w:sz="8" w:color="7B7C80"/>
              <w:right w:val="single" w:sz="8" w:color="7B7C80"/>
            </w:tcBorders>
          </w:tcPr>
          <w:p>
            <w:pPr>
              <w:spacing w:after="0"/>
              <w:rPr>
                <w:sz w:val="7"/>
                <w:szCs w:val="7"/>
                <w:color w:val="auto"/>
              </w:rPr>
            </w:pPr>
          </w:p>
        </w:tc>
        <w:tc>
          <w:tcPr>
            <w:tcW w:w="3440" w:type="dxa"/>
            <w:vAlign w:val="bottom"/>
            <w:tcBorders>
              <w:right w:val="single" w:sz="8" w:color="7B7C80"/>
            </w:tcBorders>
            <w:vMerge w:val="continue"/>
          </w:tcPr>
          <w:p>
            <w:pPr>
              <w:spacing w:after="0"/>
              <w:rPr>
                <w:sz w:val="7"/>
                <w:szCs w:val="7"/>
                <w:color w:val="auto"/>
              </w:rPr>
            </w:pPr>
          </w:p>
        </w:tc>
        <w:tc>
          <w:tcPr>
            <w:tcW w:w="670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1300" w:type="dxa"/>
            <w:vAlign w:val="bottom"/>
            <w:tcBorders>
              <w:left w:val="single" w:sz="8" w:color="7B7C80"/>
              <w:bottom w:val="single" w:sz="8" w:color="7B7C80"/>
              <w:right w:val="single" w:sz="8" w:color="7B7C80"/>
            </w:tcBorders>
          </w:tcPr>
          <w:p>
            <w:pPr>
              <w:spacing w:after="0"/>
              <w:rPr>
                <w:sz w:val="14"/>
                <w:szCs w:val="14"/>
                <w:color w:val="auto"/>
              </w:rPr>
            </w:pPr>
          </w:p>
        </w:tc>
        <w:tc>
          <w:tcPr>
            <w:tcW w:w="3440" w:type="dxa"/>
            <w:vAlign w:val="bottom"/>
            <w:tcBorders>
              <w:bottom w:val="single" w:sz="8" w:color="7B7C80"/>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management through the transition.</w:t>
            </w:r>
          </w:p>
        </w:tc>
        <w:tc>
          <w:tcPr>
            <w:tcW w:w="670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356"/>
        </w:trPr>
        <w:tc>
          <w:tcPr>
            <w:tcW w:w="4740" w:type="dxa"/>
            <w:vAlign w:val="bottom"/>
            <w:gridSpan w:val="2"/>
          </w:tcPr>
          <w:p>
            <w:pPr>
              <w:spacing w:after="0"/>
              <w:rPr>
                <w:sz w:val="20"/>
                <w:szCs w:val="20"/>
                <w:color w:val="auto"/>
              </w:rPr>
            </w:pPr>
            <w:r>
              <w:rPr>
                <w:rFonts w:ascii="Arial" w:cs="Arial" w:eastAsia="Arial" w:hAnsi="Arial"/>
                <w:sz w:val="15"/>
                <w:szCs w:val="15"/>
                <w:b w:val="1"/>
                <w:bCs w:val="1"/>
                <w:color w:val="009CCC"/>
              </w:rPr>
              <w:t>How We Make Compensation Decisions</w:t>
            </w:r>
          </w:p>
        </w:tc>
        <w:tc>
          <w:tcPr>
            <w:tcW w:w="6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5"/>
        </w:trPr>
        <w:tc>
          <w:tcPr>
            <w:tcW w:w="4740" w:type="dxa"/>
            <w:vAlign w:val="bottom"/>
            <w:gridSpan w:val="2"/>
          </w:tcPr>
          <w:p>
            <w:pPr>
              <w:spacing w:after="0"/>
              <w:rPr>
                <w:sz w:val="20"/>
                <w:szCs w:val="20"/>
                <w:color w:val="auto"/>
              </w:rPr>
            </w:pPr>
            <w:r>
              <w:rPr>
                <w:rFonts w:ascii="Arial" w:cs="Arial" w:eastAsia="Arial" w:hAnsi="Arial"/>
                <w:sz w:val="15"/>
                <w:szCs w:val="15"/>
                <w:color w:val="009CCC"/>
              </w:rPr>
              <w:t>Human Resources Committee Involvement</w:t>
            </w:r>
          </w:p>
        </w:tc>
        <w:tc>
          <w:tcPr>
            <w:tcW w:w="6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5"/>
        </w:trPr>
        <w:tc>
          <w:tcPr>
            <w:tcW w:w="4740" w:type="dxa"/>
            <w:vAlign w:val="bottom"/>
            <w:gridSpan w:val="2"/>
          </w:tcPr>
          <w:p>
            <w:pPr>
              <w:spacing w:after="0"/>
              <w:rPr>
                <w:sz w:val="20"/>
                <w:szCs w:val="20"/>
                <w:color w:val="auto"/>
              </w:rPr>
            </w:pPr>
            <w:r>
              <w:rPr>
                <w:rFonts w:ascii="Arial" w:cs="Arial" w:eastAsia="Arial" w:hAnsi="Arial"/>
                <w:sz w:val="15"/>
                <w:szCs w:val="15"/>
                <w:color w:val="7B7C80"/>
              </w:rPr>
              <w:t>The Human Resources Committee</w:t>
            </w:r>
          </w:p>
        </w:tc>
        <w:tc>
          <w:tcPr>
            <w:tcW w:w="67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76" w:lineRule="exact"/>
        <w:rPr>
          <w:sz w:val="20"/>
          <w:szCs w:val="20"/>
          <w:color w:val="auto"/>
        </w:rPr>
      </w:pPr>
    </w:p>
    <w:p>
      <w:pPr>
        <w:ind w:left="448" w:hanging="448"/>
        <w:spacing w:after="0"/>
        <w:tabs>
          <w:tab w:leader="none" w:pos="448" w:val="left"/>
        </w:tabs>
        <w:numPr>
          <w:ilvl w:val="0"/>
          <w:numId w:val="27"/>
        </w:numPr>
        <w:rPr>
          <w:rFonts w:ascii="Arial" w:cs="Arial" w:eastAsia="Arial" w:hAnsi="Arial"/>
          <w:sz w:val="15"/>
          <w:szCs w:val="15"/>
          <w:color w:val="7B7C80"/>
        </w:rPr>
      </w:pPr>
      <w:r>
        <w:rPr>
          <w:rFonts w:ascii="Arial" w:cs="Arial" w:eastAsia="Arial" w:hAnsi="Arial"/>
          <w:sz w:val="15"/>
          <w:szCs w:val="15"/>
          <w:color w:val="7B7C80"/>
        </w:rPr>
        <w:t>Oversees the development and administration of the Company's compensation and benefits policies and programs;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27"/>
        </w:numPr>
        <w:rPr>
          <w:rFonts w:ascii="Arial" w:cs="Arial" w:eastAsia="Arial" w:hAnsi="Arial"/>
          <w:sz w:val="15"/>
          <w:szCs w:val="15"/>
          <w:color w:val="7B7C80"/>
        </w:rPr>
      </w:pPr>
      <w:r>
        <w:rPr>
          <w:rFonts w:ascii="Arial" w:cs="Arial" w:eastAsia="Arial" w:hAnsi="Arial"/>
          <w:sz w:val="15"/>
          <w:szCs w:val="15"/>
          <w:color w:val="7B7C80"/>
        </w:rPr>
        <w:t>Evaluates CEO performance results;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27"/>
        </w:numPr>
        <w:rPr>
          <w:rFonts w:ascii="Arial" w:cs="Arial" w:eastAsia="Arial" w:hAnsi="Arial"/>
          <w:sz w:val="15"/>
          <w:szCs w:val="15"/>
          <w:color w:val="7B7C80"/>
        </w:rPr>
      </w:pPr>
      <w:r>
        <w:rPr>
          <w:rFonts w:ascii="Arial" w:cs="Arial" w:eastAsia="Arial" w:hAnsi="Arial"/>
          <w:sz w:val="15"/>
          <w:szCs w:val="15"/>
          <w:color w:val="7B7C80"/>
        </w:rPr>
        <w:t>Makes the compensation decisions for the CEO;</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27"/>
        </w:numPr>
        <w:rPr>
          <w:rFonts w:ascii="Arial" w:cs="Arial" w:eastAsia="Arial" w:hAnsi="Arial"/>
          <w:sz w:val="15"/>
          <w:szCs w:val="15"/>
          <w:color w:val="7B7C80"/>
        </w:rPr>
      </w:pPr>
      <w:r>
        <w:rPr>
          <w:rFonts w:ascii="Arial" w:cs="Arial" w:eastAsia="Arial" w:hAnsi="Arial"/>
          <w:sz w:val="15"/>
          <w:szCs w:val="15"/>
          <w:color w:val="7B7C80"/>
        </w:rPr>
        <w:t>Approves the compensation program and compensation for Executives;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27"/>
        </w:numPr>
        <w:rPr>
          <w:rFonts w:ascii="Arial" w:cs="Arial" w:eastAsia="Arial" w:hAnsi="Arial"/>
          <w:sz w:val="15"/>
          <w:szCs w:val="15"/>
          <w:color w:val="7B7C80"/>
        </w:rPr>
      </w:pPr>
      <w:r>
        <w:rPr>
          <w:rFonts w:ascii="Arial" w:cs="Arial" w:eastAsia="Arial" w:hAnsi="Arial"/>
          <w:sz w:val="15"/>
          <w:szCs w:val="15"/>
          <w:color w:val="7B7C80"/>
        </w:rPr>
        <w:t>Tenure in role;</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27"/>
        </w:numPr>
        <w:rPr>
          <w:rFonts w:ascii="Arial" w:cs="Arial" w:eastAsia="Arial" w:hAnsi="Arial"/>
          <w:sz w:val="15"/>
          <w:szCs w:val="15"/>
          <w:color w:val="7B7C80"/>
        </w:rPr>
      </w:pPr>
      <w:r>
        <w:rPr>
          <w:rFonts w:ascii="Arial" w:cs="Arial" w:eastAsia="Arial" w:hAnsi="Arial"/>
          <w:sz w:val="15"/>
          <w:szCs w:val="15"/>
          <w:color w:val="7B7C80"/>
        </w:rPr>
        <w:t>Reviews and approves corporate incentive goals and objectives relevant to compensation;</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27"/>
        </w:numPr>
        <w:rPr>
          <w:rFonts w:ascii="Arial" w:cs="Arial" w:eastAsia="Arial" w:hAnsi="Arial"/>
          <w:sz w:val="15"/>
          <w:szCs w:val="15"/>
          <w:color w:val="7B7C80"/>
        </w:rPr>
      </w:pPr>
      <w:r>
        <w:rPr>
          <w:rFonts w:ascii="Arial" w:cs="Arial" w:eastAsia="Arial" w:hAnsi="Arial"/>
          <w:sz w:val="15"/>
          <w:szCs w:val="15"/>
          <w:color w:val="7B7C80"/>
        </w:rPr>
        <w:t>Evaluates the competitiveness of each Executive's total compensation; and</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27"/>
        </w:numPr>
        <w:rPr>
          <w:rFonts w:ascii="Arial" w:cs="Arial" w:eastAsia="Arial" w:hAnsi="Arial"/>
          <w:sz w:val="15"/>
          <w:szCs w:val="15"/>
          <w:color w:val="7B7C80"/>
        </w:rPr>
      </w:pPr>
      <w:r>
        <w:rPr>
          <w:rFonts w:ascii="Arial" w:cs="Arial" w:eastAsia="Arial" w:hAnsi="Arial"/>
          <w:sz w:val="15"/>
          <w:szCs w:val="15"/>
          <w:color w:val="7B7C80"/>
        </w:rPr>
        <w:t>Approves changes to the Executive's total compensation package.</w:t>
      </w:r>
    </w:p>
    <w:p>
      <w:pPr>
        <w:spacing w:after="0" w:line="183" w:lineRule="exact"/>
        <w:rPr>
          <w:sz w:val="20"/>
          <w:szCs w:val="20"/>
          <w:color w:val="auto"/>
        </w:rPr>
      </w:pPr>
    </w:p>
    <w:p>
      <w:pPr>
        <w:jc w:val="both"/>
        <w:ind w:left="8"/>
        <w:spacing w:after="0" w:line="241" w:lineRule="auto"/>
        <w:rPr>
          <w:sz w:val="20"/>
          <w:szCs w:val="20"/>
          <w:color w:val="auto"/>
        </w:rPr>
      </w:pPr>
      <w:r>
        <w:rPr>
          <w:rFonts w:ascii="Arial" w:cs="Arial" w:eastAsia="Arial" w:hAnsi="Arial"/>
          <w:sz w:val="15"/>
          <w:szCs w:val="15"/>
          <w:color w:val="7B7C80"/>
        </w:rPr>
        <w:t>Compensation Advisory Partners advises the Committee on the Executive compensation program and also advises the Nominating and Governance Committee on compensation for non employee Directors (see pages 20-22). Compensation Advisory Partners receives compensation from the Company only for its work in advising these Committees. Compensation Advisory Partners does not and would not be allowed to perform services for management. The Committee assessed the independence factors in applicable SEC rules and Nasdaq Listing Standards and other facts and circumstances and concluded that the services performed by Compensation Advisory Partners did not raise any conflict of interest.</w:t>
      </w:r>
    </w:p>
    <w:p>
      <w:pPr>
        <w:spacing w:after="0" w:line="177"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No member of management, including the CEO, has a role in determining his or her own compensation; and the CEO is not present when the Committee discusses his compensation. The Committee consults with the independent Directors regarding the CEO's performance and then determines the compensation earned by the CEO for the current year and the CEO's compensation opportunity for the following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109220</wp:posOffset>
            </wp:positionV>
            <wp:extent cx="960120" cy="2838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2"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29</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32" w:name="page33"/>
    <w:bookmarkEnd w:id="32"/>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Each year the CEO, with input from the Human Resources Department and the compensation consultant, recommends the amount of base salary increase (if any), annual incentive award and long term incentive award for Executives other than himself. These recommendations are based on the Executive's performance, performance of the business areas for which the Executive is responsible (if applicable) and other considerations such as retention. The Human Resources Committee reviews these recommendations and approves compensation decisions for Executives.</w:t>
      </w:r>
    </w:p>
    <w:p>
      <w:pPr>
        <w:spacing w:after="0" w:line="175" w:lineRule="exact"/>
        <w:rPr>
          <w:sz w:val="20"/>
          <w:szCs w:val="20"/>
          <w:color w:val="auto"/>
        </w:rPr>
      </w:pPr>
    </w:p>
    <w:p>
      <w:pPr>
        <w:ind w:left="8"/>
        <w:spacing w:after="0"/>
        <w:rPr>
          <w:sz w:val="20"/>
          <w:szCs w:val="20"/>
          <w:color w:val="auto"/>
        </w:rPr>
      </w:pPr>
      <w:r>
        <w:rPr>
          <w:rFonts w:ascii="Arial" w:cs="Arial" w:eastAsia="Arial" w:hAnsi="Arial"/>
          <w:sz w:val="15"/>
          <w:szCs w:val="15"/>
          <w:color w:val="009CCC"/>
        </w:rPr>
        <w:t>The role of the Independent Compensation Consultant &amp; Interaction with Management</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Human Resources Committee has the sole authority to hire, approve the compensation of and terminate the engagement of the compensation consultant.</w:t>
      </w:r>
    </w:p>
    <w:p>
      <w:pPr>
        <w:spacing w:after="0" w:line="183" w:lineRule="exact"/>
        <w:rPr>
          <w:sz w:val="20"/>
          <w:szCs w:val="20"/>
          <w:color w:val="auto"/>
        </w:rPr>
      </w:pPr>
    </w:p>
    <w:p>
      <w:pPr>
        <w:jc w:val="both"/>
        <w:ind w:left="8"/>
        <w:spacing w:after="0" w:line="241" w:lineRule="auto"/>
        <w:rPr>
          <w:sz w:val="20"/>
          <w:szCs w:val="20"/>
          <w:color w:val="auto"/>
        </w:rPr>
      </w:pPr>
      <w:r>
        <w:rPr>
          <w:rFonts w:ascii="Arial" w:cs="Arial" w:eastAsia="Arial" w:hAnsi="Arial"/>
          <w:sz w:val="15"/>
          <w:szCs w:val="15"/>
          <w:color w:val="7B7C80"/>
        </w:rPr>
        <w:t>The compensation consultant usually conducts a comprehensive review of the Company's Executive compensation program every other year. In the years in which the compensation consultant does not conduct a compensation study, the Committee makes compensation decisions, in part, on survey data provided by the Human Resources Department and input provided by the compensation consultant. Because the Committee hired a new compensation consultant in 2017, the Executive Compensation program is being reviewed in 2018. The comprehensive study of Executive Compensation conducted by the Committee's compensation consultant reviews all aspects of the design and structure of the Company's total Executive compensation program, and includes:</w:t>
      </w:r>
    </w:p>
    <w:p>
      <w:pPr>
        <w:spacing w:after="0" w:line="176" w:lineRule="exact"/>
        <w:rPr>
          <w:sz w:val="20"/>
          <w:szCs w:val="20"/>
          <w:color w:val="auto"/>
        </w:rPr>
      </w:pPr>
    </w:p>
    <w:p>
      <w:pPr>
        <w:ind w:left="448" w:hanging="448"/>
        <w:spacing w:after="0"/>
        <w:tabs>
          <w:tab w:leader="none" w:pos="448" w:val="left"/>
        </w:tabs>
        <w:numPr>
          <w:ilvl w:val="0"/>
          <w:numId w:val="28"/>
        </w:numPr>
        <w:rPr>
          <w:rFonts w:ascii="Arial" w:cs="Arial" w:eastAsia="Arial" w:hAnsi="Arial"/>
          <w:sz w:val="15"/>
          <w:szCs w:val="15"/>
          <w:color w:val="7B7C80"/>
        </w:rPr>
      </w:pPr>
      <w:r>
        <w:rPr>
          <w:rFonts w:ascii="Arial" w:cs="Arial" w:eastAsia="Arial" w:hAnsi="Arial"/>
          <w:sz w:val="15"/>
          <w:szCs w:val="15"/>
          <w:color w:val="7B7C80"/>
        </w:rPr>
        <w:t>Interviews with Executives and Directors to discuss business strategy and the implications for human resources and compensation policy;</w:t>
      </w:r>
    </w:p>
    <w:p>
      <w:pPr>
        <w:spacing w:after="0" w:line="182" w:lineRule="exact"/>
        <w:rPr>
          <w:rFonts w:ascii="Arial" w:cs="Arial" w:eastAsia="Arial" w:hAnsi="Arial"/>
          <w:sz w:val="15"/>
          <w:szCs w:val="15"/>
          <w:color w:val="7B7C80"/>
        </w:rPr>
      </w:pPr>
    </w:p>
    <w:p>
      <w:pPr>
        <w:ind w:left="448" w:right="20" w:hanging="448"/>
        <w:spacing w:after="0" w:line="247" w:lineRule="auto"/>
        <w:tabs>
          <w:tab w:leader="none" w:pos="448" w:val="left"/>
        </w:tabs>
        <w:numPr>
          <w:ilvl w:val="0"/>
          <w:numId w:val="28"/>
        </w:numPr>
        <w:rPr>
          <w:rFonts w:ascii="Arial" w:cs="Arial" w:eastAsia="Arial" w:hAnsi="Arial"/>
          <w:sz w:val="15"/>
          <w:szCs w:val="15"/>
          <w:color w:val="7B7C80"/>
        </w:rPr>
      </w:pPr>
      <w:r>
        <w:rPr>
          <w:rFonts w:ascii="Arial" w:cs="Arial" w:eastAsia="Arial" w:hAnsi="Arial"/>
          <w:sz w:val="15"/>
          <w:szCs w:val="15"/>
          <w:color w:val="7B7C80"/>
        </w:rPr>
        <w:t>A competitive review of compensation opportunities for each of the Named Executive Officers compared to the pay opportunities of similarly situated executives at the Peer Group companies (see below);</w:t>
      </w:r>
    </w:p>
    <w:p>
      <w:pPr>
        <w:spacing w:after="0" w:line="160" w:lineRule="exact"/>
        <w:rPr>
          <w:rFonts w:ascii="Arial" w:cs="Arial" w:eastAsia="Arial" w:hAnsi="Arial"/>
          <w:sz w:val="15"/>
          <w:szCs w:val="15"/>
          <w:color w:val="7B7C80"/>
        </w:rPr>
      </w:pPr>
    </w:p>
    <w:p>
      <w:pPr>
        <w:ind w:left="448" w:hanging="448"/>
        <w:spacing w:after="0"/>
        <w:tabs>
          <w:tab w:leader="none" w:pos="448" w:val="left"/>
        </w:tabs>
        <w:numPr>
          <w:ilvl w:val="0"/>
          <w:numId w:val="28"/>
        </w:numPr>
        <w:rPr>
          <w:rFonts w:ascii="Arial" w:cs="Arial" w:eastAsia="Arial" w:hAnsi="Arial"/>
          <w:sz w:val="15"/>
          <w:szCs w:val="15"/>
          <w:color w:val="7B7C80"/>
        </w:rPr>
      </w:pPr>
      <w:r>
        <w:rPr>
          <w:rFonts w:ascii="Arial" w:cs="Arial" w:eastAsia="Arial" w:hAnsi="Arial"/>
          <w:sz w:val="15"/>
          <w:szCs w:val="15"/>
          <w:color w:val="7B7C80"/>
        </w:rPr>
        <w:t>An analysis to ensure that total share dilution and the economic costs of long term incentives are reasonable and affordable for the Company; and</w:t>
      </w:r>
    </w:p>
    <w:p>
      <w:pPr>
        <w:spacing w:after="0" w:line="171" w:lineRule="exact"/>
        <w:rPr>
          <w:rFonts w:ascii="Arial" w:cs="Arial" w:eastAsia="Arial" w:hAnsi="Arial"/>
          <w:sz w:val="15"/>
          <w:szCs w:val="15"/>
          <w:color w:val="7B7C80"/>
        </w:rPr>
      </w:pPr>
    </w:p>
    <w:p>
      <w:pPr>
        <w:jc w:val="both"/>
        <w:ind w:left="448" w:hanging="448"/>
        <w:spacing w:after="0" w:line="243" w:lineRule="auto"/>
        <w:tabs>
          <w:tab w:leader="none" w:pos="448" w:val="left"/>
        </w:tabs>
        <w:numPr>
          <w:ilvl w:val="0"/>
          <w:numId w:val="28"/>
        </w:numPr>
        <w:rPr>
          <w:rFonts w:ascii="Arial" w:cs="Arial" w:eastAsia="Arial" w:hAnsi="Arial"/>
          <w:sz w:val="15"/>
          <w:szCs w:val="15"/>
          <w:color w:val="7B7C80"/>
        </w:rPr>
      </w:pPr>
      <w:r>
        <w:rPr>
          <w:rFonts w:ascii="Arial" w:cs="Arial" w:eastAsia="Arial" w:hAnsi="Arial"/>
          <w:sz w:val="15"/>
          <w:szCs w:val="15"/>
          <w:color w:val="7B7C80"/>
        </w:rPr>
        <w:t>A review of Executive compensation plans against potential risks. FW Cook conducted a review of the Company's Executive compensation plans in 2017, and determined that the Company's Executive compensation programs are well designed, support the Company's business strategy, and do not provide incentives to Executives to take inappropriate risks.</w:t>
      </w:r>
    </w:p>
    <w:p>
      <w:pPr>
        <w:spacing w:after="0" w:line="175"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compensation consultant:</w:t>
      </w:r>
    </w:p>
    <w:p>
      <w:pPr>
        <w:spacing w:after="0" w:line="194" w:lineRule="exact"/>
        <w:rPr>
          <w:sz w:val="20"/>
          <w:szCs w:val="20"/>
          <w:color w:val="auto"/>
        </w:rPr>
      </w:pPr>
    </w:p>
    <w:p>
      <w:pPr>
        <w:ind w:left="448" w:hanging="448"/>
        <w:spacing w:after="0"/>
        <w:tabs>
          <w:tab w:leader="none" w:pos="448" w:val="left"/>
        </w:tabs>
        <w:numPr>
          <w:ilvl w:val="0"/>
          <w:numId w:val="29"/>
        </w:numPr>
        <w:rPr>
          <w:rFonts w:ascii="Arial" w:cs="Arial" w:eastAsia="Arial" w:hAnsi="Arial"/>
          <w:sz w:val="15"/>
          <w:szCs w:val="15"/>
          <w:color w:val="7B7C80"/>
        </w:rPr>
      </w:pPr>
      <w:r>
        <w:rPr>
          <w:rFonts w:ascii="Arial" w:cs="Arial" w:eastAsia="Arial" w:hAnsi="Arial"/>
          <w:sz w:val="15"/>
          <w:szCs w:val="15"/>
          <w:color w:val="7B7C80"/>
        </w:rPr>
        <w:t>Attended three meetings of the Committee in 2017, as requested by the Committee Chair; and</w:t>
      </w:r>
    </w:p>
    <w:p>
      <w:pPr>
        <w:spacing w:after="0" w:line="171" w:lineRule="exact"/>
        <w:rPr>
          <w:rFonts w:ascii="Arial" w:cs="Arial" w:eastAsia="Arial" w:hAnsi="Arial"/>
          <w:sz w:val="15"/>
          <w:szCs w:val="15"/>
          <w:color w:val="7B7C80"/>
        </w:rPr>
      </w:pPr>
    </w:p>
    <w:p>
      <w:pPr>
        <w:ind w:left="8" w:right="1900" w:hanging="8"/>
        <w:spacing w:after="0" w:line="494" w:lineRule="auto"/>
        <w:tabs>
          <w:tab w:leader="none" w:pos="467" w:val="left"/>
        </w:tabs>
        <w:numPr>
          <w:ilvl w:val="0"/>
          <w:numId w:val="29"/>
        </w:numPr>
        <w:rPr>
          <w:rFonts w:ascii="Arial" w:cs="Arial" w:eastAsia="Arial" w:hAnsi="Arial"/>
          <w:sz w:val="15"/>
          <w:szCs w:val="15"/>
          <w:color w:val="7B7C80"/>
        </w:rPr>
      </w:pPr>
      <w:r>
        <w:rPr>
          <w:rFonts w:ascii="Arial" w:cs="Arial" w:eastAsia="Arial" w:hAnsi="Arial"/>
          <w:sz w:val="15"/>
          <w:szCs w:val="15"/>
          <w:color w:val="7B7C80"/>
        </w:rPr>
        <w:t xml:space="preserve">Reviewed and commented on drafts of the Compensation Discussion &amp; Analysis and related compensation tables for the proxy statement. </w:t>
      </w:r>
      <w:r>
        <w:rPr>
          <w:rFonts w:ascii="Arial" w:cs="Arial" w:eastAsia="Arial" w:hAnsi="Arial"/>
          <w:sz w:val="15"/>
          <w:szCs w:val="15"/>
          <w:color w:val="009CCC"/>
        </w:rPr>
        <w:t>Use of Compensation Data</w:t>
      </w:r>
    </w:p>
    <w:p>
      <w:pPr>
        <w:jc w:val="both"/>
        <w:ind w:left="8"/>
        <w:spacing w:after="0"/>
        <w:rPr>
          <w:sz w:val="20"/>
          <w:szCs w:val="20"/>
          <w:color w:val="auto"/>
        </w:rPr>
      </w:pPr>
      <w:r>
        <w:rPr>
          <w:rFonts w:ascii="Arial" w:cs="Arial" w:eastAsia="Arial" w:hAnsi="Arial"/>
          <w:sz w:val="15"/>
          <w:szCs w:val="15"/>
          <w:color w:val="7B7C80"/>
        </w:rPr>
        <w:t>The Committee reviews the Peer Group of companies it uses to compare Executive compensation as part of the compensation consultant's biennial study. The compensation consultant recommends an appropriate Peer Group of public, similarly sized, diversified financial services, insurance and asset management companies, taking into account the Company's and the competitors' strategy, mix of business and size, as measured primarily by annual revenues, market capitalization and total assets. These companies are the major competitors in one or more of the Company's businesses, but none represent the exact business mix of the Company. Principal targets compensation for the Named Executive Officers at the median of the compensation of the named executive officers at the Peer Group companies. The companies in the Peer Group for decisions on 2017 target compensation opportunities were:</w:t>
      </w:r>
    </w:p>
    <w:p>
      <w:pPr>
        <w:spacing w:after="0" w:line="157" w:lineRule="exact"/>
        <w:rPr>
          <w:sz w:val="20"/>
          <w:szCs w:val="20"/>
          <w:color w:val="auto"/>
        </w:rPr>
      </w:pPr>
    </w:p>
    <w:tbl>
      <w:tblPr>
        <w:tblLayout w:type="fixed"/>
        <w:tblInd w:w="8" w:type="dxa"/>
        <w:tblCellMar>
          <w:top w:w="0" w:type="dxa"/>
          <w:left w:w="0" w:type="dxa"/>
          <w:bottom w:w="0" w:type="dxa"/>
          <w:right w:w="0" w:type="dxa"/>
        </w:tblCellMar>
      </w:tblPr>
      <w:tr>
        <w:trPr>
          <w:trHeight w:val="175"/>
        </w:trPr>
        <w:tc>
          <w:tcPr>
            <w:tcW w:w="360" w:type="dxa"/>
            <w:vAlign w:val="bottom"/>
            <w:tcBorders>
              <w:top w:val="single" w:sz="8" w:color="009CCC"/>
            </w:tcBorders>
          </w:tcPr>
          <w:p>
            <w:pPr>
              <w:ind w:left="260"/>
              <w:spacing w:after="0"/>
              <w:rPr>
                <w:sz w:val="20"/>
                <w:szCs w:val="20"/>
                <w:color w:val="auto"/>
              </w:rPr>
            </w:pPr>
            <w:r>
              <w:rPr>
                <w:rFonts w:ascii="Arial" w:cs="Arial" w:eastAsia="Arial" w:hAnsi="Arial"/>
                <w:sz w:val="15"/>
                <w:szCs w:val="15"/>
                <w:color w:val="7B7C80"/>
              </w:rPr>
              <w:t>•</w:t>
            </w:r>
          </w:p>
        </w:tc>
        <w:tc>
          <w:tcPr>
            <w:tcW w:w="2760" w:type="dxa"/>
            <w:vAlign w:val="bottom"/>
            <w:tcBorders>
              <w:top w:val="single" w:sz="8" w:color="009CCC"/>
            </w:tcBorders>
          </w:tcPr>
          <w:p>
            <w:pPr>
              <w:ind w:left="40"/>
              <w:spacing w:after="0"/>
              <w:rPr>
                <w:sz w:val="20"/>
                <w:szCs w:val="20"/>
                <w:color w:val="auto"/>
              </w:rPr>
            </w:pPr>
            <w:r>
              <w:rPr>
                <w:rFonts w:ascii="Arial" w:cs="Arial" w:eastAsia="Arial" w:hAnsi="Arial"/>
                <w:sz w:val="15"/>
                <w:szCs w:val="15"/>
                <w:color w:val="7B7C80"/>
              </w:rPr>
              <w:t>Affiliated Managers Group</w:t>
            </w:r>
          </w:p>
        </w:tc>
        <w:tc>
          <w:tcPr>
            <w:tcW w:w="1100" w:type="dxa"/>
            <w:vAlign w:val="bottom"/>
            <w:tcBorders>
              <w:top w:val="single" w:sz="8" w:color="009CCC"/>
            </w:tcBorders>
          </w:tcPr>
          <w:p>
            <w:pPr>
              <w:ind w:left="1000"/>
              <w:spacing w:after="0"/>
              <w:rPr>
                <w:sz w:val="20"/>
                <w:szCs w:val="20"/>
                <w:color w:val="auto"/>
              </w:rPr>
            </w:pPr>
            <w:r>
              <w:rPr>
                <w:rFonts w:ascii="Arial" w:cs="Arial" w:eastAsia="Arial" w:hAnsi="Arial"/>
                <w:sz w:val="15"/>
                <w:szCs w:val="15"/>
                <w:color w:val="7B7C80"/>
              </w:rPr>
              <w:t>•</w:t>
            </w:r>
          </w:p>
        </w:tc>
        <w:tc>
          <w:tcPr>
            <w:tcW w:w="2420" w:type="dxa"/>
            <w:vAlign w:val="bottom"/>
            <w:tcBorders>
              <w:top w:val="single" w:sz="8" w:color="009CCC"/>
            </w:tcBorders>
          </w:tcPr>
          <w:p>
            <w:pPr>
              <w:ind w:left="40"/>
              <w:spacing w:after="0"/>
              <w:rPr>
                <w:sz w:val="20"/>
                <w:szCs w:val="20"/>
                <w:color w:val="auto"/>
              </w:rPr>
            </w:pPr>
            <w:r>
              <w:rPr>
                <w:rFonts w:ascii="Arial" w:cs="Arial" w:eastAsia="Arial" w:hAnsi="Arial"/>
                <w:sz w:val="15"/>
                <w:szCs w:val="15"/>
                <w:color w:val="7B7C80"/>
              </w:rPr>
              <w:t>Invesco</w:t>
            </w:r>
          </w:p>
        </w:tc>
        <w:tc>
          <w:tcPr>
            <w:tcW w:w="1440" w:type="dxa"/>
            <w:vAlign w:val="bottom"/>
            <w:tcBorders>
              <w:top w:val="single" w:sz="8" w:color="009CCC"/>
            </w:tcBorders>
          </w:tcPr>
          <w:p>
            <w:pPr>
              <w:ind w:left="1340"/>
              <w:spacing w:after="0"/>
              <w:rPr>
                <w:sz w:val="20"/>
                <w:szCs w:val="20"/>
                <w:color w:val="auto"/>
              </w:rPr>
            </w:pPr>
            <w:r>
              <w:rPr>
                <w:rFonts w:ascii="Arial" w:cs="Arial" w:eastAsia="Arial" w:hAnsi="Arial"/>
                <w:sz w:val="15"/>
                <w:szCs w:val="15"/>
                <w:color w:val="7B7C80"/>
              </w:rPr>
              <w:t>•</w:t>
            </w:r>
          </w:p>
        </w:tc>
        <w:tc>
          <w:tcPr>
            <w:tcW w:w="3360" w:type="dxa"/>
            <w:vAlign w:val="bottom"/>
            <w:tcBorders>
              <w:top w:val="single" w:sz="8" w:color="009CCC"/>
            </w:tcBorders>
          </w:tcPr>
          <w:p>
            <w:pPr>
              <w:ind w:left="40"/>
              <w:spacing w:after="0"/>
              <w:rPr>
                <w:sz w:val="20"/>
                <w:szCs w:val="20"/>
                <w:color w:val="auto"/>
              </w:rPr>
            </w:pPr>
            <w:r>
              <w:rPr>
                <w:rFonts w:ascii="Arial" w:cs="Arial" w:eastAsia="Arial" w:hAnsi="Arial"/>
                <w:sz w:val="15"/>
                <w:szCs w:val="15"/>
                <w:color w:val="7B7C80"/>
              </w:rPr>
              <w:t>MetLife</w:t>
            </w:r>
          </w:p>
        </w:tc>
      </w:tr>
      <w:tr>
        <w:trPr>
          <w:trHeight w:val="172"/>
        </w:trPr>
        <w:tc>
          <w:tcPr>
            <w:tcW w:w="360" w:type="dxa"/>
            <w:vAlign w:val="bottom"/>
          </w:tcPr>
          <w:p>
            <w:pPr>
              <w:ind w:left="260"/>
              <w:spacing w:after="0"/>
              <w:rPr>
                <w:sz w:val="20"/>
                <w:szCs w:val="20"/>
                <w:color w:val="auto"/>
              </w:rPr>
            </w:pPr>
            <w:r>
              <w:rPr>
                <w:rFonts w:ascii="Arial" w:cs="Arial" w:eastAsia="Arial" w:hAnsi="Arial"/>
                <w:sz w:val="15"/>
                <w:szCs w:val="15"/>
                <w:color w:val="7B7C80"/>
              </w:rPr>
              <w:t>•</w:t>
            </w:r>
          </w:p>
        </w:tc>
        <w:tc>
          <w:tcPr>
            <w:tcW w:w="2760" w:type="dxa"/>
            <w:vAlign w:val="bottom"/>
          </w:tcPr>
          <w:p>
            <w:pPr>
              <w:ind w:left="40"/>
              <w:spacing w:after="0"/>
              <w:rPr>
                <w:sz w:val="20"/>
                <w:szCs w:val="20"/>
                <w:color w:val="auto"/>
              </w:rPr>
            </w:pPr>
            <w:r>
              <w:rPr>
                <w:rFonts w:ascii="Arial" w:cs="Arial" w:eastAsia="Arial" w:hAnsi="Arial"/>
                <w:sz w:val="15"/>
                <w:szCs w:val="15"/>
                <w:color w:val="7B7C80"/>
              </w:rPr>
              <w:t>Ameriprise Financial</w:t>
            </w:r>
          </w:p>
        </w:tc>
        <w:tc>
          <w:tcPr>
            <w:tcW w:w="1100" w:type="dxa"/>
            <w:vAlign w:val="bottom"/>
          </w:tcPr>
          <w:p>
            <w:pPr>
              <w:ind w:left="1000"/>
              <w:spacing w:after="0"/>
              <w:rPr>
                <w:sz w:val="20"/>
                <w:szCs w:val="20"/>
                <w:color w:val="auto"/>
              </w:rPr>
            </w:pPr>
            <w:r>
              <w:rPr>
                <w:rFonts w:ascii="Arial" w:cs="Arial" w:eastAsia="Arial" w:hAnsi="Arial"/>
                <w:sz w:val="15"/>
                <w:szCs w:val="15"/>
                <w:color w:val="7B7C80"/>
              </w:rPr>
              <w:t>•</w:t>
            </w:r>
          </w:p>
        </w:tc>
        <w:tc>
          <w:tcPr>
            <w:tcW w:w="2420" w:type="dxa"/>
            <w:vAlign w:val="bottom"/>
          </w:tcPr>
          <w:p>
            <w:pPr>
              <w:ind w:left="40"/>
              <w:spacing w:after="0"/>
              <w:rPr>
                <w:sz w:val="20"/>
                <w:szCs w:val="20"/>
                <w:color w:val="auto"/>
              </w:rPr>
            </w:pPr>
            <w:r>
              <w:rPr>
                <w:rFonts w:ascii="Arial" w:cs="Arial" w:eastAsia="Arial" w:hAnsi="Arial"/>
                <w:sz w:val="15"/>
                <w:szCs w:val="15"/>
                <w:color w:val="7B7C80"/>
              </w:rPr>
              <w:t>Legg Mason</w:t>
            </w:r>
          </w:p>
        </w:tc>
        <w:tc>
          <w:tcPr>
            <w:tcW w:w="1440" w:type="dxa"/>
            <w:vAlign w:val="bottom"/>
          </w:tcPr>
          <w:p>
            <w:pPr>
              <w:ind w:left="1340"/>
              <w:spacing w:after="0"/>
              <w:rPr>
                <w:sz w:val="20"/>
                <w:szCs w:val="20"/>
                <w:color w:val="auto"/>
              </w:rPr>
            </w:pPr>
            <w:r>
              <w:rPr>
                <w:rFonts w:ascii="Arial" w:cs="Arial" w:eastAsia="Arial" w:hAnsi="Arial"/>
                <w:sz w:val="15"/>
                <w:szCs w:val="15"/>
                <w:color w:val="7B7C80"/>
              </w:rPr>
              <w:t>•</w:t>
            </w:r>
          </w:p>
        </w:tc>
        <w:tc>
          <w:tcPr>
            <w:tcW w:w="3360" w:type="dxa"/>
            <w:vAlign w:val="bottom"/>
          </w:tcPr>
          <w:p>
            <w:pPr>
              <w:ind w:left="40"/>
              <w:spacing w:after="0"/>
              <w:rPr>
                <w:sz w:val="20"/>
                <w:szCs w:val="20"/>
                <w:color w:val="auto"/>
              </w:rPr>
            </w:pPr>
            <w:r>
              <w:rPr>
                <w:rFonts w:ascii="Arial" w:cs="Arial" w:eastAsia="Arial" w:hAnsi="Arial"/>
                <w:sz w:val="15"/>
                <w:szCs w:val="15"/>
                <w:color w:val="7B7C80"/>
              </w:rPr>
              <w:t>Prudential Financial</w:t>
            </w:r>
          </w:p>
        </w:tc>
      </w:tr>
      <w:tr>
        <w:trPr>
          <w:trHeight w:val="172"/>
        </w:trPr>
        <w:tc>
          <w:tcPr>
            <w:tcW w:w="360" w:type="dxa"/>
            <w:vAlign w:val="bottom"/>
          </w:tcPr>
          <w:p>
            <w:pPr>
              <w:ind w:left="260"/>
              <w:spacing w:after="0"/>
              <w:rPr>
                <w:sz w:val="20"/>
                <w:szCs w:val="20"/>
                <w:color w:val="auto"/>
              </w:rPr>
            </w:pPr>
            <w:r>
              <w:rPr>
                <w:rFonts w:ascii="Arial" w:cs="Arial" w:eastAsia="Arial" w:hAnsi="Arial"/>
                <w:sz w:val="15"/>
                <w:szCs w:val="15"/>
                <w:color w:val="7B7C80"/>
              </w:rPr>
              <w:t>•</w:t>
            </w:r>
          </w:p>
        </w:tc>
        <w:tc>
          <w:tcPr>
            <w:tcW w:w="2760" w:type="dxa"/>
            <w:vAlign w:val="bottom"/>
          </w:tcPr>
          <w:p>
            <w:pPr>
              <w:ind w:left="40"/>
              <w:spacing w:after="0"/>
              <w:rPr>
                <w:sz w:val="20"/>
                <w:szCs w:val="20"/>
                <w:color w:val="auto"/>
              </w:rPr>
            </w:pPr>
            <w:r>
              <w:rPr>
                <w:rFonts w:ascii="Arial" w:cs="Arial" w:eastAsia="Arial" w:hAnsi="Arial"/>
                <w:sz w:val="15"/>
                <w:szCs w:val="15"/>
                <w:color w:val="7B7C80"/>
              </w:rPr>
              <w:t>Eaton Vance</w:t>
            </w:r>
          </w:p>
        </w:tc>
        <w:tc>
          <w:tcPr>
            <w:tcW w:w="1100" w:type="dxa"/>
            <w:vAlign w:val="bottom"/>
          </w:tcPr>
          <w:p>
            <w:pPr>
              <w:ind w:left="1000"/>
              <w:spacing w:after="0"/>
              <w:rPr>
                <w:sz w:val="20"/>
                <w:szCs w:val="20"/>
                <w:color w:val="auto"/>
              </w:rPr>
            </w:pPr>
            <w:r>
              <w:rPr>
                <w:rFonts w:ascii="Arial" w:cs="Arial" w:eastAsia="Arial" w:hAnsi="Arial"/>
                <w:sz w:val="15"/>
                <w:szCs w:val="15"/>
                <w:color w:val="7B7C80"/>
              </w:rPr>
              <w:t>•</w:t>
            </w:r>
          </w:p>
        </w:tc>
        <w:tc>
          <w:tcPr>
            <w:tcW w:w="2420" w:type="dxa"/>
            <w:vAlign w:val="bottom"/>
          </w:tcPr>
          <w:p>
            <w:pPr>
              <w:ind w:left="40"/>
              <w:spacing w:after="0"/>
              <w:rPr>
                <w:sz w:val="20"/>
                <w:szCs w:val="20"/>
                <w:color w:val="auto"/>
              </w:rPr>
            </w:pPr>
            <w:r>
              <w:rPr>
                <w:rFonts w:ascii="Arial" w:cs="Arial" w:eastAsia="Arial" w:hAnsi="Arial"/>
                <w:sz w:val="15"/>
                <w:szCs w:val="15"/>
                <w:color w:val="7B7C80"/>
              </w:rPr>
              <w:t>Lincoln National</w:t>
            </w:r>
          </w:p>
        </w:tc>
        <w:tc>
          <w:tcPr>
            <w:tcW w:w="1440" w:type="dxa"/>
            <w:vAlign w:val="bottom"/>
          </w:tcPr>
          <w:p>
            <w:pPr>
              <w:ind w:left="1340"/>
              <w:spacing w:after="0"/>
              <w:rPr>
                <w:sz w:val="20"/>
                <w:szCs w:val="20"/>
                <w:color w:val="auto"/>
              </w:rPr>
            </w:pPr>
            <w:r>
              <w:rPr>
                <w:rFonts w:ascii="Arial" w:cs="Arial" w:eastAsia="Arial" w:hAnsi="Arial"/>
                <w:sz w:val="15"/>
                <w:szCs w:val="15"/>
                <w:color w:val="7B7C80"/>
              </w:rPr>
              <w:t>•</w:t>
            </w:r>
          </w:p>
        </w:tc>
        <w:tc>
          <w:tcPr>
            <w:tcW w:w="3360" w:type="dxa"/>
            <w:vAlign w:val="bottom"/>
          </w:tcPr>
          <w:p>
            <w:pPr>
              <w:ind w:left="40"/>
              <w:spacing w:after="0"/>
              <w:rPr>
                <w:sz w:val="20"/>
                <w:szCs w:val="20"/>
                <w:color w:val="auto"/>
              </w:rPr>
            </w:pPr>
            <w:r>
              <w:rPr>
                <w:rFonts w:ascii="Arial" w:cs="Arial" w:eastAsia="Arial" w:hAnsi="Arial"/>
                <w:sz w:val="15"/>
                <w:szCs w:val="15"/>
                <w:color w:val="7B7C80"/>
              </w:rPr>
              <w:t>Sun Life Financial</w:t>
            </w:r>
          </w:p>
        </w:tc>
      </w:tr>
      <w:tr>
        <w:trPr>
          <w:trHeight w:val="172"/>
        </w:trPr>
        <w:tc>
          <w:tcPr>
            <w:tcW w:w="360" w:type="dxa"/>
            <w:vAlign w:val="bottom"/>
          </w:tcPr>
          <w:p>
            <w:pPr>
              <w:ind w:left="260"/>
              <w:spacing w:after="0"/>
              <w:rPr>
                <w:sz w:val="20"/>
                <w:szCs w:val="20"/>
                <w:color w:val="auto"/>
              </w:rPr>
            </w:pPr>
            <w:r>
              <w:rPr>
                <w:rFonts w:ascii="Arial" w:cs="Arial" w:eastAsia="Arial" w:hAnsi="Arial"/>
                <w:sz w:val="15"/>
                <w:szCs w:val="15"/>
                <w:color w:val="7B7C80"/>
              </w:rPr>
              <w:t>•</w:t>
            </w:r>
          </w:p>
        </w:tc>
        <w:tc>
          <w:tcPr>
            <w:tcW w:w="2760" w:type="dxa"/>
            <w:vAlign w:val="bottom"/>
          </w:tcPr>
          <w:p>
            <w:pPr>
              <w:ind w:left="40"/>
              <w:spacing w:after="0"/>
              <w:rPr>
                <w:sz w:val="20"/>
                <w:szCs w:val="20"/>
                <w:color w:val="auto"/>
              </w:rPr>
            </w:pPr>
            <w:r>
              <w:rPr>
                <w:rFonts w:ascii="Arial" w:cs="Arial" w:eastAsia="Arial" w:hAnsi="Arial"/>
                <w:sz w:val="15"/>
                <w:szCs w:val="15"/>
                <w:color w:val="7B7C80"/>
              </w:rPr>
              <w:t>Franklin Resources</w:t>
            </w:r>
          </w:p>
        </w:tc>
        <w:tc>
          <w:tcPr>
            <w:tcW w:w="1100" w:type="dxa"/>
            <w:vAlign w:val="bottom"/>
          </w:tcPr>
          <w:p>
            <w:pPr>
              <w:ind w:left="1000"/>
              <w:spacing w:after="0"/>
              <w:rPr>
                <w:sz w:val="20"/>
                <w:szCs w:val="20"/>
                <w:color w:val="auto"/>
              </w:rPr>
            </w:pPr>
            <w:r>
              <w:rPr>
                <w:rFonts w:ascii="Arial" w:cs="Arial" w:eastAsia="Arial" w:hAnsi="Arial"/>
                <w:sz w:val="15"/>
                <w:szCs w:val="15"/>
                <w:color w:val="7B7C80"/>
              </w:rPr>
              <w:t>•</w:t>
            </w:r>
          </w:p>
        </w:tc>
        <w:tc>
          <w:tcPr>
            <w:tcW w:w="2420" w:type="dxa"/>
            <w:vAlign w:val="bottom"/>
          </w:tcPr>
          <w:p>
            <w:pPr>
              <w:ind w:left="40"/>
              <w:spacing w:after="0"/>
              <w:rPr>
                <w:sz w:val="20"/>
                <w:szCs w:val="20"/>
                <w:color w:val="auto"/>
              </w:rPr>
            </w:pPr>
            <w:r>
              <w:rPr>
                <w:rFonts w:ascii="Arial" w:cs="Arial" w:eastAsia="Arial" w:hAnsi="Arial"/>
                <w:sz w:val="15"/>
                <w:szCs w:val="15"/>
                <w:color w:val="7B7C80"/>
              </w:rPr>
              <w:t>ManuLife</w:t>
            </w:r>
          </w:p>
        </w:tc>
        <w:tc>
          <w:tcPr>
            <w:tcW w:w="1440" w:type="dxa"/>
            <w:vAlign w:val="bottom"/>
          </w:tcPr>
          <w:p>
            <w:pPr>
              <w:ind w:left="1340"/>
              <w:spacing w:after="0"/>
              <w:rPr>
                <w:sz w:val="20"/>
                <w:szCs w:val="20"/>
                <w:color w:val="auto"/>
              </w:rPr>
            </w:pPr>
            <w:r>
              <w:rPr>
                <w:rFonts w:ascii="Arial" w:cs="Arial" w:eastAsia="Arial" w:hAnsi="Arial"/>
                <w:sz w:val="15"/>
                <w:szCs w:val="15"/>
                <w:color w:val="7B7C80"/>
              </w:rPr>
              <w:t>•</w:t>
            </w:r>
          </w:p>
        </w:tc>
        <w:tc>
          <w:tcPr>
            <w:tcW w:w="3360" w:type="dxa"/>
            <w:vAlign w:val="bottom"/>
          </w:tcPr>
          <w:p>
            <w:pPr>
              <w:ind w:left="40"/>
              <w:spacing w:after="0"/>
              <w:rPr>
                <w:sz w:val="20"/>
                <w:szCs w:val="20"/>
                <w:color w:val="auto"/>
              </w:rPr>
            </w:pPr>
            <w:r>
              <w:rPr>
                <w:rFonts w:ascii="Arial" w:cs="Arial" w:eastAsia="Arial" w:hAnsi="Arial"/>
                <w:sz w:val="15"/>
                <w:szCs w:val="15"/>
                <w:color w:val="7B7C80"/>
              </w:rPr>
              <w:t>T. Rowe Price</w:t>
            </w:r>
          </w:p>
        </w:tc>
      </w:tr>
      <w:tr>
        <w:trPr>
          <w:trHeight w:val="184"/>
        </w:trPr>
        <w:tc>
          <w:tcPr>
            <w:tcW w:w="360" w:type="dxa"/>
            <w:vAlign w:val="bottom"/>
            <w:tcBorders>
              <w:bottom w:val="single" w:sz="8" w:color="009CCC"/>
            </w:tcBorders>
          </w:tcPr>
          <w:p>
            <w:pPr>
              <w:spacing w:after="0"/>
              <w:rPr>
                <w:sz w:val="15"/>
                <w:szCs w:val="15"/>
                <w:color w:val="auto"/>
              </w:rPr>
            </w:pPr>
          </w:p>
        </w:tc>
        <w:tc>
          <w:tcPr>
            <w:tcW w:w="2760" w:type="dxa"/>
            <w:vAlign w:val="bottom"/>
            <w:tcBorders>
              <w:bottom w:val="single" w:sz="8" w:color="009CCC"/>
            </w:tcBorders>
          </w:tcPr>
          <w:p>
            <w:pPr>
              <w:spacing w:after="0"/>
              <w:rPr>
                <w:sz w:val="15"/>
                <w:szCs w:val="15"/>
                <w:color w:val="auto"/>
              </w:rPr>
            </w:pPr>
          </w:p>
        </w:tc>
        <w:tc>
          <w:tcPr>
            <w:tcW w:w="1100" w:type="dxa"/>
            <w:vAlign w:val="bottom"/>
            <w:tcBorders>
              <w:bottom w:val="single" w:sz="8" w:color="009CCC"/>
            </w:tcBorders>
          </w:tcPr>
          <w:p>
            <w:pPr>
              <w:spacing w:after="0"/>
              <w:rPr>
                <w:sz w:val="15"/>
                <w:szCs w:val="15"/>
                <w:color w:val="auto"/>
              </w:rPr>
            </w:pPr>
          </w:p>
        </w:tc>
        <w:tc>
          <w:tcPr>
            <w:tcW w:w="2420" w:type="dxa"/>
            <w:vAlign w:val="bottom"/>
            <w:tcBorders>
              <w:bottom w:val="single" w:sz="8" w:color="009CCC"/>
            </w:tcBorders>
          </w:tcPr>
          <w:p>
            <w:pPr>
              <w:spacing w:after="0"/>
              <w:rPr>
                <w:sz w:val="15"/>
                <w:szCs w:val="15"/>
                <w:color w:val="auto"/>
              </w:rPr>
            </w:pPr>
          </w:p>
        </w:tc>
        <w:tc>
          <w:tcPr>
            <w:tcW w:w="1440" w:type="dxa"/>
            <w:vAlign w:val="bottom"/>
            <w:tcBorders>
              <w:bottom w:val="single" w:sz="8" w:color="009CCC"/>
            </w:tcBorders>
          </w:tcPr>
          <w:p>
            <w:pPr>
              <w:ind w:left="1340"/>
              <w:spacing w:after="0"/>
              <w:rPr>
                <w:sz w:val="20"/>
                <w:szCs w:val="20"/>
                <w:color w:val="auto"/>
              </w:rPr>
            </w:pPr>
            <w:r>
              <w:rPr>
                <w:rFonts w:ascii="Arial" w:cs="Arial" w:eastAsia="Arial" w:hAnsi="Arial"/>
                <w:sz w:val="15"/>
                <w:szCs w:val="15"/>
                <w:color w:val="7B7C80"/>
              </w:rPr>
              <w:t>•</w:t>
            </w:r>
          </w:p>
        </w:tc>
        <w:tc>
          <w:tcPr>
            <w:tcW w:w="3360" w:type="dxa"/>
            <w:vAlign w:val="bottom"/>
            <w:tcBorders>
              <w:bottom w:val="single" w:sz="8" w:color="009CCC"/>
            </w:tcBorders>
          </w:tcPr>
          <w:p>
            <w:pPr>
              <w:ind w:left="40"/>
              <w:spacing w:after="0"/>
              <w:rPr>
                <w:sz w:val="20"/>
                <w:szCs w:val="20"/>
                <w:color w:val="auto"/>
              </w:rPr>
            </w:pPr>
            <w:r>
              <w:rPr>
                <w:rFonts w:ascii="Arial" w:cs="Arial" w:eastAsia="Arial" w:hAnsi="Arial"/>
                <w:sz w:val="15"/>
                <w:szCs w:val="15"/>
                <w:color w:val="7B7C80"/>
              </w:rPr>
              <w:t>Voya Financial</w:t>
            </w:r>
          </w:p>
        </w:tc>
      </w:tr>
      <w:tr>
        <w:trPr>
          <w:trHeight w:val="502"/>
        </w:trPr>
        <w:tc>
          <w:tcPr>
            <w:tcW w:w="360" w:type="dxa"/>
            <w:vAlign w:val="bottom"/>
          </w:tcPr>
          <w:p>
            <w:pPr>
              <w:spacing w:after="0"/>
              <w:rPr>
                <w:sz w:val="20"/>
                <w:szCs w:val="20"/>
                <w:color w:val="auto"/>
              </w:rPr>
            </w:pPr>
            <w:r>
              <w:rPr>
                <w:rFonts w:ascii="Arial" w:cs="Arial" w:eastAsia="Arial" w:hAnsi="Arial"/>
                <w:sz w:val="15"/>
                <w:szCs w:val="15"/>
                <w:color w:val="009CCC"/>
              </w:rPr>
              <w:t>30</w:t>
            </w:r>
          </w:p>
        </w:tc>
        <w:tc>
          <w:tcPr>
            <w:tcW w:w="2760" w:type="dxa"/>
            <w:vAlign w:val="bottom"/>
          </w:tcPr>
          <w:p>
            <w:pPr>
              <w:ind w:left="120"/>
              <w:spacing w:after="0"/>
              <w:rPr>
                <w:sz w:val="20"/>
                <w:szCs w:val="20"/>
                <w:color w:val="auto"/>
              </w:rPr>
            </w:pPr>
            <w:r>
              <w:rPr>
                <w:rFonts w:ascii="Arial" w:cs="Arial" w:eastAsia="Arial" w:hAnsi="Arial"/>
                <w:sz w:val="15"/>
                <w:szCs w:val="15"/>
                <w:color w:val="7B7C80"/>
              </w:rPr>
              <w:t>2018 Proxy Statement</w:t>
            </w:r>
          </w:p>
        </w:tc>
        <w:tc>
          <w:tcPr>
            <w:tcW w:w="1100" w:type="dxa"/>
            <w:vAlign w:val="bottom"/>
          </w:tcPr>
          <w:p>
            <w:pPr>
              <w:spacing w:after="0"/>
              <w:rPr>
                <w:sz w:val="24"/>
                <w:szCs w:val="24"/>
                <w:color w:val="auto"/>
              </w:rPr>
            </w:pPr>
          </w:p>
        </w:tc>
        <w:tc>
          <w:tcPr>
            <w:tcW w:w="24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3360" w:type="dxa"/>
            <w:vAlign w:val="bottom"/>
          </w:tcPr>
          <w:p>
            <w:pPr>
              <w:spacing w:after="0"/>
              <w:rPr>
                <w:sz w:val="24"/>
                <w:szCs w:val="24"/>
                <w:color w:val="auto"/>
              </w:rPr>
            </w:pPr>
          </w:p>
        </w:tc>
      </w:tr>
      <w:tr>
        <w:trPr>
          <w:trHeight w:val="318"/>
        </w:trPr>
        <w:tc>
          <w:tcPr>
            <w:tcW w:w="360" w:type="dxa"/>
            <w:vAlign w:val="bottom"/>
            <w:tcBorders>
              <w:bottom w:val="single" w:sz="8" w:color="808080"/>
            </w:tcBorders>
          </w:tcPr>
          <w:p>
            <w:pPr>
              <w:spacing w:after="0"/>
              <w:rPr>
                <w:sz w:val="24"/>
                <w:szCs w:val="24"/>
                <w:color w:val="auto"/>
              </w:rPr>
            </w:pPr>
          </w:p>
        </w:tc>
        <w:tc>
          <w:tcPr>
            <w:tcW w:w="2760" w:type="dxa"/>
            <w:vAlign w:val="bottom"/>
            <w:tcBorders>
              <w:bottom w:val="single" w:sz="8" w:color="808080"/>
            </w:tcBorders>
          </w:tcPr>
          <w:p>
            <w:pPr>
              <w:spacing w:after="0"/>
              <w:rPr>
                <w:sz w:val="24"/>
                <w:szCs w:val="24"/>
                <w:color w:val="auto"/>
              </w:rPr>
            </w:pPr>
          </w:p>
        </w:tc>
        <w:tc>
          <w:tcPr>
            <w:tcW w:w="1100" w:type="dxa"/>
            <w:vAlign w:val="bottom"/>
            <w:tcBorders>
              <w:bottom w:val="single" w:sz="8" w:color="808080"/>
            </w:tcBorders>
          </w:tcPr>
          <w:p>
            <w:pPr>
              <w:spacing w:after="0"/>
              <w:rPr>
                <w:sz w:val="24"/>
                <w:szCs w:val="24"/>
                <w:color w:val="auto"/>
              </w:rPr>
            </w:pPr>
          </w:p>
        </w:tc>
        <w:tc>
          <w:tcPr>
            <w:tcW w:w="2420" w:type="dxa"/>
            <w:vAlign w:val="bottom"/>
            <w:tcBorders>
              <w:bottom w:val="single" w:sz="8" w:color="808080"/>
            </w:tcBorders>
          </w:tcPr>
          <w:p>
            <w:pPr>
              <w:spacing w:after="0"/>
              <w:rPr>
                <w:sz w:val="24"/>
                <w:szCs w:val="24"/>
                <w:color w:val="auto"/>
              </w:rPr>
            </w:pPr>
          </w:p>
        </w:tc>
        <w:tc>
          <w:tcPr>
            <w:tcW w:w="1440" w:type="dxa"/>
            <w:vAlign w:val="bottom"/>
            <w:tcBorders>
              <w:bottom w:val="single" w:sz="8" w:color="808080"/>
            </w:tcBorders>
          </w:tcPr>
          <w:p>
            <w:pPr>
              <w:spacing w:after="0"/>
              <w:rPr>
                <w:sz w:val="24"/>
                <w:szCs w:val="24"/>
                <w:color w:val="auto"/>
              </w:rPr>
            </w:pPr>
          </w:p>
        </w:tc>
        <w:tc>
          <w:tcPr>
            <w:tcW w:w="336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3201035</wp:posOffset>
            </wp:positionH>
            <wp:positionV relativeFrom="paragraph">
              <wp:posOffset>-416560</wp:posOffset>
            </wp:positionV>
            <wp:extent cx="960120" cy="2838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33" w:name="page34"/>
    <w:bookmarkEnd w:id="33"/>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2" w:lineRule="exact"/>
        <w:rPr>
          <w:sz w:val="20"/>
          <w:szCs w:val="20"/>
          <w:color w:val="auto"/>
        </w:rPr>
      </w:pPr>
    </w:p>
    <w:p>
      <w:pPr>
        <w:jc w:val="both"/>
        <w:ind w:left="8"/>
        <w:spacing w:after="0" w:line="220" w:lineRule="auto"/>
        <w:rPr>
          <w:sz w:val="20"/>
          <w:szCs w:val="20"/>
          <w:color w:val="auto"/>
        </w:rPr>
      </w:pPr>
      <w:r>
        <w:rPr>
          <w:rFonts w:ascii="Arial" w:cs="Arial" w:eastAsia="Arial" w:hAnsi="Arial"/>
          <w:sz w:val="15"/>
          <w:szCs w:val="15"/>
          <w:color w:val="7B7C80"/>
        </w:rPr>
        <w:t>The Committee also uses annual data from third party industry surveys for its compensation decisions.</w:t>
      </w:r>
      <w:r>
        <w:rPr>
          <w:rFonts w:ascii="Arial" w:cs="Arial" w:eastAsia="Arial" w:hAnsi="Arial"/>
          <w:sz w:val="24"/>
          <w:szCs w:val="24"/>
          <w:color w:val="7B7C80"/>
          <w:vertAlign w:val="superscript"/>
        </w:rPr>
        <w:t>(4)</w:t>
      </w:r>
      <w:r>
        <w:rPr>
          <w:rFonts w:ascii="Arial" w:cs="Arial" w:eastAsia="Arial" w:hAnsi="Arial"/>
          <w:sz w:val="15"/>
          <w:szCs w:val="15"/>
          <w:color w:val="7B7C80"/>
        </w:rPr>
        <w:t xml:space="preserve"> Every two to three years, the Company's non cash benefit programs are compared with those of more than 100 diversified financial services companies. This is a larger group than the Peer Group because the information is used for our broad based employee benefit programs. Benefit programs are also compared against those of local employers in Des Moines, Iowa as the Company has a significant employee population there.</w:t>
      </w:r>
    </w:p>
    <w:p>
      <w:pPr>
        <w:spacing w:after="0" w:line="178" w:lineRule="exact"/>
        <w:rPr>
          <w:sz w:val="20"/>
          <w:szCs w:val="20"/>
          <w:color w:val="auto"/>
        </w:rPr>
      </w:pPr>
    </w:p>
    <w:p>
      <w:pPr>
        <w:jc w:val="both"/>
        <w:ind w:left="8"/>
        <w:spacing w:after="0" w:line="247" w:lineRule="auto"/>
        <w:rPr>
          <w:sz w:val="20"/>
          <w:szCs w:val="20"/>
          <w:color w:val="auto"/>
        </w:rPr>
      </w:pPr>
      <w:r>
        <w:rPr>
          <w:rFonts w:ascii="Arial" w:cs="Arial" w:eastAsia="Arial" w:hAnsi="Arial"/>
          <w:sz w:val="15"/>
          <w:szCs w:val="15"/>
          <w:color w:val="7B7C80"/>
        </w:rPr>
        <w:t>Each year, the Committee reviews the total compensation paid to the Executives by reviewing tally sheets, which include base salaries, annual and long term incentive awards earned, deferred compensation, outstanding equity awards, benefits, perquisites, and potential payments under various termination scenarios.</w:t>
      </w:r>
    </w:p>
    <w:p>
      <w:pPr>
        <w:spacing w:after="0" w:line="172" w:lineRule="exact"/>
        <w:rPr>
          <w:sz w:val="20"/>
          <w:szCs w:val="20"/>
          <w:color w:val="auto"/>
        </w:rPr>
      </w:pPr>
    </w:p>
    <w:p>
      <w:pPr>
        <w:jc w:val="both"/>
        <w:ind w:left="8" w:right="20"/>
        <w:spacing w:after="0" w:line="247" w:lineRule="auto"/>
        <w:rPr>
          <w:sz w:val="20"/>
          <w:szCs w:val="20"/>
          <w:color w:val="auto"/>
        </w:rPr>
      </w:pPr>
      <w:r>
        <w:rPr>
          <w:rFonts w:ascii="Arial" w:cs="Arial" w:eastAsia="Arial" w:hAnsi="Arial"/>
          <w:sz w:val="15"/>
          <w:szCs w:val="15"/>
          <w:color w:val="7B7C80"/>
        </w:rPr>
        <w:t>The Committee uses this information to analyze the value of compensation actually delivered versus the compensation opportunities established by the Committee, and it is also used in making compensation and compensation plan design decisions.</w:t>
      </w:r>
    </w:p>
    <w:p>
      <w:pPr>
        <w:spacing w:after="0" w:line="154"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2017 Executive Compensation Decisions</w:t>
      </w:r>
    </w:p>
    <w:p>
      <w:pPr>
        <w:spacing w:after="0" w:line="201"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Committee made compensation decisions for the Named Executive Officers based on:</w:t>
      </w:r>
    </w:p>
    <w:p>
      <w:pPr>
        <w:spacing w:after="0" w:line="183" w:lineRule="exact"/>
        <w:rPr>
          <w:sz w:val="20"/>
          <w:szCs w:val="20"/>
          <w:color w:val="auto"/>
        </w:rPr>
      </w:pPr>
    </w:p>
    <w:p>
      <w:pPr>
        <w:ind w:left="448" w:hanging="448"/>
        <w:spacing w:after="0"/>
        <w:tabs>
          <w:tab w:leader="none" w:pos="448"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The Company's strategic and human resources objectives;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Competitive data for the Peer Group and for a broader group of diversified financial services companies (see Appendix A for a complete list of these companies);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Corporate and individual performance on key initiatives;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Economic conditions;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The CEO's compensation recommendations for other Executives;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Advice of the Committee's consultant; and</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30"/>
        </w:numPr>
        <w:rPr>
          <w:rFonts w:ascii="Arial" w:cs="Arial" w:eastAsia="Arial" w:hAnsi="Arial"/>
          <w:sz w:val="15"/>
          <w:szCs w:val="15"/>
          <w:color w:val="7B7C80"/>
        </w:rPr>
      </w:pPr>
      <w:r>
        <w:rPr>
          <w:rFonts w:ascii="Arial" w:cs="Arial" w:eastAsia="Arial" w:hAnsi="Arial"/>
          <w:sz w:val="15"/>
          <w:szCs w:val="15"/>
          <w:color w:val="7B7C80"/>
        </w:rPr>
        <w:t>How the elements of compensation contribute to and interrelate to total compensation.</w:t>
      </w:r>
    </w:p>
    <w:p>
      <w:pPr>
        <w:spacing w:after="0" w:line="183" w:lineRule="exact"/>
        <w:rPr>
          <w:sz w:val="20"/>
          <w:szCs w:val="20"/>
          <w:color w:val="auto"/>
        </w:rPr>
      </w:pPr>
    </w:p>
    <w:p>
      <w:pPr>
        <w:jc w:val="both"/>
        <w:ind w:left="8"/>
        <w:spacing w:after="0" w:line="239" w:lineRule="auto"/>
        <w:rPr>
          <w:sz w:val="20"/>
          <w:szCs w:val="20"/>
          <w:color w:val="auto"/>
        </w:rPr>
      </w:pPr>
      <w:r>
        <w:rPr>
          <w:rFonts w:ascii="Arial" w:cs="Arial" w:eastAsia="Arial" w:hAnsi="Arial"/>
          <w:sz w:val="15"/>
          <w:szCs w:val="15"/>
          <w:color w:val="7B7C80"/>
        </w:rPr>
        <w:t>The Committee also considers the tax and accounting consequences of each element of compensation. For taxable years though 2017, the Committee has tried to maximize the tax deductibility to Principal of compensation under available exceptions to the application of Section 162(m) of the Internal Revenue Code ("Tax Code"), while simultaneously providing competitive compensation that enhanced our business objectives. This Tax Code section limits Principal from deducting annual compensation exceeding $1 million for our CEO and other persons who either are or beginning in 2018, were required to be named in our public company disclosure for any year after 2016 ("Covered Employees"). For taxable years prior to 2018, there was an exception to this 162(m) limitation for performance based compensation meeting certain criteria, but this exception has generally been repealed for taxable years after 2017 (subject to certain limited grandfathering of compensation payable pursuant to binding written agreements outstanding on November 2, 2017). The Committee will consider the impact of this change in the applicable federal income tax laws as it makes and implements decisions regarding compensation that will be payable after 2017. Tax deductibility affects the net cost of the compensation payable by Principal to Covered Employees, and is one factor to be considered in designing competitive and effective compensation programs. Other factors, such as the need to provide our senior executives compensation that is competitive with that payable in the marketplace, that retains their services and that provides appropriate incentives to achieve our business plans and objectives, may cause the Committee to continue to provide compensation opportunities that are generally consistent with those previously provided, despite the probability that at least some of the compensation payable to some or all of the Covered Employees will not be tax deductible after 2017.</w:t>
      </w:r>
    </w:p>
    <w:p>
      <w:pPr>
        <w:spacing w:after="0" w:line="184" w:lineRule="exact"/>
        <w:rPr>
          <w:sz w:val="20"/>
          <w:szCs w:val="20"/>
          <w:color w:val="auto"/>
        </w:rPr>
      </w:pPr>
    </w:p>
    <w:p>
      <w:pPr>
        <w:jc w:val="both"/>
        <w:ind w:left="8"/>
        <w:spacing w:after="0" w:line="247" w:lineRule="auto"/>
        <w:rPr>
          <w:sz w:val="20"/>
          <w:szCs w:val="20"/>
          <w:color w:val="auto"/>
        </w:rPr>
      </w:pPr>
      <w:r>
        <w:rPr>
          <w:rFonts w:ascii="Arial" w:cs="Arial" w:eastAsia="Arial" w:hAnsi="Arial"/>
          <w:sz w:val="15"/>
          <w:szCs w:val="15"/>
          <w:color w:val="7B7C80"/>
        </w:rPr>
        <w:t>For 2017, Messrs. Houston, McCaughan and Valdés and Ms. Everett were Covered Employees. The chart below shows the 2017 target total compensation for our Named Executive Officers as well as the proportion of their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260350</wp:posOffset>
            </wp:positionV>
            <wp:extent cx="1760220" cy="698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1760220" cy="6985"/>
                    </a:xfrm>
                    <a:prstGeom prst="rect">
                      <a:avLst/>
                    </a:prstGeom>
                    <a:noFill/>
                  </pic:spPr>
                </pic:pic>
              </a:graphicData>
            </a:graphic>
          </wp:anchor>
        </w:drawing>
      </w:r>
    </w:p>
    <w:p>
      <w:pPr>
        <w:spacing w:after="0" w:line="200" w:lineRule="exact"/>
        <w:rPr>
          <w:sz w:val="20"/>
          <w:szCs w:val="20"/>
          <w:color w:val="auto"/>
        </w:rPr>
      </w:pPr>
    </w:p>
    <w:p>
      <w:pPr>
        <w:spacing w:after="0" w:line="389" w:lineRule="exact"/>
        <w:rPr>
          <w:sz w:val="20"/>
          <w:szCs w:val="20"/>
          <w:color w:val="auto"/>
        </w:rPr>
      </w:pPr>
    </w:p>
    <w:p>
      <w:pPr>
        <w:ind w:left="448" w:hanging="448"/>
        <w:spacing w:after="0" w:line="253" w:lineRule="auto"/>
        <w:tabs>
          <w:tab w:leader="none" w:pos="448" w:val="left"/>
        </w:tabs>
        <w:numPr>
          <w:ilvl w:val="0"/>
          <w:numId w:val="31"/>
        </w:numPr>
        <w:rPr>
          <w:rFonts w:ascii="Arial" w:cs="Arial" w:eastAsia="Arial" w:hAnsi="Arial"/>
          <w:sz w:val="12"/>
          <w:szCs w:val="12"/>
          <w:color w:val="7B7C80"/>
        </w:rPr>
      </w:pPr>
      <w:r>
        <w:rPr>
          <w:rFonts w:ascii="Arial" w:cs="Arial" w:eastAsia="Arial" w:hAnsi="Arial"/>
          <w:sz w:val="12"/>
          <w:szCs w:val="12"/>
          <w:color w:val="7B7C80"/>
        </w:rPr>
        <w:t>The surveys used were the McLagan Investment Management survey, Towers Watson U.S. Financial Services Studies Executive Database and the Towers Watson Diversified Insurance Study of Executive Compensation. The names of the companies participating in these surveys are included in Appendix 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103505</wp:posOffset>
            </wp:positionV>
            <wp:extent cx="960120" cy="28384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3"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31</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34" w:name="page35"/>
    <w:bookmarkEnd w:id="34"/>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7B7C80"/>
        </w:rPr>
        <w:t>compensation tied to Company performance. Most compensation paid to our Named Executive Officers is variable and at risk as reflected in the chart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1185545</wp:posOffset>
            </wp:positionH>
            <wp:positionV relativeFrom="paragraph">
              <wp:posOffset>114300</wp:posOffset>
            </wp:positionV>
            <wp:extent cx="4895850" cy="288798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4895850" cy="28879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448" w:hanging="448"/>
        <w:spacing w:after="0"/>
        <w:tabs>
          <w:tab w:leader="none" w:pos="448" w:val="left"/>
        </w:tabs>
        <w:numPr>
          <w:ilvl w:val="0"/>
          <w:numId w:val="32"/>
        </w:numPr>
        <w:rPr>
          <w:rFonts w:ascii="Arial" w:cs="Arial" w:eastAsia="Arial" w:hAnsi="Arial"/>
          <w:sz w:val="12"/>
          <w:szCs w:val="12"/>
          <w:color w:val="7B7C80"/>
        </w:rPr>
      </w:pPr>
      <w:r>
        <w:rPr>
          <w:rFonts w:ascii="Arial" w:cs="Arial" w:eastAsia="Arial" w:hAnsi="Arial"/>
          <w:sz w:val="12"/>
          <w:szCs w:val="12"/>
          <w:color w:val="7B7C80"/>
        </w:rPr>
        <w:t>Lillis' data is based on annualized base salary.</w:t>
      </w:r>
    </w:p>
    <w:p>
      <w:pPr>
        <w:spacing w:after="0" w:line="163"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Base Salary</w:t>
      </w:r>
    </w:p>
    <w:p>
      <w:pPr>
        <w:spacing w:after="0" w:line="201" w:lineRule="exact"/>
        <w:rPr>
          <w:sz w:val="20"/>
          <w:szCs w:val="20"/>
          <w:color w:val="auto"/>
        </w:rPr>
      </w:pPr>
    </w:p>
    <w:p>
      <w:pPr>
        <w:jc w:val="both"/>
        <w:ind w:left="8"/>
        <w:spacing w:after="0" w:line="260" w:lineRule="auto"/>
        <w:rPr>
          <w:sz w:val="20"/>
          <w:szCs w:val="20"/>
          <w:color w:val="auto"/>
        </w:rPr>
      </w:pPr>
      <w:r>
        <w:rPr>
          <w:rFonts w:ascii="Arial" w:cs="Arial" w:eastAsia="Arial" w:hAnsi="Arial"/>
          <w:sz w:val="15"/>
          <w:szCs w:val="15"/>
          <w:color w:val="7B7C80"/>
        </w:rPr>
        <w:t>When determining base salary for each Executive, the Committee considers the Peer Group median for comparable executive positions as well as the survey data referenced above, the Executive's performance and work experience, the importance of the position to the Company and how difficult it would be to replace the Executive. The table below provides the historical base salaries</w:t>
      </w:r>
      <w:r>
        <w:rPr>
          <w:rFonts w:ascii="Arial" w:cs="Arial" w:eastAsia="Arial" w:hAnsi="Arial"/>
          <w:sz w:val="24"/>
          <w:szCs w:val="24"/>
          <w:color w:val="7B7C80"/>
          <w:vertAlign w:val="superscript"/>
        </w:rPr>
        <w:t>(1)</w:t>
      </w:r>
      <w:r>
        <w:rPr>
          <w:rFonts w:ascii="Arial" w:cs="Arial" w:eastAsia="Arial" w:hAnsi="Arial"/>
          <w:sz w:val="15"/>
          <w:szCs w:val="15"/>
          <w:color w:val="7B7C80"/>
        </w:rPr>
        <w:t xml:space="preserve"> of the Named Executive Officers.</w:t>
      </w:r>
    </w:p>
    <w:p>
      <w:pPr>
        <w:spacing w:after="0" w:line="38" w:lineRule="exact"/>
        <w:rPr>
          <w:sz w:val="20"/>
          <w:szCs w:val="20"/>
          <w:color w:val="auto"/>
        </w:rPr>
      </w:pPr>
    </w:p>
    <w:tbl>
      <w:tblPr>
        <w:tblLayout w:type="fixed"/>
        <w:tblInd w:w="1368" w:type="dxa"/>
        <w:tblCellMar>
          <w:top w:w="0" w:type="dxa"/>
          <w:left w:w="0" w:type="dxa"/>
          <w:bottom w:w="0" w:type="dxa"/>
          <w:right w:w="0" w:type="dxa"/>
        </w:tblCellMar>
      </w:tblPr>
      <w:tr>
        <w:trPr>
          <w:trHeight w:val="139"/>
        </w:trPr>
        <w:tc>
          <w:tcPr>
            <w:tcW w:w="3300" w:type="dxa"/>
            <w:vAlign w:val="bottom"/>
            <w:tcBorders>
              <w:top w:val="single" w:sz="8" w:color="009CCC"/>
            </w:tcBorders>
          </w:tcPr>
          <w:p>
            <w:pPr>
              <w:spacing w:after="0"/>
              <w:rPr>
                <w:sz w:val="12"/>
                <w:szCs w:val="12"/>
                <w:color w:val="auto"/>
              </w:rPr>
            </w:pPr>
          </w:p>
        </w:tc>
        <w:tc>
          <w:tcPr>
            <w:tcW w:w="2540" w:type="dxa"/>
            <w:vAlign w:val="bottom"/>
            <w:tcBorders>
              <w:top w:val="single" w:sz="8" w:color="009CCC"/>
            </w:tcBorders>
          </w:tcPr>
          <w:p>
            <w:pPr>
              <w:spacing w:after="0"/>
              <w:rPr>
                <w:sz w:val="12"/>
                <w:szCs w:val="12"/>
                <w:color w:val="auto"/>
              </w:rPr>
            </w:pPr>
          </w:p>
        </w:tc>
        <w:tc>
          <w:tcPr>
            <w:tcW w:w="820" w:type="dxa"/>
            <w:vAlign w:val="bottom"/>
            <w:tcBorders>
              <w:top w:val="single" w:sz="8" w:color="009CCC"/>
            </w:tcBorders>
          </w:tcPr>
          <w:p>
            <w:pPr>
              <w:spacing w:after="0"/>
              <w:rPr>
                <w:sz w:val="12"/>
                <w:szCs w:val="12"/>
                <w:color w:val="auto"/>
              </w:rPr>
            </w:pPr>
          </w:p>
        </w:tc>
        <w:tc>
          <w:tcPr>
            <w:tcW w:w="800" w:type="dxa"/>
            <w:vAlign w:val="bottom"/>
            <w:tcBorders>
              <w:top w:val="single" w:sz="8" w:color="009CCC"/>
            </w:tcBorders>
          </w:tcPr>
          <w:p>
            <w:pPr>
              <w:spacing w:after="0"/>
              <w:rPr>
                <w:sz w:val="12"/>
                <w:szCs w:val="12"/>
                <w:color w:val="auto"/>
              </w:rPr>
            </w:pPr>
          </w:p>
        </w:tc>
        <w:tc>
          <w:tcPr>
            <w:tcW w:w="1120" w:type="dxa"/>
            <w:vAlign w:val="bottom"/>
            <w:tcBorders>
              <w:top w:val="single" w:sz="8" w:color="009CCC"/>
            </w:tcBorders>
          </w:tcPr>
          <w:p>
            <w:pPr>
              <w:jc w:val="right"/>
              <w:spacing w:after="0"/>
              <w:rPr>
                <w:sz w:val="20"/>
                <w:szCs w:val="20"/>
                <w:color w:val="auto"/>
              </w:rPr>
            </w:pPr>
            <w:r>
              <w:rPr>
                <w:rFonts w:ascii="Arial" w:cs="Arial" w:eastAsia="Arial" w:hAnsi="Arial"/>
                <w:sz w:val="12"/>
                <w:szCs w:val="12"/>
                <w:b w:val="1"/>
                <w:bCs w:val="1"/>
                <w:color w:val="009CCC"/>
              </w:rPr>
              <w:t>Percent Increase</w:t>
            </w:r>
          </w:p>
        </w:tc>
      </w:tr>
      <w:tr>
        <w:trPr>
          <w:trHeight w:val="147"/>
        </w:trPr>
        <w:tc>
          <w:tcPr>
            <w:tcW w:w="3300" w:type="dxa"/>
            <w:vAlign w:val="bottom"/>
            <w:tcBorders>
              <w:bottom w:val="single" w:sz="8" w:color="7B7C80"/>
            </w:tcBorders>
          </w:tcPr>
          <w:p>
            <w:pPr>
              <w:ind w:left="60"/>
              <w:spacing w:after="0"/>
              <w:rPr>
                <w:sz w:val="20"/>
                <w:szCs w:val="20"/>
                <w:color w:val="auto"/>
              </w:rPr>
            </w:pPr>
            <w:r>
              <w:rPr>
                <w:rFonts w:ascii="Arial" w:cs="Arial" w:eastAsia="Arial" w:hAnsi="Arial"/>
                <w:sz w:val="12"/>
                <w:szCs w:val="12"/>
                <w:b w:val="1"/>
                <w:bCs w:val="1"/>
                <w:color w:val="009CCC"/>
              </w:rPr>
              <w:t>Named Executive Officer</w:t>
            </w:r>
          </w:p>
        </w:tc>
        <w:tc>
          <w:tcPr>
            <w:tcW w:w="2540" w:type="dxa"/>
            <w:vAlign w:val="bottom"/>
            <w:tcBorders>
              <w:bottom w:val="single" w:sz="8" w:color="7B7C80"/>
            </w:tcBorders>
          </w:tcPr>
          <w:p>
            <w:pPr>
              <w:jc w:val="center"/>
              <w:ind w:left="1648"/>
              <w:spacing w:after="0"/>
              <w:rPr>
                <w:sz w:val="20"/>
                <w:szCs w:val="20"/>
                <w:color w:val="auto"/>
              </w:rPr>
            </w:pPr>
            <w:r>
              <w:rPr>
                <w:rFonts w:ascii="Arial" w:cs="Arial" w:eastAsia="Arial" w:hAnsi="Arial"/>
                <w:sz w:val="12"/>
                <w:szCs w:val="12"/>
                <w:b w:val="1"/>
                <w:bCs w:val="1"/>
                <w:color w:val="009CCC"/>
                <w:w w:val="97"/>
              </w:rPr>
              <w:t>2015</w:t>
            </w:r>
          </w:p>
        </w:tc>
        <w:tc>
          <w:tcPr>
            <w:tcW w:w="820" w:type="dxa"/>
            <w:vAlign w:val="bottom"/>
            <w:tcBorders>
              <w:bottom w:val="single" w:sz="8" w:color="7B7C80"/>
            </w:tcBorders>
          </w:tcPr>
          <w:p>
            <w:pPr>
              <w:jc w:val="center"/>
              <w:spacing w:after="0"/>
              <w:rPr>
                <w:sz w:val="20"/>
                <w:szCs w:val="20"/>
                <w:color w:val="auto"/>
              </w:rPr>
            </w:pPr>
            <w:r>
              <w:rPr>
                <w:rFonts w:ascii="Arial" w:cs="Arial" w:eastAsia="Arial" w:hAnsi="Arial"/>
                <w:sz w:val="12"/>
                <w:szCs w:val="12"/>
                <w:b w:val="1"/>
                <w:bCs w:val="1"/>
                <w:color w:val="009CCC"/>
              </w:rPr>
              <w:t>2016</w:t>
            </w:r>
          </w:p>
        </w:tc>
        <w:tc>
          <w:tcPr>
            <w:tcW w:w="800" w:type="dxa"/>
            <w:vAlign w:val="bottom"/>
            <w:tcBorders>
              <w:bottom w:val="single" w:sz="8" w:color="7B7C80"/>
            </w:tcBorders>
          </w:tcPr>
          <w:p>
            <w:pPr>
              <w:jc w:val="center"/>
              <w:spacing w:after="0"/>
              <w:rPr>
                <w:sz w:val="20"/>
                <w:szCs w:val="20"/>
                <w:color w:val="auto"/>
              </w:rPr>
            </w:pPr>
            <w:r>
              <w:rPr>
                <w:rFonts w:ascii="Arial" w:cs="Arial" w:eastAsia="Arial" w:hAnsi="Arial"/>
                <w:sz w:val="12"/>
                <w:szCs w:val="12"/>
                <w:b w:val="1"/>
                <w:bCs w:val="1"/>
                <w:color w:val="009CCC"/>
              </w:rPr>
              <w:t>2017</w:t>
            </w:r>
          </w:p>
        </w:tc>
        <w:tc>
          <w:tcPr>
            <w:tcW w:w="112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2016 to 2017</w:t>
            </w:r>
          </w:p>
        </w:tc>
      </w:tr>
      <w:tr>
        <w:trPr>
          <w:trHeight w:val="163"/>
        </w:trPr>
        <w:tc>
          <w:tcPr>
            <w:tcW w:w="3300" w:type="dxa"/>
            <w:vAlign w:val="bottom"/>
            <w:tcBorders>
              <w:bottom w:val="single" w:sz="8" w:color="7B7C80"/>
            </w:tcBorders>
            <w:shd w:val="clear" w:color="auto" w:fill="E7E6E7"/>
          </w:tcPr>
          <w:p>
            <w:pPr>
              <w:ind w:left="60"/>
              <w:spacing w:after="0" w:line="164" w:lineRule="exact"/>
              <w:rPr>
                <w:sz w:val="20"/>
                <w:szCs w:val="20"/>
                <w:color w:val="auto"/>
              </w:rPr>
            </w:pPr>
            <w:r>
              <w:rPr>
                <w:rFonts w:ascii="Arial" w:cs="Arial" w:eastAsia="Arial" w:hAnsi="Arial"/>
                <w:sz w:val="15"/>
                <w:szCs w:val="15"/>
                <w:color w:val="7B7C80"/>
              </w:rPr>
              <w:t>Houston</w:t>
            </w:r>
          </w:p>
        </w:tc>
        <w:tc>
          <w:tcPr>
            <w:tcW w:w="2540" w:type="dxa"/>
            <w:vAlign w:val="bottom"/>
            <w:tcBorders>
              <w:bottom w:val="single" w:sz="8" w:color="7B7C80"/>
            </w:tcBorders>
            <w:shd w:val="clear" w:color="auto" w:fill="E7E6E7"/>
          </w:tcPr>
          <w:p>
            <w:pPr>
              <w:jc w:val="center"/>
              <w:ind w:left="1648"/>
              <w:spacing w:after="0" w:line="164" w:lineRule="exact"/>
              <w:rPr>
                <w:sz w:val="20"/>
                <w:szCs w:val="20"/>
                <w:color w:val="auto"/>
              </w:rPr>
            </w:pPr>
            <w:r>
              <w:rPr>
                <w:rFonts w:ascii="Arial" w:cs="Arial" w:eastAsia="Arial" w:hAnsi="Arial"/>
                <w:sz w:val="15"/>
                <w:szCs w:val="15"/>
                <w:color w:val="7B7C80"/>
                <w:w w:val="99"/>
              </w:rPr>
              <w:t>$775,000</w:t>
            </w:r>
          </w:p>
        </w:tc>
        <w:tc>
          <w:tcPr>
            <w:tcW w:w="820" w:type="dxa"/>
            <w:vAlign w:val="bottom"/>
            <w:tcBorders>
              <w:bottom w:val="single" w:sz="8" w:color="7B7C80"/>
            </w:tcBorders>
            <w:shd w:val="clear" w:color="auto" w:fill="E7E6E7"/>
          </w:tcPr>
          <w:p>
            <w:pPr>
              <w:jc w:val="center"/>
              <w:spacing w:after="0" w:line="164" w:lineRule="exact"/>
              <w:rPr>
                <w:sz w:val="20"/>
                <w:szCs w:val="20"/>
                <w:color w:val="auto"/>
              </w:rPr>
            </w:pPr>
            <w:r>
              <w:rPr>
                <w:rFonts w:ascii="Arial" w:cs="Arial" w:eastAsia="Arial" w:hAnsi="Arial"/>
                <w:sz w:val="15"/>
                <w:szCs w:val="15"/>
                <w:color w:val="7B7C80"/>
              </w:rPr>
              <w:t>$800,000</w:t>
            </w:r>
          </w:p>
        </w:tc>
        <w:tc>
          <w:tcPr>
            <w:tcW w:w="800" w:type="dxa"/>
            <w:vAlign w:val="bottom"/>
            <w:tcBorders>
              <w:bottom w:val="single" w:sz="8" w:color="7B7C80"/>
            </w:tcBorders>
            <w:shd w:val="clear" w:color="auto" w:fill="E7E6E7"/>
          </w:tcPr>
          <w:p>
            <w:pPr>
              <w:jc w:val="center"/>
              <w:spacing w:after="0" w:line="164" w:lineRule="exact"/>
              <w:rPr>
                <w:sz w:val="20"/>
                <w:szCs w:val="20"/>
                <w:color w:val="auto"/>
              </w:rPr>
            </w:pPr>
            <w:r>
              <w:rPr>
                <w:rFonts w:ascii="Arial" w:cs="Arial" w:eastAsia="Arial" w:hAnsi="Arial"/>
                <w:sz w:val="15"/>
                <w:szCs w:val="15"/>
                <w:color w:val="7B7C80"/>
              </w:rPr>
              <w:t>$900,000</w:t>
            </w:r>
          </w:p>
        </w:tc>
        <w:tc>
          <w:tcPr>
            <w:tcW w:w="11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12.5%</w:t>
            </w:r>
          </w:p>
        </w:tc>
      </w:tr>
      <w:tr>
        <w:trPr>
          <w:trHeight w:val="163"/>
        </w:trPr>
        <w:tc>
          <w:tcPr>
            <w:tcW w:w="3300" w:type="dxa"/>
            <w:vAlign w:val="bottom"/>
            <w:tcBorders>
              <w:bottom w:val="single" w:sz="8" w:color="7B7C80"/>
            </w:tcBorders>
          </w:tcPr>
          <w:p>
            <w:pPr>
              <w:ind w:left="60"/>
              <w:spacing w:after="0" w:line="164" w:lineRule="exact"/>
              <w:rPr>
                <w:sz w:val="20"/>
                <w:szCs w:val="20"/>
                <w:color w:val="auto"/>
              </w:rPr>
            </w:pPr>
            <w:r>
              <w:rPr>
                <w:rFonts w:ascii="Arial" w:cs="Arial" w:eastAsia="Arial" w:hAnsi="Arial"/>
                <w:sz w:val="15"/>
                <w:szCs w:val="15"/>
                <w:color w:val="7B7C80"/>
              </w:rPr>
              <w:t>Strable</w:t>
            </w:r>
          </w:p>
        </w:tc>
        <w:tc>
          <w:tcPr>
            <w:tcW w:w="2540" w:type="dxa"/>
            <w:vAlign w:val="bottom"/>
            <w:tcBorders>
              <w:bottom w:val="single" w:sz="8" w:color="7B7C80"/>
            </w:tcBorders>
          </w:tcPr>
          <w:p>
            <w:pPr>
              <w:spacing w:after="0"/>
              <w:rPr>
                <w:sz w:val="14"/>
                <w:szCs w:val="14"/>
                <w:color w:val="auto"/>
              </w:rPr>
            </w:pPr>
          </w:p>
        </w:tc>
        <w:tc>
          <w:tcPr>
            <w:tcW w:w="820" w:type="dxa"/>
            <w:vAlign w:val="bottom"/>
            <w:tcBorders>
              <w:bottom w:val="single" w:sz="8" w:color="7B7C80"/>
            </w:tcBorders>
          </w:tcPr>
          <w:p>
            <w:pPr>
              <w:jc w:val="center"/>
              <w:spacing w:after="0" w:line="164" w:lineRule="exact"/>
              <w:rPr>
                <w:sz w:val="20"/>
                <w:szCs w:val="20"/>
                <w:color w:val="auto"/>
              </w:rPr>
            </w:pPr>
            <w:r>
              <w:rPr>
                <w:rFonts w:ascii="Arial" w:cs="Arial" w:eastAsia="Arial" w:hAnsi="Arial"/>
                <w:sz w:val="15"/>
                <w:szCs w:val="15"/>
                <w:color w:val="7B7C80"/>
              </w:rPr>
              <w:t>$535,000</w:t>
            </w:r>
          </w:p>
        </w:tc>
        <w:tc>
          <w:tcPr>
            <w:tcW w:w="800" w:type="dxa"/>
            <w:vAlign w:val="bottom"/>
            <w:tcBorders>
              <w:bottom w:val="single" w:sz="8" w:color="7B7C80"/>
            </w:tcBorders>
          </w:tcPr>
          <w:p>
            <w:pPr>
              <w:jc w:val="center"/>
              <w:spacing w:after="0" w:line="164" w:lineRule="exact"/>
              <w:rPr>
                <w:sz w:val="20"/>
                <w:szCs w:val="20"/>
                <w:color w:val="auto"/>
              </w:rPr>
            </w:pPr>
            <w:r>
              <w:rPr>
                <w:rFonts w:ascii="Arial" w:cs="Arial" w:eastAsia="Arial" w:hAnsi="Arial"/>
                <w:sz w:val="15"/>
                <w:szCs w:val="15"/>
                <w:color w:val="7B7C80"/>
              </w:rPr>
              <w:t>$562,000</w:t>
            </w:r>
          </w:p>
        </w:tc>
        <w:tc>
          <w:tcPr>
            <w:tcW w:w="11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5.0%</w:t>
            </w:r>
          </w:p>
        </w:tc>
      </w:tr>
      <w:tr>
        <w:trPr>
          <w:trHeight w:val="163"/>
        </w:trPr>
        <w:tc>
          <w:tcPr>
            <w:tcW w:w="3300" w:type="dxa"/>
            <w:vAlign w:val="bottom"/>
            <w:tcBorders>
              <w:bottom w:val="single" w:sz="8" w:color="7B7C80"/>
            </w:tcBorders>
            <w:shd w:val="clear" w:color="auto" w:fill="E7E6E7"/>
          </w:tcPr>
          <w:p>
            <w:pPr>
              <w:ind w:left="60"/>
              <w:spacing w:after="0" w:line="164" w:lineRule="exact"/>
              <w:rPr>
                <w:sz w:val="20"/>
                <w:szCs w:val="20"/>
                <w:color w:val="auto"/>
              </w:rPr>
            </w:pPr>
            <w:r>
              <w:rPr>
                <w:rFonts w:ascii="Arial" w:cs="Arial" w:eastAsia="Arial" w:hAnsi="Arial"/>
                <w:sz w:val="15"/>
                <w:szCs w:val="15"/>
                <w:color w:val="7B7C80"/>
              </w:rPr>
              <w:t>Everett</w:t>
            </w:r>
          </w:p>
        </w:tc>
        <w:tc>
          <w:tcPr>
            <w:tcW w:w="2540" w:type="dxa"/>
            <w:vAlign w:val="bottom"/>
            <w:tcBorders>
              <w:bottom w:val="single" w:sz="8" w:color="7B7C80"/>
            </w:tcBorders>
            <w:shd w:val="clear" w:color="auto" w:fill="E7E6E7"/>
          </w:tcPr>
          <w:p>
            <w:pPr>
              <w:spacing w:after="0"/>
              <w:rPr>
                <w:sz w:val="14"/>
                <w:szCs w:val="14"/>
                <w:color w:val="auto"/>
              </w:rPr>
            </w:pPr>
          </w:p>
        </w:tc>
        <w:tc>
          <w:tcPr>
            <w:tcW w:w="820" w:type="dxa"/>
            <w:vAlign w:val="bottom"/>
            <w:tcBorders>
              <w:bottom w:val="single" w:sz="8" w:color="7B7C80"/>
            </w:tcBorders>
            <w:shd w:val="clear" w:color="auto" w:fill="E7E6E7"/>
          </w:tcPr>
          <w:p>
            <w:pPr>
              <w:spacing w:after="0"/>
              <w:rPr>
                <w:sz w:val="14"/>
                <w:szCs w:val="14"/>
                <w:color w:val="auto"/>
              </w:rPr>
            </w:pPr>
          </w:p>
        </w:tc>
        <w:tc>
          <w:tcPr>
            <w:tcW w:w="800" w:type="dxa"/>
            <w:vAlign w:val="bottom"/>
            <w:tcBorders>
              <w:bottom w:val="single" w:sz="8" w:color="7B7C80"/>
            </w:tcBorders>
            <w:shd w:val="clear" w:color="auto" w:fill="E7E6E7"/>
          </w:tcPr>
          <w:p>
            <w:pPr>
              <w:jc w:val="center"/>
              <w:spacing w:after="0" w:line="164" w:lineRule="exact"/>
              <w:rPr>
                <w:sz w:val="20"/>
                <w:szCs w:val="20"/>
                <w:color w:val="auto"/>
              </w:rPr>
            </w:pPr>
            <w:r>
              <w:rPr>
                <w:rFonts w:ascii="Arial" w:cs="Arial" w:eastAsia="Arial" w:hAnsi="Arial"/>
                <w:sz w:val="15"/>
                <w:szCs w:val="15"/>
                <w:color w:val="7B7C80"/>
              </w:rPr>
              <w:t>$529,500</w:t>
            </w:r>
          </w:p>
        </w:tc>
        <w:tc>
          <w:tcPr>
            <w:tcW w:w="11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12.5%</w:t>
            </w:r>
          </w:p>
        </w:tc>
      </w:tr>
      <w:tr>
        <w:trPr>
          <w:trHeight w:val="163"/>
        </w:trPr>
        <w:tc>
          <w:tcPr>
            <w:tcW w:w="3300" w:type="dxa"/>
            <w:vAlign w:val="bottom"/>
            <w:tcBorders>
              <w:bottom w:val="single" w:sz="8" w:color="7B7C80"/>
            </w:tcBorders>
          </w:tcPr>
          <w:p>
            <w:pPr>
              <w:ind w:left="60"/>
              <w:spacing w:after="0" w:line="164" w:lineRule="exact"/>
              <w:rPr>
                <w:sz w:val="20"/>
                <w:szCs w:val="20"/>
                <w:color w:val="auto"/>
              </w:rPr>
            </w:pPr>
            <w:r>
              <w:rPr>
                <w:rFonts w:ascii="Arial" w:cs="Arial" w:eastAsia="Arial" w:hAnsi="Arial"/>
                <w:sz w:val="15"/>
                <w:szCs w:val="15"/>
                <w:color w:val="7B7C80"/>
              </w:rPr>
              <w:t>Lillis</w:t>
            </w:r>
          </w:p>
        </w:tc>
        <w:tc>
          <w:tcPr>
            <w:tcW w:w="2540" w:type="dxa"/>
            <w:vAlign w:val="bottom"/>
            <w:tcBorders>
              <w:bottom w:val="single" w:sz="8" w:color="7B7C80"/>
            </w:tcBorders>
          </w:tcPr>
          <w:p>
            <w:pPr>
              <w:jc w:val="center"/>
              <w:ind w:left="1648"/>
              <w:spacing w:after="0" w:line="164" w:lineRule="exact"/>
              <w:rPr>
                <w:sz w:val="20"/>
                <w:szCs w:val="20"/>
                <w:color w:val="auto"/>
              </w:rPr>
            </w:pPr>
            <w:r>
              <w:rPr>
                <w:rFonts w:ascii="Arial" w:cs="Arial" w:eastAsia="Arial" w:hAnsi="Arial"/>
                <w:sz w:val="15"/>
                <w:szCs w:val="15"/>
                <w:color w:val="7B7C80"/>
                <w:w w:val="99"/>
              </w:rPr>
              <w:t>$551,000</w:t>
            </w:r>
          </w:p>
        </w:tc>
        <w:tc>
          <w:tcPr>
            <w:tcW w:w="820" w:type="dxa"/>
            <w:vAlign w:val="bottom"/>
            <w:tcBorders>
              <w:bottom w:val="single" w:sz="8" w:color="7B7C80"/>
            </w:tcBorders>
          </w:tcPr>
          <w:p>
            <w:pPr>
              <w:jc w:val="center"/>
              <w:spacing w:after="0" w:line="164" w:lineRule="exact"/>
              <w:rPr>
                <w:sz w:val="20"/>
                <w:szCs w:val="20"/>
                <w:color w:val="auto"/>
              </w:rPr>
            </w:pPr>
            <w:r>
              <w:rPr>
                <w:rFonts w:ascii="Arial" w:cs="Arial" w:eastAsia="Arial" w:hAnsi="Arial"/>
                <w:sz w:val="15"/>
                <w:szCs w:val="15"/>
                <w:color w:val="7B7C80"/>
              </w:rPr>
              <w:t>$567,500</w:t>
            </w:r>
          </w:p>
        </w:tc>
        <w:tc>
          <w:tcPr>
            <w:tcW w:w="800" w:type="dxa"/>
            <w:vAlign w:val="bottom"/>
            <w:tcBorders>
              <w:bottom w:val="single" w:sz="8" w:color="7B7C80"/>
            </w:tcBorders>
          </w:tcPr>
          <w:p>
            <w:pPr>
              <w:jc w:val="center"/>
              <w:spacing w:after="0" w:line="164" w:lineRule="exact"/>
              <w:rPr>
                <w:sz w:val="20"/>
                <w:szCs w:val="20"/>
                <w:color w:val="auto"/>
              </w:rPr>
            </w:pPr>
            <w:r>
              <w:rPr>
                <w:rFonts w:ascii="Arial" w:cs="Arial" w:eastAsia="Arial" w:hAnsi="Arial"/>
                <w:sz w:val="15"/>
                <w:szCs w:val="15"/>
                <w:color w:val="7B7C80"/>
              </w:rPr>
              <w:t>$567,500</w:t>
            </w:r>
          </w:p>
        </w:tc>
        <w:tc>
          <w:tcPr>
            <w:tcW w:w="11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0%</w:t>
            </w:r>
          </w:p>
        </w:tc>
      </w:tr>
      <w:tr>
        <w:trPr>
          <w:trHeight w:val="163"/>
        </w:trPr>
        <w:tc>
          <w:tcPr>
            <w:tcW w:w="3300" w:type="dxa"/>
            <w:vAlign w:val="bottom"/>
            <w:tcBorders>
              <w:bottom w:val="single" w:sz="8" w:color="7B7C80"/>
            </w:tcBorders>
            <w:shd w:val="clear" w:color="auto" w:fill="E7E6E7"/>
          </w:tcPr>
          <w:p>
            <w:pPr>
              <w:ind w:left="60"/>
              <w:spacing w:after="0" w:line="164" w:lineRule="exact"/>
              <w:rPr>
                <w:sz w:val="20"/>
                <w:szCs w:val="20"/>
                <w:color w:val="auto"/>
              </w:rPr>
            </w:pPr>
            <w:r>
              <w:rPr>
                <w:rFonts w:ascii="Arial" w:cs="Arial" w:eastAsia="Arial" w:hAnsi="Arial"/>
                <w:sz w:val="15"/>
                <w:szCs w:val="15"/>
                <w:color w:val="7B7C80"/>
              </w:rPr>
              <w:t>McCaughan</w:t>
            </w:r>
          </w:p>
        </w:tc>
        <w:tc>
          <w:tcPr>
            <w:tcW w:w="2540" w:type="dxa"/>
            <w:vAlign w:val="bottom"/>
            <w:tcBorders>
              <w:bottom w:val="single" w:sz="8" w:color="7B7C80"/>
            </w:tcBorders>
            <w:shd w:val="clear" w:color="auto" w:fill="E7E6E7"/>
          </w:tcPr>
          <w:p>
            <w:pPr>
              <w:jc w:val="center"/>
              <w:ind w:left="1648"/>
              <w:spacing w:after="0" w:line="164" w:lineRule="exact"/>
              <w:rPr>
                <w:sz w:val="20"/>
                <w:szCs w:val="20"/>
                <w:color w:val="auto"/>
              </w:rPr>
            </w:pPr>
            <w:r>
              <w:rPr>
                <w:rFonts w:ascii="Arial" w:cs="Arial" w:eastAsia="Arial" w:hAnsi="Arial"/>
                <w:sz w:val="15"/>
                <w:szCs w:val="15"/>
                <w:color w:val="7B7C80"/>
                <w:w w:val="99"/>
              </w:rPr>
              <w:t>$653,000</w:t>
            </w:r>
          </w:p>
        </w:tc>
        <w:tc>
          <w:tcPr>
            <w:tcW w:w="820" w:type="dxa"/>
            <w:vAlign w:val="bottom"/>
            <w:tcBorders>
              <w:bottom w:val="single" w:sz="8" w:color="7B7C80"/>
            </w:tcBorders>
            <w:shd w:val="clear" w:color="auto" w:fill="E7E6E7"/>
          </w:tcPr>
          <w:p>
            <w:pPr>
              <w:jc w:val="center"/>
              <w:spacing w:after="0" w:line="164" w:lineRule="exact"/>
              <w:rPr>
                <w:sz w:val="20"/>
                <w:szCs w:val="20"/>
                <w:color w:val="auto"/>
              </w:rPr>
            </w:pPr>
            <w:r>
              <w:rPr>
                <w:rFonts w:ascii="Arial" w:cs="Arial" w:eastAsia="Arial" w:hAnsi="Arial"/>
                <w:sz w:val="15"/>
                <w:szCs w:val="15"/>
                <w:color w:val="7B7C80"/>
              </w:rPr>
              <w:t>$666,000</w:t>
            </w:r>
          </w:p>
        </w:tc>
        <w:tc>
          <w:tcPr>
            <w:tcW w:w="800" w:type="dxa"/>
            <w:vAlign w:val="bottom"/>
            <w:tcBorders>
              <w:bottom w:val="single" w:sz="8" w:color="7B7C80"/>
            </w:tcBorders>
            <w:shd w:val="clear" w:color="auto" w:fill="E7E6E7"/>
          </w:tcPr>
          <w:p>
            <w:pPr>
              <w:jc w:val="center"/>
              <w:spacing w:after="0" w:line="164" w:lineRule="exact"/>
              <w:rPr>
                <w:sz w:val="20"/>
                <w:szCs w:val="20"/>
                <w:color w:val="auto"/>
              </w:rPr>
            </w:pPr>
            <w:r>
              <w:rPr>
                <w:rFonts w:ascii="Arial" w:cs="Arial" w:eastAsia="Arial" w:hAnsi="Arial"/>
                <w:sz w:val="15"/>
                <w:szCs w:val="15"/>
                <w:color w:val="7B7C80"/>
              </w:rPr>
              <w:t>$679,500</w:t>
            </w:r>
          </w:p>
        </w:tc>
        <w:tc>
          <w:tcPr>
            <w:tcW w:w="11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2.0%</w:t>
            </w:r>
          </w:p>
        </w:tc>
      </w:tr>
      <w:tr>
        <w:trPr>
          <w:trHeight w:val="166"/>
        </w:trPr>
        <w:tc>
          <w:tcPr>
            <w:tcW w:w="3300" w:type="dxa"/>
            <w:vAlign w:val="bottom"/>
            <w:tcBorders>
              <w:bottom w:val="single" w:sz="8" w:color="009CCC"/>
            </w:tcBorders>
          </w:tcPr>
          <w:p>
            <w:pPr>
              <w:ind w:left="60"/>
              <w:spacing w:after="0" w:line="164" w:lineRule="exact"/>
              <w:rPr>
                <w:sz w:val="20"/>
                <w:szCs w:val="20"/>
                <w:color w:val="auto"/>
              </w:rPr>
            </w:pPr>
            <w:r>
              <w:rPr>
                <w:rFonts w:ascii="Arial" w:cs="Arial" w:eastAsia="Arial" w:hAnsi="Arial"/>
                <w:sz w:val="15"/>
                <w:szCs w:val="15"/>
                <w:color w:val="7B7C80"/>
              </w:rPr>
              <w:t>Valdés</w:t>
            </w:r>
          </w:p>
        </w:tc>
        <w:tc>
          <w:tcPr>
            <w:tcW w:w="2540" w:type="dxa"/>
            <w:vAlign w:val="bottom"/>
            <w:tcBorders>
              <w:bottom w:val="single" w:sz="8" w:color="009CCC"/>
            </w:tcBorders>
          </w:tcPr>
          <w:p>
            <w:pPr>
              <w:jc w:val="center"/>
              <w:ind w:left="1648"/>
              <w:spacing w:after="0" w:line="164" w:lineRule="exact"/>
              <w:rPr>
                <w:sz w:val="20"/>
                <w:szCs w:val="20"/>
                <w:color w:val="auto"/>
              </w:rPr>
            </w:pPr>
            <w:r>
              <w:rPr>
                <w:rFonts w:ascii="Arial" w:cs="Arial" w:eastAsia="Arial" w:hAnsi="Arial"/>
                <w:sz w:val="15"/>
                <w:szCs w:val="15"/>
                <w:color w:val="7B7C80"/>
                <w:w w:val="99"/>
              </w:rPr>
              <w:t>$580,000</w:t>
            </w:r>
          </w:p>
        </w:tc>
        <w:tc>
          <w:tcPr>
            <w:tcW w:w="820" w:type="dxa"/>
            <w:vAlign w:val="bottom"/>
            <w:tcBorders>
              <w:bottom w:val="single" w:sz="8" w:color="009CCC"/>
            </w:tcBorders>
          </w:tcPr>
          <w:p>
            <w:pPr>
              <w:jc w:val="center"/>
              <w:spacing w:after="0" w:line="164" w:lineRule="exact"/>
              <w:rPr>
                <w:sz w:val="20"/>
                <w:szCs w:val="20"/>
                <w:color w:val="auto"/>
              </w:rPr>
            </w:pPr>
            <w:r>
              <w:rPr>
                <w:rFonts w:ascii="Arial" w:cs="Arial" w:eastAsia="Arial" w:hAnsi="Arial"/>
                <w:sz w:val="15"/>
                <w:szCs w:val="15"/>
                <w:color w:val="7B7C80"/>
              </w:rPr>
              <w:t>$591,500</w:t>
            </w:r>
          </w:p>
        </w:tc>
        <w:tc>
          <w:tcPr>
            <w:tcW w:w="800" w:type="dxa"/>
            <w:vAlign w:val="bottom"/>
            <w:tcBorders>
              <w:bottom w:val="single" w:sz="8" w:color="009CCC"/>
            </w:tcBorders>
          </w:tcPr>
          <w:p>
            <w:pPr>
              <w:jc w:val="center"/>
              <w:spacing w:after="0" w:line="164" w:lineRule="exact"/>
              <w:rPr>
                <w:sz w:val="20"/>
                <w:szCs w:val="20"/>
                <w:color w:val="auto"/>
              </w:rPr>
            </w:pPr>
            <w:r>
              <w:rPr>
                <w:rFonts w:ascii="Arial" w:cs="Arial" w:eastAsia="Arial" w:hAnsi="Arial"/>
                <w:sz w:val="15"/>
                <w:szCs w:val="15"/>
                <w:color w:val="7B7C80"/>
              </w:rPr>
              <w:t>$603,500</w:t>
            </w:r>
          </w:p>
        </w:tc>
        <w:tc>
          <w:tcPr>
            <w:tcW w:w="112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2.0%</w:t>
            </w:r>
          </w:p>
        </w:tc>
      </w:tr>
    </w:tbl>
    <w:p>
      <w:pPr>
        <w:spacing w:after="0" w:line="187" w:lineRule="exact"/>
        <w:rPr>
          <w:sz w:val="20"/>
          <w:szCs w:val="20"/>
          <w:color w:val="auto"/>
        </w:rPr>
      </w:pPr>
    </w:p>
    <w:p>
      <w:pPr>
        <w:jc w:val="both"/>
        <w:ind w:left="1828" w:hanging="455"/>
        <w:spacing w:after="0" w:line="246" w:lineRule="auto"/>
        <w:tabs>
          <w:tab w:leader="none" w:pos="1828" w:val="left"/>
        </w:tabs>
        <w:numPr>
          <w:ilvl w:val="0"/>
          <w:numId w:val="33"/>
        </w:numPr>
        <w:rPr>
          <w:rFonts w:ascii="Arial" w:cs="Arial" w:eastAsia="Arial" w:hAnsi="Arial"/>
          <w:sz w:val="12"/>
          <w:szCs w:val="12"/>
          <w:color w:val="7B7C80"/>
        </w:rPr>
      </w:pPr>
      <w:r>
        <w:rPr>
          <w:rFonts w:ascii="Arial" w:cs="Arial" w:eastAsia="Arial" w:hAnsi="Arial"/>
          <w:sz w:val="12"/>
          <w:szCs w:val="12"/>
          <w:color w:val="7B7C80"/>
        </w:rPr>
        <w:t>Salaries displayed in the table are as of December 31 of the year noted, except for Mr. Lillis, whose salary is as of May 1, 2017, the date of his retirement. This information differs from salary information in the Summary Compensation Table as the table includes salary earned and paid in the year noted. Changes in base salary are effective in March of each year.</w:t>
      </w:r>
    </w:p>
    <w:p>
      <w:pPr>
        <w:spacing w:after="0" w:line="152"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Annual Incentive Compensation</w:t>
      </w:r>
    </w:p>
    <w:p>
      <w:pPr>
        <w:spacing w:after="0" w:line="201"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The Named Executive Officers may earn annual cash bonuses under the Principal Financial Group, Inc. Annual Incentive Plan. This plan was approved by shareholders in 2004, and, as adopted was designed to comply with the performance based exception to Section162(m) of the Tax Code, such that these incentives payable to Named Executive Officers could be tax deductible to the Company. As noted above, the performance-based exception to Section 162(m) has been repealed with respect to taxable years starting in 2018. Accordingly, incentives paid under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109220</wp:posOffset>
            </wp:positionV>
            <wp:extent cx="960120" cy="28384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2"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32</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35" w:name="page36"/>
    <w:bookmarkEnd w:id="3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jc w:val="both"/>
        <w:spacing w:after="0" w:line="247" w:lineRule="auto"/>
        <w:rPr>
          <w:sz w:val="20"/>
          <w:szCs w:val="20"/>
          <w:color w:val="auto"/>
        </w:rPr>
      </w:pPr>
      <w:r>
        <w:rPr>
          <w:rFonts w:ascii="Arial" w:cs="Arial" w:eastAsia="Arial" w:hAnsi="Arial"/>
          <w:sz w:val="15"/>
          <w:szCs w:val="15"/>
          <w:color w:val="7B7C80"/>
        </w:rPr>
        <w:t>the Annual Incentive Plan will not be deductible to the extent paid to Covered Employees subject to the limitations contained in Section 162(m) whose aggregate compensation, inclusive of such incentives, exceed $1 million.</w:t>
      </w:r>
    </w:p>
    <w:p>
      <w:pPr>
        <w:spacing w:after="0" w:line="172" w:lineRule="exact"/>
        <w:rPr>
          <w:sz w:val="20"/>
          <w:szCs w:val="20"/>
          <w:color w:val="auto"/>
        </w:rPr>
      </w:pPr>
    </w:p>
    <w:p>
      <w:pPr>
        <w:jc w:val="both"/>
        <w:ind w:right="20"/>
        <w:spacing w:after="0" w:line="247" w:lineRule="auto"/>
        <w:rPr>
          <w:sz w:val="20"/>
          <w:szCs w:val="20"/>
          <w:color w:val="auto"/>
        </w:rPr>
      </w:pPr>
      <w:r>
        <w:rPr>
          <w:rFonts w:ascii="Arial" w:cs="Arial" w:eastAsia="Arial" w:hAnsi="Arial"/>
          <w:sz w:val="15"/>
          <w:szCs w:val="15"/>
          <w:color w:val="7B7C80"/>
        </w:rPr>
        <w:t>The maximum aggregate bonus amount available under the Annual Incentive Plan for any calendar year for the Named Executive Officers is 2% of annual operating income for that year ("Bonus Pool"). For 2017, the maximum bonuses were:</w:t>
      </w:r>
    </w:p>
    <w:p>
      <w:pPr>
        <w:spacing w:after="0" w:line="149" w:lineRule="exact"/>
        <w:rPr>
          <w:sz w:val="20"/>
          <w:szCs w:val="20"/>
          <w:color w:val="auto"/>
        </w:rPr>
      </w:pPr>
    </w:p>
    <w:tbl>
      <w:tblPr>
        <w:tblLayout w:type="fixed"/>
        <w:tblInd w:w="1360" w:type="dxa"/>
        <w:tblCellMar>
          <w:top w:w="0" w:type="dxa"/>
          <w:left w:w="0" w:type="dxa"/>
          <w:bottom w:w="0" w:type="dxa"/>
          <w:right w:w="0" w:type="dxa"/>
        </w:tblCellMar>
      </w:tblPr>
      <w:tr>
        <w:trPr>
          <w:trHeight w:val="139"/>
        </w:trPr>
        <w:tc>
          <w:tcPr>
            <w:tcW w:w="4900" w:type="dxa"/>
            <w:vAlign w:val="bottom"/>
            <w:tcBorders>
              <w:top w:val="single" w:sz="8" w:color="009CCC"/>
            </w:tcBorders>
          </w:tcPr>
          <w:p>
            <w:pPr>
              <w:spacing w:after="0"/>
              <w:rPr>
                <w:sz w:val="12"/>
                <w:szCs w:val="12"/>
                <w:color w:val="auto"/>
              </w:rPr>
            </w:pPr>
          </w:p>
        </w:tc>
        <w:tc>
          <w:tcPr>
            <w:tcW w:w="2580" w:type="dxa"/>
            <w:vAlign w:val="bottom"/>
            <w:tcBorders>
              <w:top w:val="single" w:sz="8" w:color="009CCC"/>
            </w:tcBorders>
          </w:tcPr>
          <w:p>
            <w:pPr>
              <w:jc w:val="right"/>
              <w:ind w:right="11"/>
              <w:spacing w:after="0"/>
              <w:rPr>
                <w:sz w:val="20"/>
                <w:szCs w:val="20"/>
                <w:color w:val="auto"/>
              </w:rPr>
            </w:pPr>
            <w:r>
              <w:rPr>
                <w:rFonts w:ascii="Arial" w:cs="Arial" w:eastAsia="Arial" w:hAnsi="Arial"/>
                <w:sz w:val="12"/>
                <w:szCs w:val="12"/>
                <w:b w:val="1"/>
                <w:bCs w:val="1"/>
                <w:color w:val="009CCC"/>
              </w:rPr>
              <w:t>Maximum Award as</w:t>
            </w:r>
          </w:p>
        </w:tc>
        <w:tc>
          <w:tcPr>
            <w:tcW w:w="1100" w:type="dxa"/>
            <w:vAlign w:val="bottom"/>
            <w:tcBorders>
              <w:top w:val="single" w:sz="8" w:color="009CCC"/>
            </w:tcBorders>
          </w:tcPr>
          <w:p>
            <w:pPr>
              <w:jc w:val="right"/>
              <w:ind w:right="11"/>
              <w:spacing w:after="0"/>
              <w:rPr>
                <w:sz w:val="20"/>
                <w:szCs w:val="20"/>
                <w:color w:val="auto"/>
              </w:rPr>
            </w:pPr>
            <w:r>
              <w:rPr>
                <w:rFonts w:ascii="Arial" w:cs="Arial" w:eastAsia="Arial" w:hAnsi="Arial"/>
                <w:sz w:val="12"/>
                <w:szCs w:val="12"/>
                <w:b w:val="1"/>
                <w:bCs w:val="1"/>
                <w:color w:val="009CCC"/>
              </w:rPr>
              <w:t>Maximum</w:t>
            </w:r>
          </w:p>
        </w:tc>
      </w:tr>
      <w:tr>
        <w:trPr>
          <w:trHeight w:val="137"/>
        </w:trPr>
        <w:tc>
          <w:tcPr>
            <w:tcW w:w="4900" w:type="dxa"/>
            <w:vAlign w:val="bottom"/>
          </w:tcPr>
          <w:p>
            <w:pPr>
              <w:spacing w:after="0"/>
              <w:rPr>
                <w:sz w:val="11"/>
                <w:szCs w:val="11"/>
                <w:color w:val="auto"/>
              </w:rPr>
            </w:pPr>
          </w:p>
        </w:tc>
        <w:tc>
          <w:tcPr>
            <w:tcW w:w="2580" w:type="dxa"/>
            <w:vAlign w:val="bottom"/>
          </w:tcPr>
          <w:p>
            <w:pPr>
              <w:jc w:val="right"/>
              <w:ind w:right="11"/>
              <w:spacing w:after="0"/>
              <w:rPr>
                <w:sz w:val="20"/>
                <w:szCs w:val="20"/>
                <w:color w:val="auto"/>
              </w:rPr>
            </w:pPr>
            <w:r>
              <w:rPr>
                <w:rFonts w:ascii="Arial" w:cs="Arial" w:eastAsia="Arial" w:hAnsi="Arial"/>
                <w:sz w:val="12"/>
                <w:szCs w:val="12"/>
                <w:b w:val="1"/>
                <w:bCs w:val="1"/>
                <w:color w:val="009CCC"/>
              </w:rPr>
              <w:t>Percentage of the</w:t>
            </w:r>
          </w:p>
        </w:tc>
        <w:tc>
          <w:tcPr>
            <w:tcW w:w="1100" w:type="dxa"/>
            <w:vAlign w:val="bottom"/>
          </w:tcPr>
          <w:p>
            <w:pPr>
              <w:jc w:val="right"/>
              <w:ind w:right="11"/>
              <w:spacing w:after="0"/>
              <w:rPr>
                <w:sz w:val="20"/>
                <w:szCs w:val="20"/>
                <w:color w:val="auto"/>
              </w:rPr>
            </w:pPr>
            <w:r>
              <w:rPr>
                <w:rFonts w:ascii="Arial" w:cs="Arial" w:eastAsia="Arial" w:hAnsi="Arial"/>
                <w:sz w:val="12"/>
                <w:szCs w:val="12"/>
                <w:b w:val="1"/>
                <w:bCs w:val="1"/>
                <w:color w:val="009CCC"/>
              </w:rPr>
              <w:t>Potential Award</w:t>
            </w:r>
          </w:p>
        </w:tc>
      </w:tr>
      <w:tr>
        <w:trPr>
          <w:trHeight w:val="147"/>
        </w:trPr>
        <w:tc>
          <w:tcPr>
            <w:tcW w:w="4900" w:type="dxa"/>
            <w:vAlign w:val="bottom"/>
            <w:tcBorders>
              <w:bottom w:val="single" w:sz="8" w:color="7B7C80"/>
            </w:tcBorders>
          </w:tcPr>
          <w:p>
            <w:pPr>
              <w:ind w:left="60"/>
              <w:spacing w:after="0"/>
              <w:rPr>
                <w:sz w:val="20"/>
                <w:szCs w:val="20"/>
                <w:color w:val="auto"/>
              </w:rPr>
            </w:pPr>
            <w:r>
              <w:rPr>
                <w:rFonts w:ascii="Arial" w:cs="Arial" w:eastAsia="Arial" w:hAnsi="Arial"/>
                <w:sz w:val="12"/>
                <w:szCs w:val="12"/>
                <w:b w:val="1"/>
                <w:bCs w:val="1"/>
                <w:color w:val="009CCC"/>
              </w:rPr>
              <w:t>Named Executive Officer</w:t>
            </w:r>
          </w:p>
        </w:tc>
        <w:tc>
          <w:tcPr>
            <w:tcW w:w="2580" w:type="dxa"/>
            <w:vAlign w:val="bottom"/>
            <w:tcBorders>
              <w:bottom w:val="single" w:sz="8" w:color="7B7C80"/>
            </w:tcBorders>
          </w:tcPr>
          <w:p>
            <w:pPr>
              <w:jc w:val="right"/>
              <w:ind w:right="11"/>
              <w:spacing w:after="0"/>
              <w:rPr>
                <w:sz w:val="20"/>
                <w:szCs w:val="20"/>
                <w:color w:val="auto"/>
              </w:rPr>
            </w:pPr>
            <w:r>
              <w:rPr>
                <w:rFonts w:ascii="Arial" w:cs="Arial" w:eastAsia="Arial" w:hAnsi="Arial"/>
                <w:sz w:val="12"/>
                <w:szCs w:val="12"/>
                <w:b w:val="1"/>
                <w:bCs w:val="1"/>
                <w:color w:val="009CCC"/>
              </w:rPr>
              <w:t>Annual Incentive Pool</w:t>
            </w:r>
          </w:p>
        </w:tc>
        <w:tc>
          <w:tcPr>
            <w:tcW w:w="1100" w:type="dxa"/>
            <w:vAlign w:val="bottom"/>
            <w:tcBorders>
              <w:bottom w:val="single" w:sz="8" w:color="7B7C80"/>
            </w:tcBorders>
          </w:tcPr>
          <w:p>
            <w:pPr>
              <w:jc w:val="right"/>
              <w:ind w:right="11"/>
              <w:spacing w:after="0"/>
              <w:rPr>
                <w:sz w:val="20"/>
                <w:szCs w:val="20"/>
                <w:color w:val="auto"/>
              </w:rPr>
            </w:pPr>
            <w:r>
              <w:rPr>
                <w:rFonts w:ascii="Arial" w:cs="Arial" w:eastAsia="Arial" w:hAnsi="Arial"/>
                <w:sz w:val="12"/>
                <w:szCs w:val="12"/>
                <w:b w:val="1"/>
                <w:bCs w:val="1"/>
                <w:color w:val="009CCC"/>
              </w:rPr>
              <w:t>Payment</w:t>
            </w:r>
          </w:p>
        </w:tc>
      </w:tr>
      <w:tr>
        <w:trPr>
          <w:trHeight w:val="163"/>
        </w:trPr>
        <w:tc>
          <w:tcPr>
            <w:tcW w:w="4900" w:type="dxa"/>
            <w:vAlign w:val="bottom"/>
            <w:tcBorders>
              <w:bottom w:val="single" w:sz="8" w:color="7B7C80"/>
            </w:tcBorders>
            <w:shd w:val="clear" w:color="auto" w:fill="E7E6E7"/>
          </w:tcPr>
          <w:p>
            <w:pPr>
              <w:ind w:left="60"/>
              <w:spacing w:after="0" w:line="164" w:lineRule="exact"/>
              <w:rPr>
                <w:sz w:val="20"/>
                <w:szCs w:val="20"/>
                <w:color w:val="auto"/>
              </w:rPr>
            </w:pPr>
            <w:r>
              <w:rPr>
                <w:rFonts w:ascii="Arial" w:cs="Arial" w:eastAsia="Arial" w:hAnsi="Arial"/>
                <w:sz w:val="15"/>
                <w:szCs w:val="15"/>
                <w:color w:val="7B7C80"/>
              </w:rPr>
              <w:t>CEO (Houston)</w:t>
            </w:r>
          </w:p>
        </w:tc>
        <w:tc>
          <w:tcPr>
            <w:tcW w:w="2580" w:type="dxa"/>
            <w:vAlign w:val="bottom"/>
            <w:tcBorders>
              <w:bottom w:val="single" w:sz="8" w:color="7B7C80"/>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35%</w:t>
            </w:r>
          </w:p>
        </w:tc>
        <w:tc>
          <w:tcPr>
            <w:tcW w:w="1100" w:type="dxa"/>
            <w:vAlign w:val="bottom"/>
            <w:tcBorders>
              <w:bottom w:val="single" w:sz="8" w:color="7B7C80"/>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$12.1 million</w:t>
            </w:r>
          </w:p>
        </w:tc>
      </w:tr>
      <w:tr>
        <w:trPr>
          <w:trHeight w:val="163"/>
        </w:trPr>
        <w:tc>
          <w:tcPr>
            <w:tcW w:w="4900" w:type="dxa"/>
            <w:vAlign w:val="bottom"/>
            <w:tcBorders>
              <w:bottom w:val="single" w:sz="8" w:color="7B7C80"/>
            </w:tcBorders>
          </w:tcPr>
          <w:p>
            <w:pPr>
              <w:ind w:left="60"/>
              <w:spacing w:after="0" w:line="164" w:lineRule="exact"/>
              <w:rPr>
                <w:sz w:val="20"/>
                <w:szCs w:val="20"/>
                <w:color w:val="auto"/>
              </w:rPr>
            </w:pPr>
            <w:r>
              <w:rPr>
                <w:rFonts w:ascii="Arial" w:cs="Arial" w:eastAsia="Arial" w:hAnsi="Arial"/>
                <w:sz w:val="15"/>
                <w:szCs w:val="15"/>
                <w:color w:val="7B7C80"/>
              </w:rPr>
              <w:t>Second highest Paid Covered Employee (McCaughan)</w:t>
            </w:r>
          </w:p>
        </w:tc>
        <w:tc>
          <w:tcPr>
            <w:tcW w:w="2580" w:type="dxa"/>
            <w:vAlign w:val="bottom"/>
            <w:tcBorders>
              <w:bottom w:val="single" w:sz="8" w:color="7B7C80"/>
            </w:tcBorders>
          </w:tcPr>
          <w:p>
            <w:pPr>
              <w:jc w:val="right"/>
              <w:ind w:right="11"/>
              <w:spacing w:after="0" w:line="164" w:lineRule="exact"/>
              <w:rPr>
                <w:sz w:val="20"/>
                <w:szCs w:val="20"/>
                <w:color w:val="auto"/>
              </w:rPr>
            </w:pPr>
            <w:r>
              <w:rPr>
                <w:rFonts w:ascii="Arial" w:cs="Arial" w:eastAsia="Arial" w:hAnsi="Arial"/>
                <w:sz w:val="15"/>
                <w:szCs w:val="15"/>
                <w:color w:val="7B7C80"/>
              </w:rPr>
              <w:t>25%</w:t>
            </w:r>
          </w:p>
        </w:tc>
        <w:tc>
          <w:tcPr>
            <w:tcW w:w="1100" w:type="dxa"/>
            <w:vAlign w:val="bottom"/>
            <w:tcBorders>
              <w:bottom w:val="single" w:sz="8" w:color="7B7C80"/>
            </w:tcBorders>
          </w:tcPr>
          <w:p>
            <w:pPr>
              <w:jc w:val="right"/>
              <w:ind w:right="11"/>
              <w:spacing w:after="0" w:line="164" w:lineRule="exact"/>
              <w:rPr>
                <w:sz w:val="20"/>
                <w:szCs w:val="20"/>
                <w:color w:val="auto"/>
              </w:rPr>
            </w:pPr>
            <w:r>
              <w:rPr>
                <w:rFonts w:ascii="Arial" w:cs="Arial" w:eastAsia="Arial" w:hAnsi="Arial"/>
                <w:sz w:val="15"/>
                <w:szCs w:val="15"/>
                <w:color w:val="7B7C80"/>
              </w:rPr>
              <w:t>$8.6 million</w:t>
            </w:r>
          </w:p>
        </w:tc>
      </w:tr>
      <w:tr>
        <w:trPr>
          <w:trHeight w:val="163"/>
        </w:trPr>
        <w:tc>
          <w:tcPr>
            <w:tcW w:w="4900" w:type="dxa"/>
            <w:vAlign w:val="bottom"/>
            <w:tcBorders>
              <w:bottom w:val="single" w:sz="8" w:color="7B7C80"/>
            </w:tcBorders>
            <w:shd w:val="clear" w:color="auto" w:fill="E7E6E7"/>
          </w:tcPr>
          <w:p>
            <w:pPr>
              <w:ind w:left="60"/>
              <w:spacing w:after="0" w:line="164" w:lineRule="exact"/>
              <w:rPr>
                <w:sz w:val="20"/>
                <w:szCs w:val="20"/>
                <w:color w:val="auto"/>
              </w:rPr>
            </w:pPr>
            <w:r>
              <w:rPr>
                <w:rFonts w:ascii="Arial" w:cs="Arial" w:eastAsia="Arial" w:hAnsi="Arial"/>
                <w:sz w:val="15"/>
                <w:szCs w:val="15"/>
                <w:color w:val="7B7C80"/>
              </w:rPr>
              <w:t>Third highest Paid Covered Employee (Valdés)</w:t>
            </w:r>
          </w:p>
        </w:tc>
        <w:tc>
          <w:tcPr>
            <w:tcW w:w="2580" w:type="dxa"/>
            <w:vAlign w:val="bottom"/>
            <w:tcBorders>
              <w:bottom w:val="single" w:sz="8" w:color="7B7C80"/>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20%</w:t>
            </w:r>
          </w:p>
        </w:tc>
        <w:tc>
          <w:tcPr>
            <w:tcW w:w="1100" w:type="dxa"/>
            <w:vAlign w:val="bottom"/>
            <w:tcBorders>
              <w:bottom w:val="single" w:sz="8" w:color="7B7C80"/>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$6.9 million</w:t>
            </w:r>
          </w:p>
        </w:tc>
      </w:tr>
      <w:tr>
        <w:trPr>
          <w:trHeight w:val="163"/>
        </w:trPr>
        <w:tc>
          <w:tcPr>
            <w:tcW w:w="4900" w:type="dxa"/>
            <w:vAlign w:val="bottom"/>
            <w:tcBorders>
              <w:bottom w:val="single" w:sz="8" w:color="7B7C80"/>
            </w:tcBorders>
          </w:tcPr>
          <w:p>
            <w:pPr>
              <w:ind w:left="60"/>
              <w:spacing w:after="0" w:line="164" w:lineRule="exact"/>
              <w:rPr>
                <w:sz w:val="20"/>
                <w:szCs w:val="20"/>
                <w:color w:val="auto"/>
              </w:rPr>
            </w:pPr>
            <w:r>
              <w:rPr>
                <w:rFonts w:ascii="Arial" w:cs="Arial" w:eastAsia="Arial" w:hAnsi="Arial"/>
                <w:sz w:val="15"/>
                <w:szCs w:val="15"/>
                <w:color w:val="7B7C80"/>
              </w:rPr>
              <w:t>Fourth highest Paid Covered Employee (Everett)</w:t>
            </w:r>
          </w:p>
        </w:tc>
        <w:tc>
          <w:tcPr>
            <w:tcW w:w="2580" w:type="dxa"/>
            <w:vAlign w:val="bottom"/>
            <w:tcBorders>
              <w:bottom w:val="single" w:sz="8" w:color="7B7C80"/>
            </w:tcBorders>
          </w:tcPr>
          <w:p>
            <w:pPr>
              <w:jc w:val="right"/>
              <w:ind w:right="11"/>
              <w:spacing w:after="0" w:line="164" w:lineRule="exact"/>
              <w:rPr>
                <w:sz w:val="20"/>
                <w:szCs w:val="20"/>
                <w:color w:val="auto"/>
              </w:rPr>
            </w:pPr>
            <w:r>
              <w:rPr>
                <w:rFonts w:ascii="Arial" w:cs="Arial" w:eastAsia="Arial" w:hAnsi="Arial"/>
                <w:sz w:val="15"/>
                <w:szCs w:val="15"/>
                <w:color w:val="7B7C80"/>
              </w:rPr>
              <w:t>10%</w:t>
            </w:r>
          </w:p>
        </w:tc>
        <w:tc>
          <w:tcPr>
            <w:tcW w:w="1100" w:type="dxa"/>
            <w:vAlign w:val="bottom"/>
            <w:tcBorders>
              <w:bottom w:val="single" w:sz="8" w:color="7B7C80"/>
            </w:tcBorders>
          </w:tcPr>
          <w:p>
            <w:pPr>
              <w:jc w:val="right"/>
              <w:ind w:right="11"/>
              <w:spacing w:after="0" w:line="164" w:lineRule="exact"/>
              <w:rPr>
                <w:sz w:val="20"/>
                <w:szCs w:val="20"/>
                <w:color w:val="auto"/>
              </w:rPr>
            </w:pPr>
            <w:r>
              <w:rPr>
                <w:rFonts w:ascii="Arial" w:cs="Arial" w:eastAsia="Arial" w:hAnsi="Arial"/>
                <w:sz w:val="15"/>
                <w:szCs w:val="15"/>
                <w:color w:val="7B7C80"/>
              </w:rPr>
              <w:t>$3.5 million</w:t>
            </w:r>
          </w:p>
        </w:tc>
      </w:tr>
      <w:tr>
        <w:trPr>
          <w:trHeight w:val="166"/>
        </w:trPr>
        <w:tc>
          <w:tcPr>
            <w:tcW w:w="4900" w:type="dxa"/>
            <w:vAlign w:val="bottom"/>
            <w:tcBorders>
              <w:bottom w:val="single" w:sz="8" w:color="009CCC"/>
            </w:tcBorders>
            <w:shd w:val="clear" w:color="auto" w:fill="E7E6E7"/>
          </w:tcPr>
          <w:p>
            <w:pPr>
              <w:ind w:left="60"/>
              <w:spacing w:after="0" w:line="164" w:lineRule="exact"/>
              <w:rPr>
                <w:sz w:val="20"/>
                <w:szCs w:val="20"/>
                <w:color w:val="auto"/>
              </w:rPr>
            </w:pPr>
            <w:r>
              <w:rPr>
                <w:rFonts w:ascii="Arial" w:cs="Arial" w:eastAsia="Arial" w:hAnsi="Arial"/>
                <w:sz w:val="15"/>
                <w:szCs w:val="15"/>
                <w:color w:val="7B7C80"/>
              </w:rPr>
              <w:t>CFO (Strable)</w:t>
            </w:r>
          </w:p>
        </w:tc>
        <w:tc>
          <w:tcPr>
            <w:tcW w:w="2580" w:type="dxa"/>
            <w:vAlign w:val="bottom"/>
            <w:tcBorders>
              <w:bottom w:val="single" w:sz="8" w:color="009CCC"/>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10%</w:t>
            </w:r>
          </w:p>
        </w:tc>
        <w:tc>
          <w:tcPr>
            <w:tcW w:w="1100" w:type="dxa"/>
            <w:vAlign w:val="bottom"/>
            <w:tcBorders>
              <w:bottom w:val="single" w:sz="8" w:color="009CCC"/>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$3.5 million</w:t>
            </w:r>
          </w:p>
        </w:tc>
      </w:tr>
    </w:tbl>
    <w:p>
      <w:pPr>
        <w:spacing w:after="0" w:line="186"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The Committee sets the target and maximum annual incentive awards for each Named Executive Officer. The Committee may use its negative discretion to reduce the awards actually payable. After this reduction, maximum annual incentive opportunities are generally 200% of the target annual incentive opportunity. The Committee approved the following target awards for Named Executive Officers in each of the past three years:</w:t>
      </w:r>
    </w:p>
    <w:p>
      <w:pPr>
        <w:spacing w:after="0" w:line="329" w:lineRule="exact"/>
        <w:rPr>
          <w:sz w:val="20"/>
          <w:szCs w:val="20"/>
          <w:color w:val="auto"/>
        </w:rPr>
      </w:pPr>
    </w:p>
    <w:p>
      <w:pPr>
        <w:jc w:val="center"/>
        <w:ind w:right="40"/>
        <w:spacing w:after="0"/>
        <w:rPr>
          <w:sz w:val="20"/>
          <w:szCs w:val="20"/>
          <w:color w:val="auto"/>
        </w:rPr>
      </w:pPr>
      <w:r>
        <w:rPr>
          <w:rFonts w:ascii="Arial" w:cs="Arial" w:eastAsia="Arial" w:hAnsi="Arial"/>
          <w:sz w:val="15"/>
          <w:szCs w:val="15"/>
          <w:b w:val="1"/>
          <w:bCs w:val="1"/>
          <w:color w:val="7B7C80"/>
        </w:rPr>
        <w:t>Annual Incentive Targets (as a percentage of base salary)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867410</wp:posOffset>
            </wp:positionH>
            <wp:positionV relativeFrom="paragraph">
              <wp:posOffset>125730</wp:posOffset>
            </wp:positionV>
            <wp:extent cx="5448935" cy="698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5448935" cy="6985"/>
                    </a:xfrm>
                    <a:prstGeom prst="rect">
                      <a:avLst/>
                    </a:prstGeom>
                    <a:noFill/>
                  </pic:spPr>
                </pic:pic>
              </a:graphicData>
            </a:graphic>
          </wp:anchor>
        </w:drawing>
      </w:r>
    </w:p>
    <w:p>
      <w:pPr>
        <w:spacing w:after="0" w:line="214" w:lineRule="exact"/>
        <w:rPr>
          <w:sz w:val="20"/>
          <w:szCs w:val="20"/>
          <w:color w:val="auto"/>
        </w:rPr>
      </w:pPr>
    </w:p>
    <w:tbl>
      <w:tblPr>
        <w:tblLayout w:type="fixed"/>
        <w:tblInd w:w="1360" w:type="dxa"/>
        <w:tblCellMar>
          <w:top w:w="0" w:type="dxa"/>
          <w:left w:w="0" w:type="dxa"/>
          <w:bottom w:w="0" w:type="dxa"/>
          <w:right w:w="0" w:type="dxa"/>
        </w:tblCellMar>
      </w:tblPr>
      <w:tr>
        <w:trPr>
          <w:trHeight w:val="147"/>
        </w:trPr>
        <w:tc>
          <w:tcPr>
            <w:tcW w:w="3960" w:type="dxa"/>
            <w:vAlign w:val="bottom"/>
            <w:tcBorders>
              <w:bottom w:val="single" w:sz="8" w:color="7B7C80"/>
            </w:tcBorders>
          </w:tcPr>
          <w:p>
            <w:pPr>
              <w:ind w:left="60"/>
              <w:spacing w:after="0"/>
              <w:rPr>
                <w:sz w:val="20"/>
                <w:szCs w:val="20"/>
                <w:color w:val="auto"/>
              </w:rPr>
            </w:pPr>
            <w:r>
              <w:rPr>
                <w:rFonts w:ascii="Arial" w:cs="Arial" w:eastAsia="Arial" w:hAnsi="Arial"/>
                <w:sz w:val="12"/>
                <w:szCs w:val="12"/>
                <w:b w:val="1"/>
                <w:bCs w:val="1"/>
                <w:color w:val="009CCC"/>
              </w:rPr>
              <w:t>Named Executive Officer</w:t>
            </w:r>
          </w:p>
        </w:tc>
        <w:tc>
          <w:tcPr>
            <w:tcW w:w="3060" w:type="dxa"/>
            <w:vAlign w:val="bottom"/>
            <w:tcBorders>
              <w:bottom w:val="single" w:sz="8" w:color="7B7C80"/>
            </w:tcBorders>
          </w:tcPr>
          <w:p>
            <w:pPr>
              <w:jc w:val="right"/>
              <w:ind w:right="128"/>
              <w:spacing w:after="0"/>
              <w:rPr>
                <w:sz w:val="20"/>
                <w:szCs w:val="20"/>
                <w:color w:val="auto"/>
              </w:rPr>
            </w:pPr>
            <w:r>
              <w:rPr>
                <w:rFonts w:ascii="Arial" w:cs="Arial" w:eastAsia="Arial" w:hAnsi="Arial"/>
                <w:sz w:val="12"/>
                <w:szCs w:val="12"/>
                <w:b w:val="1"/>
                <w:bCs w:val="1"/>
                <w:color w:val="009CCC"/>
              </w:rPr>
              <w:t>2015</w:t>
            </w:r>
          </w:p>
        </w:tc>
        <w:tc>
          <w:tcPr>
            <w:tcW w:w="780" w:type="dxa"/>
            <w:vAlign w:val="bottom"/>
            <w:tcBorders>
              <w:bottom w:val="single" w:sz="8" w:color="7B7C80"/>
            </w:tcBorders>
          </w:tcPr>
          <w:p>
            <w:pPr>
              <w:jc w:val="right"/>
              <w:ind w:right="128"/>
              <w:spacing w:after="0"/>
              <w:rPr>
                <w:sz w:val="20"/>
                <w:szCs w:val="20"/>
                <w:color w:val="auto"/>
              </w:rPr>
            </w:pPr>
            <w:r>
              <w:rPr>
                <w:rFonts w:ascii="Arial" w:cs="Arial" w:eastAsia="Arial" w:hAnsi="Arial"/>
                <w:sz w:val="12"/>
                <w:szCs w:val="12"/>
                <w:b w:val="1"/>
                <w:bCs w:val="1"/>
                <w:color w:val="009CCC"/>
              </w:rPr>
              <w:t>2016</w:t>
            </w:r>
          </w:p>
        </w:tc>
        <w:tc>
          <w:tcPr>
            <w:tcW w:w="78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2017</w:t>
            </w:r>
          </w:p>
        </w:tc>
      </w:tr>
      <w:tr>
        <w:trPr>
          <w:trHeight w:val="163"/>
        </w:trPr>
        <w:tc>
          <w:tcPr>
            <w:tcW w:w="3960" w:type="dxa"/>
            <w:vAlign w:val="bottom"/>
            <w:tcBorders>
              <w:bottom w:val="single" w:sz="8" w:color="7B7C80"/>
            </w:tcBorders>
            <w:shd w:val="clear" w:color="auto" w:fill="E7E6E7"/>
          </w:tcPr>
          <w:p>
            <w:pPr>
              <w:ind w:left="60"/>
              <w:spacing w:after="0" w:line="164" w:lineRule="exact"/>
              <w:rPr>
                <w:sz w:val="20"/>
                <w:szCs w:val="20"/>
                <w:color w:val="auto"/>
              </w:rPr>
            </w:pPr>
            <w:r>
              <w:rPr>
                <w:rFonts w:ascii="Arial" w:cs="Arial" w:eastAsia="Arial" w:hAnsi="Arial"/>
                <w:sz w:val="15"/>
                <w:szCs w:val="15"/>
                <w:color w:val="7B7C80"/>
              </w:rPr>
              <w:t>Houston</w:t>
            </w:r>
          </w:p>
        </w:tc>
        <w:tc>
          <w:tcPr>
            <w:tcW w:w="3060" w:type="dxa"/>
            <w:vAlign w:val="bottom"/>
            <w:tcBorders>
              <w:bottom w:val="single" w:sz="8" w:color="7B7C80"/>
            </w:tcBorders>
            <w:shd w:val="clear" w:color="auto" w:fill="E7E6E7"/>
          </w:tcPr>
          <w:p>
            <w:pPr>
              <w:jc w:val="right"/>
              <w:ind w:right="148"/>
              <w:spacing w:after="0" w:line="164" w:lineRule="exact"/>
              <w:rPr>
                <w:sz w:val="20"/>
                <w:szCs w:val="20"/>
                <w:color w:val="auto"/>
              </w:rPr>
            </w:pPr>
            <w:r>
              <w:rPr>
                <w:rFonts w:ascii="Arial" w:cs="Arial" w:eastAsia="Arial" w:hAnsi="Arial"/>
                <w:sz w:val="15"/>
                <w:szCs w:val="15"/>
                <w:color w:val="7B7C80"/>
              </w:rPr>
              <w:t>350%</w:t>
            </w:r>
          </w:p>
        </w:tc>
        <w:tc>
          <w:tcPr>
            <w:tcW w:w="780" w:type="dxa"/>
            <w:vAlign w:val="bottom"/>
            <w:tcBorders>
              <w:bottom w:val="single" w:sz="8" w:color="7B7C80"/>
            </w:tcBorders>
            <w:shd w:val="clear" w:color="auto" w:fill="E7E6E7"/>
          </w:tcPr>
          <w:p>
            <w:pPr>
              <w:jc w:val="right"/>
              <w:ind w:right="128"/>
              <w:spacing w:after="0" w:line="164" w:lineRule="exact"/>
              <w:rPr>
                <w:sz w:val="20"/>
                <w:szCs w:val="20"/>
                <w:color w:val="auto"/>
              </w:rPr>
            </w:pPr>
            <w:r>
              <w:rPr>
                <w:rFonts w:ascii="Arial" w:cs="Arial" w:eastAsia="Arial" w:hAnsi="Arial"/>
                <w:sz w:val="15"/>
                <w:szCs w:val="15"/>
                <w:color w:val="7B7C80"/>
              </w:rPr>
              <w:t>350%</w:t>
            </w:r>
          </w:p>
        </w:tc>
        <w:tc>
          <w:tcPr>
            <w:tcW w:w="780" w:type="dxa"/>
            <w:vAlign w:val="bottom"/>
            <w:tcBorders>
              <w:bottom w:val="single" w:sz="8" w:color="7B7C80"/>
            </w:tcBorders>
            <w:shd w:val="clear" w:color="auto" w:fill="E7E6E7"/>
          </w:tcPr>
          <w:p>
            <w:pPr>
              <w:jc w:val="right"/>
              <w:ind w:right="8"/>
              <w:spacing w:after="0" w:line="164" w:lineRule="exact"/>
              <w:rPr>
                <w:sz w:val="20"/>
                <w:szCs w:val="20"/>
                <w:color w:val="auto"/>
              </w:rPr>
            </w:pPr>
            <w:r>
              <w:rPr>
                <w:rFonts w:ascii="Arial" w:cs="Arial" w:eastAsia="Arial" w:hAnsi="Arial"/>
                <w:sz w:val="15"/>
                <w:szCs w:val="15"/>
                <w:color w:val="7B7C80"/>
              </w:rPr>
              <w:t>350%</w:t>
            </w:r>
          </w:p>
        </w:tc>
      </w:tr>
      <w:tr>
        <w:trPr>
          <w:trHeight w:val="163"/>
        </w:trPr>
        <w:tc>
          <w:tcPr>
            <w:tcW w:w="3960" w:type="dxa"/>
            <w:vAlign w:val="bottom"/>
            <w:tcBorders>
              <w:bottom w:val="single" w:sz="8" w:color="7B7C80"/>
            </w:tcBorders>
          </w:tcPr>
          <w:p>
            <w:pPr>
              <w:ind w:left="60"/>
              <w:spacing w:after="0" w:line="164" w:lineRule="exact"/>
              <w:rPr>
                <w:sz w:val="20"/>
                <w:szCs w:val="20"/>
                <w:color w:val="auto"/>
              </w:rPr>
            </w:pPr>
            <w:r>
              <w:rPr>
                <w:rFonts w:ascii="Arial" w:cs="Arial" w:eastAsia="Arial" w:hAnsi="Arial"/>
                <w:sz w:val="15"/>
                <w:szCs w:val="15"/>
                <w:color w:val="7B7C80"/>
              </w:rPr>
              <w:t>Strable</w:t>
            </w:r>
          </w:p>
        </w:tc>
        <w:tc>
          <w:tcPr>
            <w:tcW w:w="3060" w:type="dxa"/>
            <w:vAlign w:val="bottom"/>
            <w:tcBorders>
              <w:bottom w:val="single" w:sz="8" w:color="7B7C80"/>
            </w:tcBorders>
          </w:tcPr>
          <w:p>
            <w:pPr>
              <w:spacing w:after="0"/>
              <w:rPr>
                <w:sz w:val="14"/>
                <w:szCs w:val="14"/>
                <w:color w:val="auto"/>
              </w:rPr>
            </w:pPr>
          </w:p>
        </w:tc>
        <w:tc>
          <w:tcPr>
            <w:tcW w:w="780" w:type="dxa"/>
            <w:vAlign w:val="bottom"/>
            <w:tcBorders>
              <w:bottom w:val="single" w:sz="8" w:color="7B7C80"/>
            </w:tcBorders>
          </w:tcPr>
          <w:p>
            <w:pPr>
              <w:jc w:val="right"/>
              <w:ind w:right="128"/>
              <w:spacing w:after="0" w:line="164" w:lineRule="exact"/>
              <w:rPr>
                <w:sz w:val="20"/>
                <w:szCs w:val="20"/>
                <w:color w:val="auto"/>
              </w:rPr>
            </w:pPr>
            <w:r>
              <w:rPr>
                <w:rFonts w:ascii="Arial" w:cs="Arial" w:eastAsia="Arial" w:hAnsi="Arial"/>
                <w:sz w:val="15"/>
                <w:szCs w:val="15"/>
                <w:color w:val="7B7C80"/>
              </w:rPr>
              <w:t>100%</w:t>
            </w:r>
          </w:p>
        </w:tc>
        <w:tc>
          <w:tcPr>
            <w:tcW w:w="780" w:type="dxa"/>
            <w:vAlign w:val="bottom"/>
            <w:tcBorders>
              <w:bottom w:val="single" w:sz="8" w:color="7B7C80"/>
            </w:tcBorders>
          </w:tcPr>
          <w:p>
            <w:pPr>
              <w:jc w:val="right"/>
              <w:ind w:right="8"/>
              <w:spacing w:after="0" w:line="164" w:lineRule="exact"/>
              <w:rPr>
                <w:sz w:val="20"/>
                <w:szCs w:val="20"/>
                <w:color w:val="auto"/>
              </w:rPr>
            </w:pPr>
            <w:r>
              <w:rPr>
                <w:rFonts w:ascii="Arial" w:cs="Arial" w:eastAsia="Arial" w:hAnsi="Arial"/>
                <w:sz w:val="15"/>
                <w:szCs w:val="15"/>
                <w:color w:val="7B7C80"/>
              </w:rPr>
              <w:t>150%</w:t>
            </w:r>
          </w:p>
        </w:tc>
      </w:tr>
      <w:tr>
        <w:trPr>
          <w:trHeight w:val="163"/>
        </w:trPr>
        <w:tc>
          <w:tcPr>
            <w:tcW w:w="3960" w:type="dxa"/>
            <w:vAlign w:val="bottom"/>
            <w:tcBorders>
              <w:bottom w:val="single" w:sz="8" w:color="7B7C80"/>
            </w:tcBorders>
            <w:shd w:val="clear" w:color="auto" w:fill="E7E6E7"/>
          </w:tcPr>
          <w:p>
            <w:pPr>
              <w:ind w:left="60"/>
              <w:spacing w:after="0" w:line="164" w:lineRule="exact"/>
              <w:rPr>
                <w:sz w:val="20"/>
                <w:szCs w:val="20"/>
                <w:color w:val="auto"/>
              </w:rPr>
            </w:pPr>
            <w:r>
              <w:rPr>
                <w:rFonts w:ascii="Arial" w:cs="Arial" w:eastAsia="Arial" w:hAnsi="Arial"/>
                <w:sz w:val="15"/>
                <w:szCs w:val="15"/>
                <w:color w:val="7B7C80"/>
              </w:rPr>
              <w:t>Everett</w:t>
            </w:r>
          </w:p>
        </w:tc>
        <w:tc>
          <w:tcPr>
            <w:tcW w:w="3060" w:type="dxa"/>
            <w:vAlign w:val="bottom"/>
            <w:tcBorders>
              <w:bottom w:val="single" w:sz="8" w:color="7B7C80"/>
            </w:tcBorders>
            <w:shd w:val="clear" w:color="auto" w:fill="E7E6E7"/>
          </w:tcPr>
          <w:p>
            <w:pPr>
              <w:spacing w:after="0"/>
              <w:rPr>
                <w:sz w:val="14"/>
                <w:szCs w:val="14"/>
                <w:color w:val="auto"/>
              </w:rPr>
            </w:pPr>
          </w:p>
        </w:tc>
        <w:tc>
          <w:tcPr>
            <w:tcW w:w="780" w:type="dxa"/>
            <w:vAlign w:val="bottom"/>
            <w:tcBorders>
              <w:bottom w:val="single" w:sz="8" w:color="7B7C80"/>
            </w:tcBorders>
            <w:shd w:val="clear" w:color="auto" w:fill="E7E6E7"/>
          </w:tcPr>
          <w:p>
            <w:pPr>
              <w:spacing w:after="0"/>
              <w:rPr>
                <w:sz w:val="14"/>
                <w:szCs w:val="14"/>
                <w:color w:val="auto"/>
              </w:rPr>
            </w:pPr>
          </w:p>
        </w:tc>
        <w:tc>
          <w:tcPr>
            <w:tcW w:w="780" w:type="dxa"/>
            <w:vAlign w:val="bottom"/>
            <w:tcBorders>
              <w:bottom w:val="single" w:sz="8" w:color="7B7C80"/>
            </w:tcBorders>
            <w:shd w:val="clear" w:color="auto" w:fill="E7E6E7"/>
          </w:tcPr>
          <w:p>
            <w:pPr>
              <w:jc w:val="right"/>
              <w:ind w:right="8"/>
              <w:spacing w:after="0" w:line="164" w:lineRule="exact"/>
              <w:rPr>
                <w:sz w:val="20"/>
                <w:szCs w:val="20"/>
                <w:color w:val="auto"/>
              </w:rPr>
            </w:pPr>
            <w:r>
              <w:rPr>
                <w:rFonts w:ascii="Arial" w:cs="Arial" w:eastAsia="Arial" w:hAnsi="Arial"/>
                <w:sz w:val="15"/>
                <w:szCs w:val="15"/>
                <w:color w:val="7B7C80"/>
              </w:rPr>
              <w:t>100%</w:t>
            </w:r>
          </w:p>
        </w:tc>
      </w:tr>
      <w:tr>
        <w:trPr>
          <w:trHeight w:val="198"/>
        </w:trPr>
        <w:tc>
          <w:tcPr>
            <w:tcW w:w="3960" w:type="dxa"/>
            <w:vAlign w:val="bottom"/>
            <w:tcBorders>
              <w:bottom w:val="single" w:sz="8" w:color="7B7C80"/>
            </w:tcBorders>
          </w:tcPr>
          <w:p>
            <w:pPr>
              <w:ind w:left="60"/>
              <w:spacing w:after="0"/>
              <w:rPr>
                <w:sz w:val="20"/>
                <w:szCs w:val="20"/>
                <w:color w:val="auto"/>
              </w:rPr>
            </w:pPr>
            <w:r>
              <w:rPr>
                <w:rFonts w:ascii="Arial" w:cs="Arial" w:eastAsia="Arial" w:hAnsi="Arial"/>
                <w:sz w:val="15"/>
                <w:szCs w:val="15"/>
                <w:color w:val="7B7C80"/>
              </w:rPr>
              <w:t>Lillis</w:t>
            </w:r>
          </w:p>
        </w:tc>
        <w:tc>
          <w:tcPr>
            <w:tcW w:w="3060" w:type="dxa"/>
            <w:vAlign w:val="bottom"/>
            <w:tcBorders>
              <w:bottom w:val="single" w:sz="8" w:color="7B7C80"/>
            </w:tcBorders>
          </w:tcPr>
          <w:p>
            <w:pPr>
              <w:jc w:val="right"/>
              <w:ind w:right="148"/>
              <w:spacing w:after="0"/>
              <w:rPr>
                <w:sz w:val="20"/>
                <w:szCs w:val="20"/>
                <w:color w:val="auto"/>
              </w:rPr>
            </w:pPr>
            <w:r>
              <w:rPr>
                <w:rFonts w:ascii="Arial" w:cs="Arial" w:eastAsia="Arial" w:hAnsi="Arial"/>
                <w:sz w:val="15"/>
                <w:szCs w:val="15"/>
                <w:color w:val="7B7C80"/>
              </w:rPr>
              <w:t>100%</w:t>
            </w:r>
          </w:p>
        </w:tc>
        <w:tc>
          <w:tcPr>
            <w:tcW w:w="780" w:type="dxa"/>
            <w:vAlign w:val="bottom"/>
            <w:tcBorders>
              <w:bottom w:val="single" w:sz="8" w:color="7B7C80"/>
            </w:tcBorders>
          </w:tcPr>
          <w:p>
            <w:pPr>
              <w:jc w:val="right"/>
              <w:ind w:right="128"/>
              <w:spacing w:after="0"/>
              <w:rPr>
                <w:sz w:val="20"/>
                <w:szCs w:val="20"/>
                <w:color w:val="auto"/>
              </w:rPr>
            </w:pPr>
            <w:r>
              <w:rPr>
                <w:rFonts w:ascii="Arial" w:cs="Arial" w:eastAsia="Arial" w:hAnsi="Arial"/>
                <w:sz w:val="15"/>
                <w:szCs w:val="15"/>
                <w:color w:val="7B7C80"/>
              </w:rPr>
              <w:t>100%</w:t>
            </w:r>
          </w:p>
        </w:tc>
        <w:tc>
          <w:tcPr>
            <w:tcW w:w="780" w:type="dxa"/>
            <w:vAlign w:val="bottom"/>
            <w:tcBorders>
              <w:bottom w:val="single" w:sz="8" w:color="7B7C80"/>
            </w:tcBorders>
          </w:tcPr>
          <w:p>
            <w:pPr>
              <w:jc w:val="right"/>
              <w:spacing w:after="0" w:line="198" w:lineRule="exact"/>
              <w:rPr>
                <w:sz w:val="20"/>
                <w:szCs w:val="20"/>
                <w:color w:val="auto"/>
              </w:rPr>
            </w:pPr>
            <w:r>
              <w:rPr>
                <w:rFonts w:ascii="Arial" w:cs="Arial" w:eastAsia="Arial" w:hAnsi="Arial"/>
                <w:sz w:val="14"/>
                <w:szCs w:val="14"/>
                <w:color w:val="7B7C80"/>
              </w:rPr>
              <w:t>100%</w:t>
            </w:r>
            <w:r>
              <w:rPr>
                <w:rFonts w:ascii="Arial" w:cs="Arial" w:eastAsia="Arial" w:hAnsi="Arial"/>
                <w:sz w:val="22"/>
                <w:szCs w:val="22"/>
                <w:color w:val="7B7C80"/>
                <w:vertAlign w:val="superscript"/>
              </w:rPr>
              <w:t>(1)</w:t>
            </w:r>
          </w:p>
        </w:tc>
      </w:tr>
      <w:tr>
        <w:trPr>
          <w:trHeight w:val="163"/>
        </w:trPr>
        <w:tc>
          <w:tcPr>
            <w:tcW w:w="3960" w:type="dxa"/>
            <w:vAlign w:val="bottom"/>
            <w:tcBorders>
              <w:bottom w:val="single" w:sz="8" w:color="7B7C80"/>
            </w:tcBorders>
            <w:shd w:val="clear" w:color="auto" w:fill="E7E6E7"/>
          </w:tcPr>
          <w:p>
            <w:pPr>
              <w:ind w:left="60"/>
              <w:spacing w:after="0" w:line="164" w:lineRule="exact"/>
              <w:rPr>
                <w:sz w:val="20"/>
                <w:szCs w:val="20"/>
                <w:color w:val="auto"/>
              </w:rPr>
            </w:pPr>
            <w:r>
              <w:rPr>
                <w:rFonts w:ascii="Arial" w:cs="Arial" w:eastAsia="Arial" w:hAnsi="Arial"/>
                <w:sz w:val="15"/>
                <w:szCs w:val="15"/>
                <w:color w:val="7B7C80"/>
              </w:rPr>
              <w:t>McCaughan</w:t>
            </w:r>
          </w:p>
        </w:tc>
        <w:tc>
          <w:tcPr>
            <w:tcW w:w="3060" w:type="dxa"/>
            <w:vAlign w:val="bottom"/>
            <w:tcBorders>
              <w:bottom w:val="single" w:sz="8" w:color="7B7C80"/>
            </w:tcBorders>
            <w:shd w:val="clear" w:color="auto" w:fill="E7E6E7"/>
          </w:tcPr>
          <w:p>
            <w:pPr>
              <w:jc w:val="right"/>
              <w:ind w:right="148"/>
              <w:spacing w:after="0" w:line="164" w:lineRule="exact"/>
              <w:rPr>
                <w:sz w:val="20"/>
                <w:szCs w:val="20"/>
                <w:color w:val="auto"/>
              </w:rPr>
            </w:pPr>
            <w:r>
              <w:rPr>
                <w:rFonts w:ascii="Arial" w:cs="Arial" w:eastAsia="Arial" w:hAnsi="Arial"/>
                <w:sz w:val="15"/>
                <w:szCs w:val="15"/>
                <w:color w:val="7B7C80"/>
              </w:rPr>
              <w:t>300%</w:t>
            </w:r>
          </w:p>
        </w:tc>
        <w:tc>
          <w:tcPr>
            <w:tcW w:w="780" w:type="dxa"/>
            <w:vAlign w:val="bottom"/>
            <w:tcBorders>
              <w:bottom w:val="single" w:sz="8" w:color="7B7C80"/>
            </w:tcBorders>
            <w:shd w:val="clear" w:color="auto" w:fill="E7E6E7"/>
          </w:tcPr>
          <w:p>
            <w:pPr>
              <w:jc w:val="right"/>
              <w:ind w:right="128"/>
              <w:spacing w:after="0" w:line="164" w:lineRule="exact"/>
              <w:rPr>
                <w:sz w:val="20"/>
                <w:szCs w:val="20"/>
                <w:color w:val="auto"/>
              </w:rPr>
            </w:pPr>
            <w:r>
              <w:rPr>
                <w:rFonts w:ascii="Arial" w:cs="Arial" w:eastAsia="Arial" w:hAnsi="Arial"/>
                <w:sz w:val="15"/>
                <w:szCs w:val="15"/>
                <w:color w:val="7B7C80"/>
              </w:rPr>
              <w:t>300%</w:t>
            </w:r>
          </w:p>
        </w:tc>
        <w:tc>
          <w:tcPr>
            <w:tcW w:w="780" w:type="dxa"/>
            <w:vAlign w:val="bottom"/>
            <w:tcBorders>
              <w:bottom w:val="single" w:sz="8" w:color="7B7C80"/>
            </w:tcBorders>
            <w:shd w:val="clear" w:color="auto" w:fill="E7E6E7"/>
          </w:tcPr>
          <w:p>
            <w:pPr>
              <w:jc w:val="right"/>
              <w:ind w:right="8"/>
              <w:spacing w:after="0" w:line="164" w:lineRule="exact"/>
              <w:rPr>
                <w:sz w:val="20"/>
                <w:szCs w:val="20"/>
                <w:color w:val="auto"/>
              </w:rPr>
            </w:pPr>
            <w:r>
              <w:rPr>
                <w:rFonts w:ascii="Arial" w:cs="Arial" w:eastAsia="Arial" w:hAnsi="Arial"/>
                <w:sz w:val="15"/>
                <w:szCs w:val="15"/>
                <w:color w:val="7B7C80"/>
              </w:rPr>
              <w:t>400%</w:t>
            </w:r>
          </w:p>
        </w:tc>
      </w:tr>
      <w:tr>
        <w:trPr>
          <w:trHeight w:val="166"/>
        </w:trPr>
        <w:tc>
          <w:tcPr>
            <w:tcW w:w="3960" w:type="dxa"/>
            <w:vAlign w:val="bottom"/>
            <w:tcBorders>
              <w:bottom w:val="single" w:sz="8" w:color="009CCC"/>
            </w:tcBorders>
          </w:tcPr>
          <w:p>
            <w:pPr>
              <w:ind w:left="60"/>
              <w:spacing w:after="0" w:line="164" w:lineRule="exact"/>
              <w:rPr>
                <w:sz w:val="20"/>
                <w:szCs w:val="20"/>
                <w:color w:val="auto"/>
              </w:rPr>
            </w:pPr>
            <w:r>
              <w:rPr>
                <w:rFonts w:ascii="Arial" w:cs="Arial" w:eastAsia="Arial" w:hAnsi="Arial"/>
                <w:sz w:val="15"/>
                <w:szCs w:val="15"/>
                <w:color w:val="7B7C80"/>
              </w:rPr>
              <w:t>Valdés</w:t>
            </w:r>
          </w:p>
        </w:tc>
        <w:tc>
          <w:tcPr>
            <w:tcW w:w="3060" w:type="dxa"/>
            <w:vAlign w:val="bottom"/>
            <w:tcBorders>
              <w:bottom w:val="single" w:sz="8" w:color="009CCC"/>
            </w:tcBorders>
          </w:tcPr>
          <w:p>
            <w:pPr>
              <w:jc w:val="right"/>
              <w:ind w:right="148"/>
              <w:spacing w:after="0" w:line="164" w:lineRule="exact"/>
              <w:rPr>
                <w:sz w:val="20"/>
                <w:szCs w:val="20"/>
                <w:color w:val="auto"/>
              </w:rPr>
            </w:pPr>
            <w:r>
              <w:rPr>
                <w:rFonts w:ascii="Arial" w:cs="Arial" w:eastAsia="Arial" w:hAnsi="Arial"/>
                <w:sz w:val="15"/>
                <w:szCs w:val="15"/>
                <w:color w:val="7B7C80"/>
              </w:rPr>
              <w:t>75%</w:t>
            </w:r>
          </w:p>
        </w:tc>
        <w:tc>
          <w:tcPr>
            <w:tcW w:w="780" w:type="dxa"/>
            <w:vAlign w:val="bottom"/>
            <w:tcBorders>
              <w:bottom w:val="single" w:sz="8" w:color="009CCC"/>
            </w:tcBorders>
          </w:tcPr>
          <w:p>
            <w:pPr>
              <w:jc w:val="right"/>
              <w:ind w:right="128"/>
              <w:spacing w:after="0" w:line="164" w:lineRule="exact"/>
              <w:rPr>
                <w:sz w:val="20"/>
                <w:szCs w:val="20"/>
                <w:color w:val="auto"/>
              </w:rPr>
            </w:pPr>
            <w:r>
              <w:rPr>
                <w:rFonts w:ascii="Arial" w:cs="Arial" w:eastAsia="Arial" w:hAnsi="Arial"/>
                <w:sz w:val="15"/>
                <w:szCs w:val="15"/>
                <w:color w:val="7B7C80"/>
              </w:rPr>
              <w:t>75%</w:t>
            </w:r>
          </w:p>
        </w:tc>
        <w:tc>
          <w:tcPr>
            <w:tcW w:w="780" w:type="dxa"/>
            <w:vAlign w:val="bottom"/>
            <w:tcBorders>
              <w:bottom w:val="single" w:sz="8" w:color="009CCC"/>
            </w:tcBorders>
          </w:tcPr>
          <w:p>
            <w:pPr>
              <w:jc w:val="right"/>
              <w:ind w:right="8"/>
              <w:spacing w:after="0" w:line="164" w:lineRule="exact"/>
              <w:rPr>
                <w:sz w:val="20"/>
                <w:szCs w:val="20"/>
                <w:color w:val="auto"/>
              </w:rPr>
            </w:pPr>
            <w:r>
              <w:rPr>
                <w:rFonts w:ascii="Arial" w:cs="Arial" w:eastAsia="Arial" w:hAnsi="Arial"/>
                <w:sz w:val="15"/>
                <w:szCs w:val="15"/>
                <w:color w:val="7B7C80"/>
              </w:rPr>
              <w:t>100%</w:t>
            </w:r>
          </w:p>
        </w:tc>
      </w:tr>
    </w:tbl>
    <w:p>
      <w:pPr>
        <w:spacing w:after="0" w:line="187" w:lineRule="exact"/>
        <w:rPr>
          <w:sz w:val="20"/>
          <w:szCs w:val="20"/>
          <w:color w:val="auto"/>
        </w:rPr>
      </w:pPr>
    </w:p>
    <w:p>
      <w:pPr>
        <w:jc w:val="both"/>
        <w:ind w:left="1820" w:hanging="455"/>
        <w:spacing w:after="0"/>
        <w:tabs>
          <w:tab w:leader="none" w:pos="1820" w:val="left"/>
        </w:tabs>
        <w:numPr>
          <w:ilvl w:val="0"/>
          <w:numId w:val="34"/>
        </w:numPr>
        <w:rPr>
          <w:rFonts w:ascii="Arial" w:cs="Arial" w:eastAsia="Arial" w:hAnsi="Arial"/>
          <w:sz w:val="12"/>
          <w:szCs w:val="12"/>
          <w:color w:val="7B7C80"/>
        </w:rPr>
      </w:pPr>
      <w:r>
        <w:rPr>
          <w:rFonts w:ascii="Arial" w:cs="Arial" w:eastAsia="Arial" w:hAnsi="Arial"/>
          <w:sz w:val="12"/>
          <w:szCs w:val="12"/>
          <w:color w:val="7B7C80"/>
        </w:rPr>
        <w:t>Mr. Lillis did not participate in the Annual Incentive Plan in 2017 due to his retirement, which was announced February 23, 2016. His annual incentive award was provided under the PrinPay Plan, a broad-based annual incentive compensation plan for employees. Retirees are eligible to receive an award for the calendar year in which they retire. The award is calculated based on eligible earnings during the plan year. The PrinPay Plan links annual incentive pay to individual employee results and overall company performance and profitability. Annual financial and non-financial goals for company performance and individual performance are set. After establishing the company score, an employee's individual goal performance is used to determine the individual score an employee receives. The corporate component emphasizes the importance of overall corporate results and includes non-GAAP operating earnings and a variety of other financial and non-financial metrics. The Human Resources Committee may also consider factors that could not have been anticipated when corporate goals were established and adjust the score up or down. Mr. Lillis' award was determined by multiplying the corporate score of 106% by Mr. Lillis' individual performance score of 100%. That number (106%) was then multiplied by the base salary of $198,624 Mr. Lillis received prior to his retirement on May 1, 2017, resulting in an annual incentive award of $210,543.</w:t>
      </w:r>
    </w:p>
    <w:p>
      <w:pPr>
        <w:spacing w:after="0" w:line="177"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In establishing the target award opportunity for Messrs. Houston, Lillis, McCaughan, and Valdés and Mses. Strable and Everett, the Committee considered the median incentive targets for comparable executive positions in the Peer Group companies, as well as the survey data referenced above. The target award opportunity for Mr. McCaughan has increased consistent with market practice for award opportunities for senior executives in asset management, which are higher than target annual incentive opportunities in other industries.</w:t>
      </w:r>
    </w:p>
    <w:p>
      <w:pPr>
        <w:spacing w:after="0" w:line="175" w:lineRule="exact"/>
        <w:rPr>
          <w:sz w:val="20"/>
          <w:szCs w:val="20"/>
          <w:color w:val="auto"/>
        </w:rPr>
      </w:pPr>
    </w:p>
    <w:p>
      <w:pPr>
        <w:spacing w:after="0"/>
        <w:rPr>
          <w:sz w:val="20"/>
          <w:szCs w:val="20"/>
          <w:color w:val="auto"/>
        </w:rPr>
      </w:pPr>
      <w:r>
        <w:rPr>
          <w:rFonts w:ascii="Arial" w:cs="Arial" w:eastAsia="Arial" w:hAnsi="Arial"/>
          <w:sz w:val="15"/>
          <w:szCs w:val="15"/>
          <w:color w:val="009CCC"/>
        </w:rPr>
        <w:t>Performance Goal Setting and Measurement Process</w:t>
      </w:r>
    </w:p>
    <w:p>
      <w:pPr>
        <w:spacing w:after="0" w:line="165" w:lineRule="exact"/>
        <w:rPr>
          <w:sz w:val="20"/>
          <w:szCs w:val="20"/>
          <w:color w:val="auto"/>
        </w:rPr>
      </w:pPr>
    </w:p>
    <w:p>
      <w:pPr>
        <w:spacing w:after="0"/>
        <w:tabs>
          <w:tab w:leader="none" w:pos="960" w:val="left"/>
        </w:tabs>
        <w:rPr>
          <w:sz w:val="20"/>
          <w:szCs w:val="20"/>
          <w:color w:val="auto"/>
        </w:rPr>
      </w:pPr>
      <w:r>
        <w:rPr>
          <w:rFonts w:ascii="Arial" w:cs="Arial" w:eastAsia="Arial" w:hAnsi="Arial"/>
          <w:sz w:val="15"/>
          <w:szCs w:val="15"/>
          <w:b w:val="1"/>
          <w:bCs w:val="1"/>
          <w:color w:val="7B7C80"/>
        </w:rPr>
        <w:t>September:</w:t>
      </w:r>
      <w:r>
        <w:rPr>
          <w:sz w:val="20"/>
          <w:szCs w:val="20"/>
          <w:color w:val="auto"/>
        </w:rPr>
        <w:tab/>
      </w:r>
      <w:r>
        <w:rPr>
          <w:rFonts w:ascii="Arial" w:cs="Arial" w:eastAsia="Arial" w:hAnsi="Arial"/>
          <w:sz w:val="14"/>
          <w:szCs w:val="14"/>
          <w:color w:val="7B7C80"/>
        </w:rPr>
        <w:t>The Board meets to review the Company's long term strategy.</w:t>
      </w:r>
    </w:p>
    <w:p>
      <w:pPr>
        <w:spacing w:after="0" w:line="183" w:lineRule="exact"/>
        <w:rPr>
          <w:sz w:val="20"/>
          <w:szCs w:val="20"/>
          <w:color w:val="auto"/>
        </w:rPr>
      </w:pPr>
    </w:p>
    <w:p>
      <w:pPr>
        <w:jc w:val="both"/>
        <w:ind w:right="20"/>
        <w:spacing w:after="0" w:line="272" w:lineRule="auto"/>
        <w:rPr>
          <w:sz w:val="20"/>
          <w:szCs w:val="20"/>
          <w:color w:val="auto"/>
        </w:rPr>
      </w:pPr>
      <w:r>
        <w:rPr>
          <w:rFonts w:ascii="Arial" w:cs="Arial" w:eastAsia="Arial" w:hAnsi="Arial"/>
          <w:sz w:val="15"/>
          <w:szCs w:val="15"/>
          <w:b w:val="1"/>
          <w:bCs w:val="1"/>
          <w:color w:val="7B7C80"/>
        </w:rPr>
        <w:t xml:space="preserve">November: </w:t>
      </w:r>
      <w:r>
        <w:rPr>
          <w:rFonts w:ascii="Arial" w:cs="Arial" w:eastAsia="Arial" w:hAnsi="Arial"/>
          <w:sz w:val="15"/>
          <w:szCs w:val="15"/>
          <w:color w:val="7B7C80"/>
        </w:rPr>
        <w:t>The CEO, CFO and Division Presidents recommend preliminary financial goals for the Company and business units and strategic initiatives for the next year.</w:t>
      </w:r>
      <w:r>
        <w:rPr>
          <w:rFonts w:ascii="Arial" w:cs="Arial" w:eastAsia="Arial" w:hAnsi="Arial"/>
          <w:sz w:val="15"/>
          <w:szCs w:val="15"/>
          <w:b w:val="1"/>
          <w:bCs w:val="1"/>
          <w:color w:val="7B7C80"/>
        </w:rPr>
        <w:t xml:space="preserve"> </w:t>
      </w:r>
      <w:r>
        <w:rPr>
          <w:rFonts w:ascii="Arial" w:cs="Arial" w:eastAsia="Arial" w:hAnsi="Arial"/>
          <w:sz w:val="15"/>
          <w:szCs w:val="15"/>
          <w:color w:val="7B7C80"/>
        </w:rPr>
        <w:t>The Finance Committee reviews the proposed goals, underlying assumptions of the goals and initiatives, key drivers of financial performance, trends and business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95885</wp:posOffset>
            </wp:positionV>
            <wp:extent cx="960120" cy="28384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71"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33</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36" w:name="page37"/>
    <w:bookmarkEnd w:id="36"/>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spacing w:after="0"/>
        <w:rPr>
          <w:sz w:val="20"/>
          <w:szCs w:val="20"/>
          <w:color w:val="auto"/>
        </w:rPr>
      </w:pPr>
      <w:r>
        <w:rPr>
          <w:rFonts w:ascii="Arial" w:cs="Arial" w:eastAsia="Arial" w:hAnsi="Arial"/>
          <w:sz w:val="15"/>
          <w:szCs w:val="15"/>
          <w:color w:val="7B7C80"/>
        </w:rPr>
        <w:t>opportunities and advises the Board and Human Resources Committee on the appropriateness of the financial goals.</w:t>
      </w:r>
    </w:p>
    <w:p>
      <w:pPr>
        <w:spacing w:after="0" w:line="165" w:lineRule="exact"/>
        <w:rPr>
          <w:sz w:val="20"/>
          <w:szCs w:val="20"/>
          <w:color w:val="auto"/>
        </w:rPr>
      </w:pPr>
    </w:p>
    <w:p>
      <w:pPr>
        <w:jc w:val="both"/>
        <w:spacing w:after="0" w:line="272" w:lineRule="auto"/>
        <w:rPr>
          <w:sz w:val="20"/>
          <w:szCs w:val="20"/>
          <w:color w:val="auto"/>
        </w:rPr>
      </w:pPr>
      <w:r>
        <w:rPr>
          <w:rFonts w:ascii="Arial" w:cs="Arial" w:eastAsia="Arial" w:hAnsi="Arial"/>
          <w:sz w:val="15"/>
          <w:szCs w:val="15"/>
          <w:b w:val="1"/>
          <w:bCs w:val="1"/>
          <w:color w:val="7B7C80"/>
        </w:rPr>
        <w:t xml:space="preserve">February: </w:t>
      </w:r>
      <w:r>
        <w:rPr>
          <w:rFonts w:ascii="Arial" w:cs="Arial" w:eastAsia="Arial" w:hAnsi="Arial"/>
          <w:sz w:val="15"/>
          <w:szCs w:val="15"/>
          <w:color w:val="7B7C80"/>
        </w:rPr>
        <w:t>The Human Resources Committee reviews and approves the final goals for the Company, the CEO and the other Executives with input from the Finance</w:t>
      </w:r>
      <w:r>
        <w:rPr>
          <w:rFonts w:ascii="Arial" w:cs="Arial" w:eastAsia="Arial" w:hAnsi="Arial"/>
          <w:sz w:val="15"/>
          <w:szCs w:val="15"/>
          <w:b w:val="1"/>
          <w:bCs w:val="1"/>
          <w:color w:val="7B7C80"/>
        </w:rPr>
        <w:t xml:space="preserve"> </w:t>
      </w:r>
      <w:r>
        <w:rPr>
          <w:rFonts w:ascii="Arial" w:cs="Arial" w:eastAsia="Arial" w:hAnsi="Arial"/>
          <w:sz w:val="15"/>
          <w:szCs w:val="15"/>
          <w:color w:val="7B7C80"/>
        </w:rPr>
        <w:t>Committee and Board based on prior year end financial results. All employees develop individual performance goals with their leaders that support the Company's goals.</w:t>
      </w:r>
    </w:p>
    <w:p>
      <w:pPr>
        <w:spacing w:after="0" w:line="154"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The Committee reviewed 2017 performance on key financial measures and corporate and divisional goals to determine the 2017 annual bonus for the Named Executive Officers. The Committee does not use any particular weighting for these goals; these measures are used as guideposts when the Committee exercises its discretion in its subjective evaluation of these factors. In determining corporate performance for 2017, the Committee reviewed Company achievements on these key financial goals: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3195320</wp:posOffset>
            </wp:positionH>
            <wp:positionV relativeFrom="paragraph">
              <wp:posOffset>109220</wp:posOffset>
            </wp:positionV>
            <wp:extent cx="960120" cy="28384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2"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34</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20"/>
          </w:cols>
          <w:pgMar w:left="240" w:top="142" w:right="239" w:bottom="1440" w:gutter="0" w:footer="0" w:header="0"/>
        </w:sectPr>
      </w:pPr>
    </w:p>
    <w:bookmarkStart w:id="37" w:name="page38"/>
    <w:bookmarkEnd w:id="37"/>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0" w:lineRule="exact"/>
        <w:rPr>
          <w:sz w:val="20"/>
          <w:szCs w:val="20"/>
          <w:color w:val="auto"/>
        </w:rPr>
      </w:pPr>
    </w:p>
    <w:tbl>
      <w:tblPr>
        <w:tblLayout w:type="fixed"/>
        <w:tblInd w:w="18" w:type="dxa"/>
        <w:tblCellMar>
          <w:top w:w="0" w:type="dxa"/>
          <w:left w:w="0" w:type="dxa"/>
          <w:bottom w:w="0" w:type="dxa"/>
          <w:right w:w="0" w:type="dxa"/>
        </w:tblCellMar>
      </w:tblPr>
      <w:tr>
        <w:trPr>
          <w:trHeight w:val="183"/>
        </w:trPr>
        <w:tc>
          <w:tcPr>
            <w:tcW w:w="360" w:type="dxa"/>
            <w:vAlign w:val="bottom"/>
            <w:tcBorders>
              <w:top w:val="single" w:sz="8" w:color="7B7C80"/>
              <w:left w:val="single" w:sz="8" w:color="7B7C80"/>
              <w:bottom w:val="single" w:sz="8" w:color="7B7C80"/>
            </w:tcBorders>
          </w:tcPr>
          <w:p>
            <w:pPr>
              <w:spacing w:after="0"/>
              <w:rPr>
                <w:sz w:val="15"/>
                <w:szCs w:val="15"/>
                <w:color w:val="auto"/>
              </w:rPr>
            </w:pPr>
          </w:p>
        </w:tc>
        <w:tc>
          <w:tcPr>
            <w:tcW w:w="2400" w:type="dxa"/>
            <w:vAlign w:val="bottom"/>
            <w:tcBorders>
              <w:top w:val="single" w:sz="8" w:color="7B7C80"/>
              <w:bottom w:val="single" w:sz="8" w:color="7B7C80"/>
            </w:tcBorders>
          </w:tcPr>
          <w:p>
            <w:pPr>
              <w:spacing w:after="0"/>
              <w:rPr>
                <w:sz w:val="15"/>
                <w:szCs w:val="15"/>
                <w:color w:val="auto"/>
              </w:rPr>
            </w:pPr>
          </w:p>
        </w:tc>
        <w:tc>
          <w:tcPr>
            <w:tcW w:w="3020" w:type="dxa"/>
            <w:vAlign w:val="bottom"/>
            <w:tcBorders>
              <w:top w:val="single" w:sz="8" w:color="7B7C80"/>
              <w:bottom w:val="single" w:sz="8" w:color="7B7C80"/>
              <w:right w:val="single" w:sz="8" w:color="7B7C80"/>
            </w:tcBorders>
          </w:tcPr>
          <w:p>
            <w:pPr>
              <w:ind w:left="20"/>
              <w:spacing w:after="0"/>
              <w:rPr>
                <w:sz w:val="20"/>
                <w:szCs w:val="20"/>
                <w:color w:val="auto"/>
              </w:rPr>
            </w:pPr>
            <w:r>
              <w:rPr>
                <w:rFonts w:ascii="Arial" w:cs="Arial" w:eastAsia="Arial" w:hAnsi="Arial"/>
                <w:sz w:val="12"/>
                <w:szCs w:val="12"/>
                <w:b w:val="1"/>
                <w:bCs w:val="1"/>
                <w:color w:val="009CCC"/>
              </w:rPr>
              <w:t>Goal</w:t>
            </w:r>
          </w:p>
        </w:tc>
        <w:tc>
          <w:tcPr>
            <w:tcW w:w="380" w:type="dxa"/>
            <w:vAlign w:val="bottom"/>
            <w:tcBorders>
              <w:top w:val="single" w:sz="8" w:color="7B7C80"/>
              <w:bottom w:val="single" w:sz="8" w:color="7B7C80"/>
            </w:tcBorders>
          </w:tcPr>
          <w:p>
            <w:pPr>
              <w:spacing w:after="0"/>
              <w:rPr>
                <w:sz w:val="15"/>
                <w:szCs w:val="15"/>
                <w:color w:val="auto"/>
              </w:rPr>
            </w:pPr>
          </w:p>
        </w:tc>
        <w:tc>
          <w:tcPr>
            <w:tcW w:w="3500" w:type="dxa"/>
            <w:vAlign w:val="bottom"/>
            <w:tcBorders>
              <w:top w:val="single" w:sz="8" w:color="7B7C80"/>
              <w:bottom w:val="single" w:sz="8" w:color="7B7C80"/>
            </w:tcBorders>
            <w:gridSpan w:val="3"/>
          </w:tcPr>
          <w:p>
            <w:pPr>
              <w:ind w:left="1740"/>
              <w:spacing w:after="0"/>
              <w:rPr>
                <w:sz w:val="20"/>
                <w:szCs w:val="20"/>
                <w:color w:val="auto"/>
              </w:rPr>
            </w:pPr>
            <w:r>
              <w:rPr>
                <w:rFonts w:ascii="Arial" w:cs="Arial" w:eastAsia="Arial" w:hAnsi="Arial"/>
                <w:sz w:val="12"/>
                <w:szCs w:val="12"/>
                <w:b w:val="1"/>
                <w:bCs w:val="1"/>
                <w:color w:val="009CCC"/>
              </w:rPr>
              <w:t>2017 Assessment</w:t>
            </w:r>
          </w:p>
        </w:tc>
        <w:tc>
          <w:tcPr>
            <w:tcW w:w="1320" w:type="dxa"/>
            <w:vAlign w:val="bottom"/>
            <w:tcBorders>
              <w:top w:val="single" w:sz="8" w:color="7B7C80"/>
              <w:bottom w:val="single" w:sz="8" w:color="7B7C80"/>
            </w:tcBorders>
          </w:tcPr>
          <w:p>
            <w:pPr>
              <w:spacing w:after="0"/>
              <w:rPr>
                <w:sz w:val="15"/>
                <w:szCs w:val="15"/>
                <w:color w:val="auto"/>
              </w:rPr>
            </w:pPr>
          </w:p>
        </w:tc>
        <w:tc>
          <w:tcPr>
            <w:tcW w:w="460" w:type="dxa"/>
            <w:vAlign w:val="bottom"/>
            <w:tcBorders>
              <w:top w:val="single" w:sz="8" w:color="7B7C80"/>
              <w:bottom w:val="single" w:sz="8" w:color="7B7C80"/>
              <w:right w:val="single" w:sz="8" w:color="7B7C80"/>
            </w:tcBorders>
          </w:tcPr>
          <w:p>
            <w:pPr>
              <w:spacing w:after="0"/>
              <w:rPr>
                <w:sz w:val="15"/>
                <w:szCs w:val="15"/>
                <w:color w:val="auto"/>
              </w:rPr>
            </w:pPr>
          </w:p>
        </w:tc>
      </w:tr>
      <w:tr>
        <w:trPr>
          <w:trHeight w:val="126"/>
        </w:trPr>
        <w:tc>
          <w:tcPr>
            <w:tcW w:w="5780" w:type="dxa"/>
            <w:vAlign w:val="bottom"/>
            <w:tcBorders>
              <w:left w:val="single" w:sz="8" w:color="7B7C80"/>
              <w:right w:val="single" w:sz="8" w:color="7B7C80"/>
            </w:tcBorders>
            <w:gridSpan w:val="3"/>
          </w:tcPr>
          <w:p>
            <w:pPr>
              <w:ind w:left="180"/>
              <w:spacing w:after="0" w:line="126" w:lineRule="exact"/>
              <w:rPr>
                <w:sz w:val="20"/>
                <w:szCs w:val="20"/>
                <w:color w:val="auto"/>
              </w:rPr>
            </w:pPr>
            <w:r>
              <w:rPr>
                <w:rFonts w:ascii="Arial" w:cs="Arial" w:eastAsia="Arial" w:hAnsi="Arial"/>
                <w:sz w:val="12"/>
                <w:szCs w:val="12"/>
                <w:color w:val="7B7C80"/>
              </w:rPr>
              <w:t>1.   Achieve appropriate Non-GAAP Operating Earnings and earnings per share.</w:t>
            </w:r>
          </w:p>
        </w:tc>
        <w:tc>
          <w:tcPr>
            <w:tcW w:w="5660" w:type="dxa"/>
            <w:vAlign w:val="bottom"/>
            <w:tcBorders>
              <w:right w:val="single" w:sz="8" w:color="7B7C80"/>
            </w:tcBorders>
            <w:gridSpan w:val="6"/>
          </w:tcPr>
          <w:p>
            <w:pPr>
              <w:ind w:left="80"/>
              <w:spacing w:after="0" w:line="126" w:lineRule="exact"/>
              <w:rPr>
                <w:sz w:val="20"/>
                <w:szCs w:val="20"/>
                <w:color w:val="auto"/>
              </w:rPr>
            </w:pPr>
            <w:r>
              <w:rPr>
                <w:rFonts w:ascii="Arial" w:cs="Arial" w:eastAsia="Arial" w:hAnsi="Arial"/>
                <w:sz w:val="12"/>
                <w:szCs w:val="12"/>
                <w:color w:val="7B7C80"/>
              </w:rPr>
              <w:t>For 2017, the target for Non-GAAP Operating Earnings was $1,490M and the target for Non-GAAP</w:t>
            </w:r>
          </w:p>
        </w:tc>
      </w:tr>
      <w:tr>
        <w:trPr>
          <w:trHeight w:val="160"/>
        </w:trPr>
        <w:tc>
          <w:tcPr>
            <w:tcW w:w="360" w:type="dxa"/>
            <w:vAlign w:val="bottom"/>
            <w:tcBorders>
              <w:left w:val="single" w:sz="8" w:color="7B7C80"/>
            </w:tcBorders>
          </w:tcPr>
          <w:p>
            <w:pPr>
              <w:spacing w:after="0"/>
              <w:rPr>
                <w:sz w:val="13"/>
                <w:szCs w:val="13"/>
                <w:color w:val="auto"/>
              </w:rPr>
            </w:pPr>
          </w:p>
        </w:tc>
        <w:tc>
          <w:tcPr>
            <w:tcW w:w="2400" w:type="dxa"/>
            <w:vAlign w:val="bottom"/>
          </w:tcPr>
          <w:p>
            <w:pPr>
              <w:spacing w:after="0"/>
              <w:rPr>
                <w:sz w:val="13"/>
                <w:szCs w:val="13"/>
                <w:color w:val="auto"/>
              </w:rPr>
            </w:pPr>
          </w:p>
        </w:tc>
        <w:tc>
          <w:tcPr>
            <w:tcW w:w="3020" w:type="dxa"/>
            <w:vAlign w:val="bottom"/>
            <w:tcBorders>
              <w:right w:val="single" w:sz="8" w:color="7B7C80"/>
            </w:tcBorders>
          </w:tcPr>
          <w:p>
            <w:pPr>
              <w:spacing w:after="0"/>
              <w:rPr>
                <w:sz w:val="13"/>
                <w:szCs w:val="13"/>
                <w:color w:val="auto"/>
              </w:rPr>
            </w:pPr>
          </w:p>
        </w:tc>
        <w:tc>
          <w:tcPr>
            <w:tcW w:w="5660" w:type="dxa"/>
            <w:vAlign w:val="bottom"/>
            <w:tcBorders>
              <w:right w:val="single" w:sz="8" w:color="7B7C80"/>
            </w:tcBorders>
            <w:gridSpan w:val="6"/>
          </w:tcPr>
          <w:p>
            <w:pPr>
              <w:ind w:left="80"/>
              <w:spacing w:after="0" w:line="160" w:lineRule="exact"/>
              <w:rPr>
                <w:sz w:val="20"/>
                <w:szCs w:val="20"/>
                <w:color w:val="auto"/>
              </w:rPr>
            </w:pPr>
            <w:r>
              <w:rPr>
                <w:rFonts w:ascii="Arial" w:cs="Arial" w:eastAsia="Arial" w:hAnsi="Arial"/>
                <w:sz w:val="12"/>
                <w:szCs w:val="12"/>
                <w:color w:val="7B7C80"/>
              </w:rPr>
              <w:t>Operating Earnings per diluted share was $5.11. 2017 Non-GAAP Operating Earnings</w:t>
            </w:r>
            <w:r>
              <w:rPr>
                <w:rFonts w:ascii="Arial" w:cs="Arial" w:eastAsia="Arial" w:hAnsi="Arial"/>
                <w:sz w:val="18"/>
                <w:szCs w:val="18"/>
                <w:color w:val="7B7C80"/>
                <w:vertAlign w:val="superscript"/>
              </w:rPr>
              <w:t>(2)</w:t>
            </w:r>
            <w:r>
              <w:rPr>
                <w:rFonts w:ascii="Arial" w:cs="Arial" w:eastAsia="Arial" w:hAnsi="Arial"/>
                <w:sz w:val="12"/>
                <w:szCs w:val="12"/>
                <w:color w:val="7B7C80"/>
              </w:rPr>
              <w:t xml:space="preserve"> were</w:t>
            </w:r>
          </w:p>
        </w:tc>
      </w:tr>
      <w:tr>
        <w:trPr>
          <w:trHeight w:val="233"/>
        </w:trPr>
        <w:tc>
          <w:tcPr>
            <w:tcW w:w="360" w:type="dxa"/>
            <w:vAlign w:val="bottom"/>
            <w:tcBorders>
              <w:left w:val="single" w:sz="8" w:color="7B7C80"/>
            </w:tcBorders>
          </w:tcPr>
          <w:p>
            <w:pPr>
              <w:spacing w:after="0"/>
              <w:rPr>
                <w:sz w:val="20"/>
                <w:szCs w:val="20"/>
                <w:color w:val="auto"/>
              </w:rPr>
            </w:pPr>
          </w:p>
        </w:tc>
        <w:tc>
          <w:tcPr>
            <w:tcW w:w="2400" w:type="dxa"/>
            <w:vAlign w:val="bottom"/>
          </w:tcPr>
          <w:p>
            <w:pPr>
              <w:spacing w:after="0"/>
              <w:rPr>
                <w:sz w:val="20"/>
                <w:szCs w:val="20"/>
                <w:color w:val="auto"/>
              </w:rPr>
            </w:pPr>
          </w:p>
        </w:tc>
        <w:tc>
          <w:tcPr>
            <w:tcW w:w="3020" w:type="dxa"/>
            <w:vAlign w:val="bottom"/>
            <w:tcBorders>
              <w:right w:val="single" w:sz="8" w:color="7B7C80"/>
            </w:tcBorders>
          </w:tcPr>
          <w:p>
            <w:pPr>
              <w:spacing w:after="0"/>
              <w:rPr>
                <w:sz w:val="20"/>
                <w:szCs w:val="20"/>
                <w:color w:val="auto"/>
              </w:rPr>
            </w:pPr>
          </w:p>
        </w:tc>
        <w:tc>
          <w:tcPr>
            <w:tcW w:w="3880" w:type="dxa"/>
            <w:vAlign w:val="bottom"/>
            <w:gridSpan w:val="4"/>
          </w:tcPr>
          <w:p>
            <w:pPr>
              <w:ind w:left="80"/>
              <w:spacing w:after="0"/>
              <w:rPr>
                <w:sz w:val="20"/>
                <w:szCs w:val="20"/>
                <w:color w:val="auto"/>
              </w:rPr>
            </w:pPr>
            <w:r>
              <w:rPr>
                <w:rFonts w:ascii="Arial" w:cs="Arial" w:eastAsia="Arial" w:hAnsi="Arial"/>
                <w:sz w:val="12"/>
                <w:szCs w:val="12"/>
                <w:color w:val="7B7C80"/>
              </w:rPr>
              <w:t>$1,479M and Non-GAAP Operating Earnings per share</w:t>
            </w:r>
            <w:r>
              <w:rPr>
                <w:rFonts w:ascii="Arial" w:cs="Arial" w:eastAsia="Arial" w:hAnsi="Arial"/>
                <w:sz w:val="18"/>
                <w:szCs w:val="18"/>
                <w:color w:val="7B7C80"/>
                <w:vertAlign w:val="superscript"/>
              </w:rPr>
              <w:t>(2)</w:t>
            </w:r>
            <w:r>
              <w:rPr>
                <w:rFonts w:ascii="Arial" w:cs="Arial" w:eastAsia="Arial" w:hAnsi="Arial"/>
                <w:sz w:val="12"/>
                <w:szCs w:val="12"/>
                <w:color w:val="7B7C80"/>
              </w:rPr>
              <w:t xml:space="preserve"> was $5.04.</w:t>
            </w:r>
          </w:p>
        </w:tc>
        <w:tc>
          <w:tcPr>
            <w:tcW w:w="1320" w:type="dxa"/>
            <w:vAlign w:val="bottom"/>
          </w:tcPr>
          <w:p>
            <w:pPr>
              <w:spacing w:after="0"/>
              <w:rPr>
                <w:sz w:val="20"/>
                <w:szCs w:val="20"/>
                <w:color w:val="auto"/>
              </w:rPr>
            </w:pPr>
          </w:p>
        </w:tc>
        <w:tc>
          <w:tcPr>
            <w:tcW w:w="460" w:type="dxa"/>
            <w:vAlign w:val="bottom"/>
            <w:tcBorders>
              <w:right w:val="single" w:sz="8" w:color="7B7C80"/>
            </w:tcBorders>
          </w:tcPr>
          <w:p>
            <w:pPr>
              <w:spacing w:after="0"/>
              <w:rPr>
                <w:sz w:val="20"/>
                <w:szCs w:val="20"/>
                <w:color w:val="auto"/>
              </w:rPr>
            </w:pPr>
          </w:p>
        </w:tc>
      </w:tr>
      <w:tr>
        <w:trPr>
          <w:trHeight w:val="300"/>
        </w:trPr>
        <w:tc>
          <w:tcPr>
            <w:tcW w:w="360" w:type="dxa"/>
            <w:vAlign w:val="bottom"/>
            <w:tcBorders>
              <w:left w:val="single" w:sz="8" w:color="7B7C80"/>
            </w:tcBorders>
          </w:tcPr>
          <w:p>
            <w:pPr>
              <w:spacing w:after="0"/>
              <w:rPr>
                <w:sz w:val="24"/>
                <w:szCs w:val="24"/>
                <w:color w:val="auto"/>
              </w:rPr>
            </w:pPr>
          </w:p>
        </w:tc>
        <w:tc>
          <w:tcPr>
            <w:tcW w:w="2400" w:type="dxa"/>
            <w:vAlign w:val="bottom"/>
          </w:tcPr>
          <w:p>
            <w:pPr>
              <w:spacing w:after="0"/>
              <w:rPr>
                <w:sz w:val="24"/>
                <w:szCs w:val="24"/>
                <w:color w:val="auto"/>
              </w:rPr>
            </w:pPr>
          </w:p>
        </w:tc>
        <w:tc>
          <w:tcPr>
            <w:tcW w:w="3020" w:type="dxa"/>
            <w:vAlign w:val="bottom"/>
            <w:tcBorders>
              <w:right w:val="single" w:sz="8" w:color="7B7C80"/>
            </w:tcBorders>
          </w:tcPr>
          <w:p>
            <w:pPr>
              <w:spacing w:after="0"/>
              <w:rPr>
                <w:sz w:val="24"/>
                <w:szCs w:val="24"/>
                <w:color w:val="auto"/>
              </w:rPr>
            </w:pPr>
          </w:p>
        </w:tc>
        <w:tc>
          <w:tcPr>
            <w:tcW w:w="5660" w:type="dxa"/>
            <w:vAlign w:val="bottom"/>
            <w:tcBorders>
              <w:right w:val="single" w:sz="8" w:color="7B7C80"/>
            </w:tcBorders>
            <w:gridSpan w:val="6"/>
          </w:tcPr>
          <w:p>
            <w:pPr>
              <w:ind w:left="80"/>
              <w:spacing w:after="0"/>
              <w:rPr>
                <w:sz w:val="20"/>
                <w:szCs w:val="20"/>
                <w:color w:val="auto"/>
              </w:rPr>
            </w:pPr>
            <w:r>
              <w:rPr>
                <w:rFonts w:ascii="Arial" w:cs="Arial" w:eastAsia="Arial" w:hAnsi="Arial"/>
                <w:sz w:val="12"/>
                <w:szCs w:val="12"/>
                <w:color w:val="7B7C80"/>
              </w:rPr>
              <w:t>In addition, Messrs. McCaughan and Valdés and Ms. Everett had Operating Earnings</w:t>
            </w:r>
            <w:r>
              <w:rPr>
                <w:rFonts w:ascii="Arial" w:cs="Arial" w:eastAsia="Arial" w:hAnsi="Arial"/>
                <w:sz w:val="18"/>
                <w:szCs w:val="18"/>
                <w:color w:val="7B7C80"/>
                <w:vertAlign w:val="superscript"/>
              </w:rPr>
              <w:t>(1)</w:t>
            </w:r>
            <w:r>
              <w:rPr>
                <w:rFonts w:ascii="Arial" w:cs="Arial" w:eastAsia="Arial" w:hAnsi="Arial"/>
                <w:sz w:val="12"/>
                <w:szCs w:val="12"/>
                <w:color w:val="7B7C80"/>
              </w:rPr>
              <w:t xml:space="preserve"> goals as</w:t>
            </w:r>
          </w:p>
        </w:tc>
      </w:tr>
      <w:tr>
        <w:trPr>
          <w:trHeight w:val="147"/>
        </w:trPr>
        <w:tc>
          <w:tcPr>
            <w:tcW w:w="360" w:type="dxa"/>
            <w:vAlign w:val="bottom"/>
            <w:tcBorders>
              <w:left w:val="single" w:sz="8" w:color="7B7C80"/>
            </w:tcBorders>
          </w:tcPr>
          <w:p>
            <w:pPr>
              <w:spacing w:after="0"/>
              <w:rPr>
                <w:sz w:val="12"/>
                <w:szCs w:val="12"/>
                <w:color w:val="auto"/>
              </w:rPr>
            </w:pPr>
          </w:p>
        </w:tc>
        <w:tc>
          <w:tcPr>
            <w:tcW w:w="2400" w:type="dxa"/>
            <w:vAlign w:val="bottom"/>
          </w:tcPr>
          <w:p>
            <w:pPr>
              <w:spacing w:after="0"/>
              <w:rPr>
                <w:sz w:val="12"/>
                <w:szCs w:val="12"/>
                <w:color w:val="auto"/>
              </w:rPr>
            </w:pPr>
          </w:p>
        </w:tc>
        <w:tc>
          <w:tcPr>
            <w:tcW w:w="3020" w:type="dxa"/>
            <w:vAlign w:val="bottom"/>
            <w:tcBorders>
              <w:right w:val="single" w:sz="8" w:color="7B7C80"/>
            </w:tcBorders>
          </w:tcPr>
          <w:p>
            <w:pPr>
              <w:spacing w:after="0"/>
              <w:rPr>
                <w:sz w:val="12"/>
                <w:szCs w:val="12"/>
                <w:color w:val="auto"/>
              </w:rPr>
            </w:pPr>
          </w:p>
        </w:tc>
        <w:tc>
          <w:tcPr>
            <w:tcW w:w="2720" w:type="dxa"/>
            <w:vAlign w:val="bottom"/>
            <w:gridSpan w:val="3"/>
          </w:tcPr>
          <w:p>
            <w:pPr>
              <w:ind w:left="80"/>
              <w:spacing w:after="0"/>
              <w:rPr>
                <w:sz w:val="20"/>
                <w:szCs w:val="20"/>
                <w:color w:val="auto"/>
              </w:rPr>
            </w:pPr>
            <w:r>
              <w:rPr>
                <w:rFonts w:ascii="Arial" w:cs="Arial" w:eastAsia="Arial" w:hAnsi="Arial"/>
                <w:sz w:val="12"/>
                <w:szCs w:val="12"/>
                <w:color w:val="7B7C80"/>
              </w:rPr>
              <w:t>follows:</w:t>
            </w:r>
          </w:p>
        </w:tc>
        <w:tc>
          <w:tcPr>
            <w:tcW w:w="11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460" w:type="dxa"/>
            <w:vAlign w:val="bottom"/>
            <w:tcBorders>
              <w:right w:val="single" w:sz="8" w:color="7B7C80"/>
            </w:tcBorders>
          </w:tcPr>
          <w:p>
            <w:pPr>
              <w:spacing w:after="0"/>
              <w:rPr>
                <w:sz w:val="12"/>
                <w:szCs w:val="12"/>
                <w:color w:val="auto"/>
              </w:rPr>
            </w:pPr>
          </w:p>
        </w:tc>
      </w:tr>
      <w:tr>
        <w:trPr>
          <w:trHeight w:val="159"/>
        </w:trPr>
        <w:tc>
          <w:tcPr>
            <w:tcW w:w="360" w:type="dxa"/>
            <w:vAlign w:val="bottom"/>
            <w:tcBorders>
              <w:left w:val="single" w:sz="8" w:color="7B7C80"/>
            </w:tcBorders>
          </w:tcPr>
          <w:p>
            <w:pPr>
              <w:spacing w:after="0"/>
              <w:rPr>
                <w:sz w:val="13"/>
                <w:szCs w:val="13"/>
                <w:color w:val="auto"/>
              </w:rPr>
            </w:pPr>
          </w:p>
        </w:tc>
        <w:tc>
          <w:tcPr>
            <w:tcW w:w="2400" w:type="dxa"/>
            <w:vAlign w:val="bottom"/>
          </w:tcPr>
          <w:p>
            <w:pPr>
              <w:spacing w:after="0"/>
              <w:rPr>
                <w:sz w:val="13"/>
                <w:szCs w:val="13"/>
                <w:color w:val="auto"/>
              </w:rPr>
            </w:pPr>
          </w:p>
        </w:tc>
        <w:tc>
          <w:tcPr>
            <w:tcW w:w="3020" w:type="dxa"/>
            <w:vAlign w:val="bottom"/>
            <w:tcBorders>
              <w:right w:val="single" w:sz="8" w:color="7B7C80"/>
            </w:tcBorders>
          </w:tcPr>
          <w:p>
            <w:pPr>
              <w:spacing w:after="0"/>
              <w:rPr>
                <w:sz w:val="13"/>
                <w:szCs w:val="13"/>
                <w:color w:val="auto"/>
              </w:rPr>
            </w:pPr>
          </w:p>
        </w:tc>
        <w:tc>
          <w:tcPr>
            <w:tcW w:w="380" w:type="dxa"/>
            <w:vAlign w:val="bottom"/>
          </w:tcPr>
          <w:p>
            <w:pPr>
              <w:spacing w:after="0"/>
              <w:rPr>
                <w:sz w:val="13"/>
                <w:szCs w:val="13"/>
                <w:color w:val="auto"/>
              </w:rPr>
            </w:pPr>
          </w:p>
        </w:tc>
        <w:tc>
          <w:tcPr>
            <w:tcW w:w="22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60" w:type="dxa"/>
            <w:vAlign w:val="bottom"/>
          </w:tcPr>
          <w:p>
            <w:pPr>
              <w:spacing w:after="0"/>
              <w:rPr>
                <w:sz w:val="13"/>
                <w:szCs w:val="13"/>
                <w:color w:val="auto"/>
              </w:rPr>
            </w:pPr>
          </w:p>
        </w:tc>
        <w:tc>
          <w:tcPr>
            <w:tcW w:w="1320" w:type="dxa"/>
            <w:vAlign w:val="bottom"/>
          </w:tcPr>
          <w:p>
            <w:pPr>
              <w:spacing w:after="0"/>
              <w:rPr>
                <w:sz w:val="13"/>
                <w:szCs w:val="13"/>
                <w:color w:val="auto"/>
              </w:rPr>
            </w:pPr>
          </w:p>
        </w:tc>
        <w:tc>
          <w:tcPr>
            <w:tcW w:w="460" w:type="dxa"/>
            <w:vAlign w:val="bottom"/>
            <w:tcBorders>
              <w:right w:val="single" w:sz="8" w:color="7B7C80"/>
            </w:tcBorders>
          </w:tcPr>
          <w:p>
            <w:pPr>
              <w:spacing w:after="0"/>
              <w:rPr>
                <w:sz w:val="13"/>
                <w:szCs w:val="13"/>
                <w:color w:val="auto"/>
              </w:rPr>
            </w:pPr>
          </w:p>
        </w:tc>
      </w:tr>
      <w:tr>
        <w:trPr>
          <w:trHeight w:val="116"/>
        </w:trPr>
        <w:tc>
          <w:tcPr>
            <w:tcW w:w="360" w:type="dxa"/>
            <w:vAlign w:val="bottom"/>
            <w:tcBorders>
              <w:left w:val="single" w:sz="8" w:color="7B7C80"/>
            </w:tcBorders>
          </w:tcPr>
          <w:p>
            <w:pPr>
              <w:spacing w:after="0"/>
              <w:rPr>
                <w:sz w:val="10"/>
                <w:szCs w:val="10"/>
                <w:color w:val="auto"/>
              </w:rPr>
            </w:pPr>
          </w:p>
        </w:tc>
        <w:tc>
          <w:tcPr>
            <w:tcW w:w="2400" w:type="dxa"/>
            <w:vAlign w:val="bottom"/>
          </w:tcPr>
          <w:p>
            <w:pPr>
              <w:spacing w:after="0"/>
              <w:rPr>
                <w:sz w:val="10"/>
                <w:szCs w:val="10"/>
                <w:color w:val="auto"/>
              </w:rPr>
            </w:pPr>
          </w:p>
        </w:tc>
        <w:tc>
          <w:tcPr>
            <w:tcW w:w="3020" w:type="dxa"/>
            <w:vAlign w:val="bottom"/>
            <w:tcBorders>
              <w:right w:val="single" w:sz="8" w:color="7B7C80"/>
            </w:tcBorders>
          </w:tcPr>
          <w:p>
            <w:pPr>
              <w:spacing w:after="0"/>
              <w:rPr>
                <w:sz w:val="10"/>
                <w:szCs w:val="10"/>
                <w:color w:val="auto"/>
              </w:rPr>
            </w:pPr>
          </w:p>
        </w:tc>
        <w:tc>
          <w:tcPr>
            <w:tcW w:w="380" w:type="dxa"/>
            <w:vAlign w:val="bottom"/>
            <w:tcBorders>
              <w:right w:val="single" w:sz="8" w:color="7B7C80"/>
            </w:tcBorders>
          </w:tcPr>
          <w:p>
            <w:pPr>
              <w:spacing w:after="0"/>
              <w:rPr>
                <w:sz w:val="10"/>
                <w:szCs w:val="10"/>
                <w:color w:val="auto"/>
              </w:rPr>
            </w:pPr>
          </w:p>
        </w:tc>
        <w:tc>
          <w:tcPr>
            <w:tcW w:w="2280" w:type="dxa"/>
            <w:vAlign w:val="bottom"/>
            <w:tcBorders>
              <w:top w:val="single" w:sz="8" w:color="7B7C80"/>
              <w:right w:val="single" w:sz="8" w:color="7B7C80"/>
            </w:tcBorders>
          </w:tcPr>
          <w:p>
            <w:pPr>
              <w:spacing w:after="0"/>
              <w:rPr>
                <w:sz w:val="10"/>
                <w:szCs w:val="10"/>
                <w:color w:val="auto"/>
              </w:rPr>
            </w:pPr>
          </w:p>
        </w:tc>
        <w:tc>
          <w:tcPr>
            <w:tcW w:w="60" w:type="dxa"/>
            <w:vAlign w:val="bottom"/>
            <w:tcBorders>
              <w:top w:val="single" w:sz="8" w:color="7B7C80"/>
            </w:tcBorders>
          </w:tcPr>
          <w:p>
            <w:pPr>
              <w:spacing w:after="0"/>
              <w:rPr>
                <w:sz w:val="10"/>
                <w:szCs w:val="10"/>
                <w:color w:val="auto"/>
              </w:rPr>
            </w:pPr>
          </w:p>
        </w:tc>
        <w:tc>
          <w:tcPr>
            <w:tcW w:w="1160" w:type="dxa"/>
            <w:vAlign w:val="bottom"/>
            <w:tcBorders>
              <w:top w:val="single" w:sz="8" w:color="7B7C80"/>
              <w:right w:val="single" w:sz="8" w:color="7B7C80"/>
            </w:tcBorders>
          </w:tcPr>
          <w:p>
            <w:pPr>
              <w:jc w:val="center"/>
              <w:ind w:right="39"/>
              <w:spacing w:after="0" w:line="117" w:lineRule="exact"/>
              <w:rPr>
                <w:sz w:val="20"/>
                <w:szCs w:val="20"/>
                <w:color w:val="auto"/>
              </w:rPr>
            </w:pPr>
            <w:r>
              <w:rPr>
                <w:rFonts w:ascii="Arial" w:cs="Arial" w:eastAsia="Arial" w:hAnsi="Arial"/>
                <w:sz w:val="12"/>
                <w:szCs w:val="12"/>
                <w:b w:val="1"/>
                <w:bCs w:val="1"/>
                <w:color w:val="009CCC"/>
              </w:rPr>
              <w:t>Operating</w:t>
            </w:r>
          </w:p>
        </w:tc>
        <w:tc>
          <w:tcPr>
            <w:tcW w:w="1320" w:type="dxa"/>
            <w:vAlign w:val="bottom"/>
            <w:tcBorders>
              <w:top w:val="single" w:sz="8" w:color="7B7C80"/>
              <w:right w:val="single" w:sz="8" w:color="7B7C80"/>
            </w:tcBorders>
          </w:tcPr>
          <w:p>
            <w:pPr>
              <w:jc w:val="center"/>
              <w:spacing w:after="0" w:line="117" w:lineRule="exact"/>
              <w:rPr>
                <w:sz w:val="20"/>
                <w:szCs w:val="20"/>
                <w:color w:val="auto"/>
              </w:rPr>
            </w:pPr>
            <w:r>
              <w:rPr>
                <w:rFonts w:ascii="Arial" w:cs="Arial" w:eastAsia="Arial" w:hAnsi="Arial"/>
                <w:sz w:val="12"/>
                <w:szCs w:val="12"/>
                <w:b w:val="1"/>
                <w:bCs w:val="1"/>
                <w:color w:val="009CCC"/>
              </w:rPr>
              <w:t>Operating</w:t>
            </w:r>
          </w:p>
        </w:tc>
        <w:tc>
          <w:tcPr>
            <w:tcW w:w="460" w:type="dxa"/>
            <w:vAlign w:val="bottom"/>
            <w:tcBorders>
              <w:right w:val="single" w:sz="8" w:color="7B7C80"/>
            </w:tcBorders>
          </w:tcPr>
          <w:p>
            <w:pPr>
              <w:spacing w:after="0"/>
              <w:rPr>
                <w:sz w:val="10"/>
                <w:szCs w:val="10"/>
                <w:color w:val="auto"/>
              </w:rPr>
            </w:pPr>
          </w:p>
        </w:tc>
      </w:tr>
      <w:tr>
        <w:trPr>
          <w:trHeight w:val="173"/>
        </w:trPr>
        <w:tc>
          <w:tcPr>
            <w:tcW w:w="360" w:type="dxa"/>
            <w:vAlign w:val="bottom"/>
            <w:tcBorders>
              <w:left w:val="single" w:sz="8" w:color="7B7C80"/>
            </w:tcBorders>
          </w:tcPr>
          <w:p>
            <w:pPr>
              <w:spacing w:after="0"/>
              <w:rPr>
                <w:sz w:val="15"/>
                <w:szCs w:val="15"/>
                <w:color w:val="auto"/>
              </w:rPr>
            </w:pPr>
          </w:p>
        </w:tc>
        <w:tc>
          <w:tcPr>
            <w:tcW w:w="2400" w:type="dxa"/>
            <w:vAlign w:val="bottom"/>
          </w:tcPr>
          <w:p>
            <w:pPr>
              <w:spacing w:after="0"/>
              <w:rPr>
                <w:sz w:val="15"/>
                <w:szCs w:val="15"/>
                <w:color w:val="auto"/>
              </w:rPr>
            </w:pPr>
          </w:p>
        </w:tc>
        <w:tc>
          <w:tcPr>
            <w:tcW w:w="3020" w:type="dxa"/>
            <w:vAlign w:val="bottom"/>
            <w:tcBorders>
              <w:right w:val="single" w:sz="8" w:color="7B7C80"/>
            </w:tcBorders>
          </w:tcPr>
          <w:p>
            <w:pPr>
              <w:spacing w:after="0"/>
              <w:rPr>
                <w:sz w:val="15"/>
                <w:szCs w:val="15"/>
                <w:color w:val="auto"/>
              </w:rPr>
            </w:pPr>
          </w:p>
        </w:tc>
        <w:tc>
          <w:tcPr>
            <w:tcW w:w="380" w:type="dxa"/>
            <w:vAlign w:val="bottom"/>
            <w:tcBorders>
              <w:right w:val="single" w:sz="8" w:color="7B7C80"/>
            </w:tcBorders>
          </w:tcPr>
          <w:p>
            <w:pPr>
              <w:spacing w:after="0"/>
              <w:rPr>
                <w:sz w:val="15"/>
                <w:szCs w:val="15"/>
                <w:color w:val="auto"/>
              </w:rPr>
            </w:pPr>
          </w:p>
        </w:tc>
        <w:tc>
          <w:tcPr>
            <w:tcW w:w="2280" w:type="dxa"/>
            <w:vAlign w:val="bottom"/>
            <w:tcBorders>
              <w:bottom w:val="single" w:sz="8" w:color="7B7C80"/>
              <w:right w:val="single" w:sz="8" w:color="7B7C80"/>
            </w:tcBorders>
          </w:tcPr>
          <w:p>
            <w:pPr>
              <w:spacing w:after="0"/>
              <w:rPr>
                <w:sz w:val="15"/>
                <w:szCs w:val="15"/>
                <w:color w:val="auto"/>
              </w:rPr>
            </w:pPr>
          </w:p>
        </w:tc>
        <w:tc>
          <w:tcPr>
            <w:tcW w:w="60" w:type="dxa"/>
            <w:vAlign w:val="bottom"/>
            <w:tcBorders>
              <w:bottom w:val="single" w:sz="8" w:color="7B7C80"/>
            </w:tcBorders>
          </w:tcPr>
          <w:p>
            <w:pPr>
              <w:spacing w:after="0"/>
              <w:rPr>
                <w:sz w:val="15"/>
                <w:szCs w:val="15"/>
                <w:color w:val="auto"/>
              </w:rPr>
            </w:pPr>
          </w:p>
        </w:tc>
        <w:tc>
          <w:tcPr>
            <w:tcW w:w="1160" w:type="dxa"/>
            <w:vAlign w:val="bottom"/>
            <w:tcBorders>
              <w:bottom w:val="single" w:sz="8" w:color="7B7C80"/>
              <w:right w:val="single" w:sz="8" w:color="7B7C80"/>
            </w:tcBorders>
          </w:tcPr>
          <w:p>
            <w:pPr>
              <w:jc w:val="center"/>
              <w:ind w:right="39"/>
              <w:spacing w:after="0" w:line="173" w:lineRule="exact"/>
              <w:rPr>
                <w:sz w:val="20"/>
                <w:szCs w:val="20"/>
                <w:color w:val="auto"/>
              </w:rPr>
            </w:pPr>
            <w:r>
              <w:rPr>
                <w:rFonts w:ascii="Arial" w:cs="Arial" w:eastAsia="Arial" w:hAnsi="Arial"/>
                <w:sz w:val="12"/>
                <w:szCs w:val="12"/>
                <w:b w:val="1"/>
                <w:bCs w:val="1"/>
                <w:color w:val="009CCC"/>
                <w:w w:val="97"/>
              </w:rPr>
              <w:t>Earnings Goal</w:t>
            </w:r>
            <w:r>
              <w:rPr>
                <w:rFonts w:ascii="Arial" w:cs="Arial" w:eastAsia="Arial" w:hAnsi="Arial"/>
                <w:sz w:val="18"/>
                <w:szCs w:val="18"/>
                <w:b w:val="1"/>
                <w:bCs w:val="1"/>
                <w:color w:val="009CCC"/>
                <w:w w:val="97"/>
                <w:vertAlign w:val="superscript"/>
              </w:rPr>
              <w:t>(1)</w:t>
            </w:r>
          </w:p>
        </w:tc>
        <w:tc>
          <w:tcPr>
            <w:tcW w:w="1320" w:type="dxa"/>
            <w:vAlign w:val="bottom"/>
            <w:tcBorders>
              <w:bottom w:val="single" w:sz="8" w:color="7B7C80"/>
              <w:right w:val="single" w:sz="8" w:color="7B7C80"/>
            </w:tcBorders>
          </w:tcPr>
          <w:p>
            <w:pPr>
              <w:jc w:val="center"/>
              <w:spacing w:after="0" w:line="173" w:lineRule="exact"/>
              <w:rPr>
                <w:sz w:val="20"/>
                <w:szCs w:val="20"/>
                <w:color w:val="auto"/>
              </w:rPr>
            </w:pPr>
            <w:r>
              <w:rPr>
                <w:rFonts w:ascii="Arial" w:cs="Arial" w:eastAsia="Arial" w:hAnsi="Arial"/>
                <w:sz w:val="12"/>
                <w:szCs w:val="12"/>
                <w:b w:val="1"/>
                <w:bCs w:val="1"/>
                <w:color w:val="009CCC"/>
                <w:w w:val="98"/>
              </w:rPr>
              <w:t>Earnings Result</w:t>
            </w:r>
            <w:r>
              <w:rPr>
                <w:rFonts w:ascii="Arial" w:cs="Arial" w:eastAsia="Arial" w:hAnsi="Arial"/>
                <w:sz w:val="18"/>
                <w:szCs w:val="18"/>
                <w:b w:val="1"/>
                <w:bCs w:val="1"/>
                <w:color w:val="009CCC"/>
                <w:w w:val="98"/>
                <w:vertAlign w:val="superscript"/>
              </w:rPr>
              <w:t>(1)</w:t>
            </w:r>
          </w:p>
        </w:tc>
        <w:tc>
          <w:tcPr>
            <w:tcW w:w="460" w:type="dxa"/>
            <w:vAlign w:val="bottom"/>
            <w:tcBorders>
              <w:right w:val="single" w:sz="8" w:color="7B7C80"/>
            </w:tcBorders>
          </w:tcPr>
          <w:p>
            <w:pPr>
              <w:spacing w:after="0"/>
              <w:rPr>
                <w:sz w:val="15"/>
                <w:szCs w:val="15"/>
                <w:color w:val="auto"/>
              </w:rPr>
            </w:pPr>
          </w:p>
        </w:tc>
      </w:tr>
      <w:tr>
        <w:trPr>
          <w:trHeight w:val="158"/>
        </w:trPr>
        <w:tc>
          <w:tcPr>
            <w:tcW w:w="360" w:type="dxa"/>
            <w:vAlign w:val="bottom"/>
            <w:tcBorders>
              <w:left w:val="single" w:sz="8" w:color="7B7C80"/>
            </w:tcBorders>
          </w:tcPr>
          <w:p>
            <w:pPr>
              <w:spacing w:after="0"/>
              <w:rPr>
                <w:sz w:val="13"/>
                <w:szCs w:val="13"/>
                <w:color w:val="auto"/>
              </w:rPr>
            </w:pPr>
          </w:p>
        </w:tc>
        <w:tc>
          <w:tcPr>
            <w:tcW w:w="2400" w:type="dxa"/>
            <w:vAlign w:val="bottom"/>
          </w:tcPr>
          <w:p>
            <w:pPr>
              <w:spacing w:after="0"/>
              <w:rPr>
                <w:sz w:val="13"/>
                <w:szCs w:val="13"/>
                <w:color w:val="auto"/>
              </w:rPr>
            </w:pPr>
          </w:p>
        </w:tc>
        <w:tc>
          <w:tcPr>
            <w:tcW w:w="3020" w:type="dxa"/>
            <w:vAlign w:val="bottom"/>
            <w:tcBorders>
              <w:right w:val="single" w:sz="8" w:color="7B7C80"/>
            </w:tcBorders>
          </w:tcPr>
          <w:p>
            <w:pPr>
              <w:spacing w:after="0"/>
              <w:rPr>
                <w:sz w:val="13"/>
                <w:szCs w:val="13"/>
                <w:color w:val="auto"/>
              </w:rPr>
            </w:pPr>
          </w:p>
        </w:tc>
        <w:tc>
          <w:tcPr>
            <w:tcW w:w="380" w:type="dxa"/>
            <w:vAlign w:val="bottom"/>
            <w:tcBorders>
              <w:right w:val="single" w:sz="8" w:color="7B7C80"/>
            </w:tcBorders>
          </w:tcPr>
          <w:p>
            <w:pPr>
              <w:spacing w:after="0"/>
              <w:rPr>
                <w:sz w:val="13"/>
                <w:szCs w:val="13"/>
                <w:color w:val="auto"/>
              </w:rPr>
            </w:pPr>
          </w:p>
        </w:tc>
        <w:tc>
          <w:tcPr>
            <w:tcW w:w="2280" w:type="dxa"/>
            <w:vAlign w:val="bottom"/>
            <w:tcBorders>
              <w:bottom w:val="single" w:sz="8" w:color="7B7C80"/>
              <w:right w:val="single" w:sz="8" w:color="7B7C80"/>
            </w:tcBorders>
          </w:tcPr>
          <w:p>
            <w:pPr>
              <w:ind w:left="60"/>
              <w:spacing w:after="0"/>
              <w:rPr>
                <w:sz w:val="20"/>
                <w:szCs w:val="20"/>
                <w:color w:val="auto"/>
              </w:rPr>
            </w:pPr>
            <w:r>
              <w:rPr>
                <w:rFonts w:ascii="Arial" w:cs="Arial" w:eastAsia="Arial" w:hAnsi="Arial"/>
                <w:sz w:val="12"/>
                <w:szCs w:val="12"/>
                <w:b w:val="1"/>
                <w:bCs w:val="1"/>
                <w:color w:val="7B7C80"/>
              </w:rPr>
              <w:t>Principal Global Investors</w:t>
            </w:r>
          </w:p>
        </w:tc>
        <w:tc>
          <w:tcPr>
            <w:tcW w:w="60" w:type="dxa"/>
            <w:vAlign w:val="bottom"/>
            <w:tcBorders>
              <w:bottom w:val="single" w:sz="8" w:color="7B7C80"/>
            </w:tcBorders>
          </w:tcPr>
          <w:p>
            <w:pPr>
              <w:spacing w:after="0"/>
              <w:rPr>
                <w:sz w:val="13"/>
                <w:szCs w:val="13"/>
                <w:color w:val="auto"/>
              </w:rPr>
            </w:pPr>
          </w:p>
        </w:tc>
        <w:tc>
          <w:tcPr>
            <w:tcW w:w="1160" w:type="dxa"/>
            <w:vAlign w:val="bottom"/>
            <w:tcBorders>
              <w:bottom w:val="single" w:sz="8" w:color="7B7C80"/>
              <w:right w:val="single" w:sz="8" w:color="7B7C80"/>
            </w:tcBorders>
          </w:tcPr>
          <w:p>
            <w:pPr>
              <w:jc w:val="center"/>
              <w:ind w:right="39"/>
              <w:spacing w:after="0"/>
              <w:rPr>
                <w:sz w:val="20"/>
                <w:szCs w:val="20"/>
                <w:color w:val="auto"/>
              </w:rPr>
            </w:pPr>
            <w:r>
              <w:rPr>
                <w:rFonts w:ascii="Arial" w:cs="Arial" w:eastAsia="Arial" w:hAnsi="Arial"/>
                <w:sz w:val="12"/>
                <w:szCs w:val="12"/>
                <w:color w:val="7B7C80"/>
              </w:rPr>
              <w:t>$465M</w:t>
            </w:r>
          </w:p>
        </w:tc>
        <w:tc>
          <w:tcPr>
            <w:tcW w:w="1320" w:type="dxa"/>
            <w:vAlign w:val="bottom"/>
            <w:tcBorders>
              <w:bottom w:val="single" w:sz="8" w:color="7B7C80"/>
              <w:right w:val="single" w:sz="8" w:color="7B7C80"/>
            </w:tcBorders>
          </w:tcPr>
          <w:p>
            <w:pPr>
              <w:jc w:val="center"/>
              <w:spacing w:after="0"/>
              <w:rPr>
                <w:sz w:val="20"/>
                <w:szCs w:val="20"/>
                <w:color w:val="auto"/>
              </w:rPr>
            </w:pPr>
            <w:r>
              <w:rPr>
                <w:rFonts w:ascii="Arial" w:cs="Arial" w:eastAsia="Arial" w:hAnsi="Arial"/>
                <w:sz w:val="12"/>
                <w:szCs w:val="12"/>
                <w:color w:val="7B7C80"/>
              </w:rPr>
              <w:t>$469.7M</w:t>
            </w:r>
          </w:p>
        </w:tc>
        <w:tc>
          <w:tcPr>
            <w:tcW w:w="460" w:type="dxa"/>
            <w:vAlign w:val="bottom"/>
            <w:tcBorders>
              <w:right w:val="single" w:sz="8" w:color="7B7C80"/>
            </w:tcBorders>
          </w:tcPr>
          <w:p>
            <w:pPr>
              <w:spacing w:after="0"/>
              <w:rPr>
                <w:sz w:val="13"/>
                <w:szCs w:val="13"/>
                <w:color w:val="auto"/>
              </w:rPr>
            </w:pPr>
          </w:p>
        </w:tc>
      </w:tr>
      <w:tr>
        <w:trPr>
          <w:trHeight w:val="163"/>
        </w:trPr>
        <w:tc>
          <w:tcPr>
            <w:tcW w:w="360" w:type="dxa"/>
            <w:vAlign w:val="bottom"/>
            <w:tcBorders>
              <w:left w:val="single" w:sz="8" w:color="7B7C80"/>
            </w:tcBorders>
          </w:tcPr>
          <w:p>
            <w:pPr>
              <w:spacing w:after="0"/>
              <w:rPr>
                <w:sz w:val="14"/>
                <w:szCs w:val="14"/>
                <w:color w:val="auto"/>
              </w:rPr>
            </w:pPr>
          </w:p>
        </w:tc>
        <w:tc>
          <w:tcPr>
            <w:tcW w:w="2400" w:type="dxa"/>
            <w:vAlign w:val="bottom"/>
          </w:tcPr>
          <w:p>
            <w:pPr>
              <w:spacing w:after="0"/>
              <w:rPr>
                <w:sz w:val="14"/>
                <w:szCs w:val="14"/>
                <w:color w:val="auto"/>
              </w:rPr>
            </w:pPr>
          </w:p>
        </w:tc>
        <w:tc>
          <w:tcPr>
            <w:tcW w:w="3020" w:type="dxa"/>
            <w:vAlign w:val="bottom"/>
            <w:tcBorders>
              <w:right w:val="single" w:sz="8" w:color="7B7C80"/>
            </w:tcBorders>
          </w:tcPr>
          <w:p>
            <w:pPr>
              <w:spacing w:after="0"/>
              <w:rPr>
                <w:sz w:val="14"/>
                <w:szCs w:val="14"/>
                <w:color w:val="auto"/>
              </w:rPr>
            </w:pPr>
          </w:p>
        </w:tc>
        <w:tc>
          <w:tcPr>
            <w:tcW w:w="380" w:type="dxa"/>
            <w:vAlign w:val="bottom"/>
            <w:tcBorders>
              <w:right w:val="single" w:sz="8" w:color="7B7C80"/>
            </w:tcBorders>
          </w:tcPr>
          <w:p>
            <w:pPr>
              <w:spacing w:after="0"/>
              <w:rPr>
                <w:sz w:val="14"/>
                <w:szCs w:val="14"/>
                <w:color w:val="auto"/>
              </w:rPr>
            </w:pPr>
          </w:p>
        </w:tc>
        <w:tc>
          <w:tcPr>
            <w:tcW w:w="2280" w:type="dxa"/>
            <w:vAlign w:val="bottom"/>
            <w:tcBorders>
              <w:bottom w:val="single" w:sz="8" w:color="7B7C80"/>
              <w:right w:val="single" w:sz="8" w:color="7B7C80"/>
            </w:tcBorders>
          </w:tcPr>
          <w:p>
            <w:pPr>
              <w:ind w:left="60"/>
              <w:spacing w:after="0"/>
              <w:rPr>
                <w:sz w:val="20"/>
                <w:szCs w:val="20"/>
                <w:color w:val="auto"/>
              </w:rPr>
            </w:pPr>
            <w:r>
              <w:rPr>
                <w:rFonts w:ascii="Arial" w:cs="Arial" w:eastAsia="Arial" w:hAnsi="Arial"/>
                <w:sz w:val="12"/>
                <w:szCs w:val="12"/>
                <w:b w:val="1"/>
                <w:bCs w:val="1"/>
                <w:color w:val="7B7C80"/>
              </w:rPr>
              <w:t>Principal International</w:t>
            </w:r>
          </w:p>
        </w:tc>
        <w:tc>
          <w:tcPr>
            <w:tcW w:w="60" w:type="dxa"/>
            <w:vAlign w:val="bottom"/>
            <w:tcBorders>
              <w:bottom w:val="single" w:sz="8" w:color="7B7C80"/>
            </w:tcBorders>
          </w:tcPr>
          <w:p>
            <w:pPr>
              <w:spacing w:after="0"/>
              <w:rPr>
                <w:sz w:val="14"/>
                <w:szCs w:val="14"/>
                <w:color w:val="auto"/>
              </w:rPr>
            </w:pPr>
          </w:p>
        </w:tc>
        <w:tc>
          <w:tcPr>
            <w:tcW w:w="1160" w:type="dxa"/>
            <w:vAlign w:val="bottom"/>
            <w:tcBorders>
              <w:bottom w:val="single" w:sz="8" w:color="7B7C80"/>
              <w:right w:val="single" w:sz="8" w:color="7B7C80"/>
            </w:tcBorders>
          </w:tcPr>
          <w:p>
            <w:pPr>
              <w:jc w:val="center"/>
              <w:ind w:right="39"/>
              <w:spacing w:after="0"/>
              <w:rPr>
                <w:sz w:val="20"/>
                <w:szCs w:val="20"/>
                <w:color w:val="auto"/>
              </w:rPr>
            </w:pPr>
            <w:r>
              <w:rPr>
                <w:rFonts w:ascii="Arial" w:cs="Arial" w:eastAsia="Arial" w:hAnsi="Arial"/>
                <w:sz w:val="12"/>
                <w:szCs w:val="12"/>
                <w:color w:val="7B7C80"/>
              </w:rPr>
              <w:t>$356M</w:t>
            </w:r>
          </w:p>
        </w:tc>
        <w:tc>
          <w:tcPr>
            <w:tcW w:w="1320" w:type="dxa"/>
            <w:vAlign w:val="bottom"/>
            <w:tcBorders>
              <w:bottom w:val="single" w:sz="8" w:color="7B7C80"/>
              <w:right w:val="single" w:sz="8" w:color="7B7C80"/>
            </w:tcBorders>
          </w:tcPr>
          <w:p>
            <w:pPr>
              <w:jc w:val="center"/>
              <w:spacing w:after="0"/>
              <w:rPr>
                <w:sz w:val="20"/>
                <w:szCs w:val="20"/>
                <w:color w:val="auto"/>
              </w:rPr>
            </w:pPr>
            <w:r>
              <w:rPr>
                <w:rFonts w:ascii="Arial" w:cs="Arial" w:eastAsia="Arial" w:hAnsi="Arial"/>
                <w:sz w:val="12"/>
                <w:szCs w:val="12"/>
                <w:color w:val="7B7C80"/>
              </w:rPr>
              <w:t>$330M</w:t>
            </w:r>
          </w:p>
        </w:tc>
        <w:tc>
          <w:tcPr>
            <w:tcW w:w="460" w:type="dxa"/>
            <w:vAlign w:val="bottom"/>
            <w:tcBorders>
              <w:right w:val="single" w:sz="8" w:color="7B7C80"/>
            </w:tcBorders>
          </w:tcPr>
          <w:p>
            <w:pPr>
              <w:spacing w:after="0"/>
              <w:rPr>
                <w:sz w:val="14"/>
                <w:szCs w:val="14"/>
                <w:color w:val="auto"/>
              </w:rPr>
            </w:pPr>
          </w:p>
        </w:tc>
      </w:tr>
      <w:tr>
        <w:trPr>
          <w:trHeight w:val="163"/>
        </w:trPr>
        <w:tc>
          <w:tcPr>
            <w:tcW w:w="360" w:type="dxa"/>
            <w:vAlign w:val="bottom"/>
            <w:tcBorders>
              <w:left w:val="single" w:sz="8" w:color="7B7C80"/>
            </w:tcBorders>
          </w:tcPr>
          <w:p>
            <w:pPr>
              <w:spacing w:after="0"/>
              <w:rPr>
                <w:sz w:val="14"/>
                <w:szCs w:val="14"/>
                <w:color w:val="auto"/>
              </w:rPr>
            </w:pPr>
          </w:p>
        </w:tc>
        <w:tc>
          <w:tcPr>
            <w:tcW w:w="2400" w:type="dxa"/>
            <w:vAlign w:val="bottom"/>
          </w:tcPr>
          <w:p>
            <w:pPr>
              <w:spacing w:after="0"/>
              <w:rPr>
                <w:sz w:val="14"/>
                <w:szCs w:val="14"/>
                <w:color w:val="auto"/>
              </w:rPr>
            </w:pPr>
          </w:p>
        </w:tc>
        <w:tc>
          <w:tcPr>
            <w:tcW w:w="3020" w:type="dxa"/>
            <w:vAlign w:val="bottom"/>
            <w:tcBorders>
              <w:right w:val="single" w:sz="8" w:color="7B7C80"/>
            </w:tcBorders>
          </w:tcPr>
          <w:p>
            <w:pPr>
              <w:spacing w:after="0"/>
              <w:rPr>
                <w:sz w:val="14"/>
                <w:szCs w:val="14"/>
                <w:color w:val="auto"/>
              </w:rPr>
            </w:pPr>
          </w:p>
        </w:tc>
        <w:tc>
          <w:tcPr>
            <w:tcW w:w="380" w:type="dxa"/>
            <w:vAlign w:val="bottom"/>
            <w:tcBorders>
              <w:right w:val="single" w:sz="8" w:color="7B7C80"/>
            </w:tcBorders>
          </w:tcPr>
          <w:p>
            <w:pPr>
              <w:spacing w:after="0"/>
              <w:rPr>
                <w:sz w:val="14"/>
                <w:szCs w:val="14"/>
                <w:color w:val="auto"/>
              </w:rPr>
            </w:pPr>
          </w:p>
        </w:tc>
        <w:tc>
          <w:tcPr>
            <w:tcW w:w="2280" w:type="dxa"/>
            <w:vAlign w:val="bottom"/>
            <w:tcBorders>
              <w:bottom w:val="single" w:sz="8" w:color="7B7C80"/>
              <w:right w:val="single" w:sz="8" w:color="7B7C80"/>
            </w:tcBorders>
          </w:tcPr>
          <w:p>
            <w:pPr>
              <w:ind w:left="60"/>
              <w:spacing w:after="0"/>
              <w:rPr>
                <w:sz w:val="20"/>
                <w:szCs w:val="20"/>
                <w:color w:val="auto"/>
              </w:rPr>
            </w:pPr>
            <w:r>
              <w:rPr>
                <w:rFonts w:ascii="Arial" w:cs="Arial" w:eastAsia="Arial" w:hAnsi="Arial"/>
                <w:sz w:val="12"/>
                <w:szCs w:val="12"/>
                <w:b w:val="1"/>
                <w:bCs w:val="1"/>
                <w:color w:val="7B7C80"/>
              </w:rPr>
              <w:t>Retirement and Income Solutions</w:t>
            </w:r>
          </w:p>
        </w:tc>
        <w:tc>
          <w:tcPr>
            <w:tcW w:w="60" w:type="dxa"/>
            <w:vAlign w:val="bottom"/>
            <w:tcBorders>
              <w:bottom w:val="single" w:sz="8" w:color="7B7C80"/>
            </w:tcBorders>
          </w:tcPr>
          <w:p>
            <w:pPr>
              <w:spacing w:after="0"/>
              <w:rPr>
                <w:sz w:val="14"/>
                <w:szCs w:val="14"/>
                <w:color w:val="auto"/>
              </w:rPr>
            </w:pPr>
          </w:p>
        </w:tc>
        <w:tc>
          <w:tcPr>
            <w:tcW w:w="1160" w:type="dxa"/>
            <w:vAlign w:val="bottom"/>
            <w:tcBorders>
              <w:bottom w:val="single" w:sz="8" w:color="7B7C80"/>
              <w:right w:val="single" w:sz="8" w:color="7B7C80"/>
            </w:tcBorders>
          </w:tcPr>
          <w:p>
            <w:pPr>
              <w:jc w:val="center"/>
              <w:ind w:right="39"/>
              <w:spacing w:after="0"/>
              <w:rPr>
                <w:sz w:val="20"/>
                <w:szCs w:val="20"/>
                <w:color w:val="auto"/>
              </w:rPr>
            </w:pPr>
            <w:r>
              <w:rPr>
                <w:rFonts w:ascii="Arial" w:cs="Arial" w:eastAsia="Arial" w:hAnsi="Arial"/>
                <w:sz w:val="12"/>
                <w:szCs w:val="12"/>
                <w:color w:val="7B7C80"/>
              </w:rPr>
              <w:t>$859M</w:t>
            </w:r>
          </w:p>
        </w:tc>
        <w:tc>
          <w:tcPr>
            <w:tcW w:w="1320" w:type="dxa"/>
            <w:vAlign w:val="bottom"/>
            <w:tcBorders>
              <w:bottom w:val="single" w:sz="8" w:color="7B7C80"/>
              <w:right w:val="single" w:sz="8" w:color="7B7C80"/>
            </w:tcBorders>
          </w:tcPr>
          <w:p>
            <w:pPr>
              <w:jc w:val="center"/>
              <w:spacing w:after="0"/>
              <w:rPr>
                <w:sz w:val="20"/>
                <w:szCs w:val="20"/>
                <w:color w:val="auto"/>
              </w:rPr>
            </w:pPr>
            <w:r>
              <w:rPr>
                <w:rFonts w:ascii="Arial" w:cs="Arial" w:eastAsia="Arial" w:hAnsi="Arial"/>
                <w:sz w:val="12"/>
                <w:szCs w:val="12"/>
                <w:color w:val="7B7C80"/>
              </w:rPr>
              <w:t>$899.8M</w:t>
            </w:r>
          </w:p>
        </w:tc>
        <w:tc>
          <w:tcPr>
            <w:tcW w:w="460" w:type="dxa"/>
            <w:vAlign w:val="bottom"/>
            <w:tcBorders>
              <w:right w:val="single" w:sz="8" w:color="7B7C80"/>
            </w:tcBorders>
          </w:tcPr>
          <w:p>
            <w:pPr>
              <w:spacing w:after="0"/>
              <w:rPr>
                <w:sz w:val="14"/>
                <w:szCs w:val="14"/>
                <w:color w:val="auto"/>
              </w:rPr>
            </w:pPr>
          </w:p>
        </w:tc>
      </w:tr>
      <w:tr>
        <w:trPr>
          <w:trHeight w:val="163"/>
        </w:trPr>
        <w:tc>
          <w:tcPr>
            <w:tcW w:w="360" w:type="dxa"/>
            <w:vAlign w:val="bottom"/>
            <w:tcBorders>
              <w:left w:val="single" w:sz="8" w:color="7B7C80"/>
            </w:tcBorders>
          </w:tcPr>
          <w:p>
            <w:pPr>
              <w:spacing w:after="0"/>
              <w:rPr>
                <w:sz w:val="14"/>
                <w:szCs w:val="14"/>
                <w:color w:val="auto"/>
              </w:rPr>
            </w:pPr>
          </w:p>
        </w:tc>
        <w:tc>
          <w:tcPr>
            <w:tcW w:w="2400" w:type="dxa"/>
            <w:vAlign w:val="bottom"/>
          </w:tcPr>
          <w:p>
            <w:pPr>
              <w:spacing w:after="0"/>
              <w:rPr>
                <w:sz w:val="14"/>
                <w:szCs w:val="14"/>
                <w:color w:val="auto"/>
              </w:rPr>
            </w:pPr>
          </w:p>
        </w:tc>
        <w:tc>
          <w:tcPr>
            <w:tcW w:w="3020" w:type="dxa"/>
            <w:vAlign w:val="bottom"/>
            <w:tcBorders>
              <w:right w:val="single" w:sz="8" w:color="7B7C80"/>
            </w:tcBorders>
          </w:tcPr>
          <w:p>
            <w:pPr>
              <w:spacing w:after="0"/>
              <w:rPr>
                <w:sz w:val="14"/>
                <w:szCs w:val="14"/>
                <w:color w:val="auto"/>
              </w:rPr>
            </w:pPr>
          </w:p>
        </w:tc>
        <w:tc>
          <w:tcPr>
            <w:tcW w:w="380" w:type="dxa"/>
            <w:vAlign w:val="bottom"/>
            <w:tcBorders>
              <w:right w:val="single" w:sz="8" w:color="7B7C80"/>
            </w:tcBorders>
          </w:tcPr>
          <w:p>
            <w:pPr>
              <w:spacing w:after="0"/>
              <w:rPr>
                <w:sz w:val="14"/>
                <w:szCs w:val="14"/>
                <w:color w:val="auto"/>
              </w:rPr>
            </w:pPr>
          </w:p>
        </w:tc>
        <w:tc>
          <w:tcPr>
            <w:tcW w:w="2280" w:type="dxa"/>
            <w:vAlign w:val="bottom"/>
            <w:tcBorders>
              <w:bottom w:val="single" w:sz="8" w:color="7B7C80"/>
              <w:right w:val="single" w:sz="8" w:color="7B7C80"/>
            </w:tcBorders>
          </w:tcPr>
          <w:p>
            <w:pPr>
              <w:ind w:left="60"/>
              <w:spacing w:after="0"/>
              <w:rPr>
                <w:sz w:val="20"/>
                <w:szCs w:val="20"/>
                <w:color w:val="auto"/>
              </w:rPr>
            </w:pPr>
            <w:r>
              <w:rPr>
                <w:rFonts w:ascii="Arial" w:cs="Arial" w:eastAsia="Arial" w:hAnsi="Arial"/>
                <w:sz w:val="12"/>
                <w:szCs w:val="12"/>
                <w:b w:val="1"/>
                <w:bCs w:val="1"/>
                <w:color w:val="7B7C80"/>
              </w:rPr>
              <w:t>U.S. Insurance Solutions</w:t>
            </w:r>
          </w:p>
        </w:tc>
        <w:tc>
          <w:tcPr>
            <w:tcW w:w="60" w:type="dxa"/>
            <w:vAlign w:val="bottom"/>
            <w:tcBorders>
              <w:bottom w:val="single" w:sz="8" w:color="7B7C80"/>
            </w:tcBorders>
          </w:tcPr>
          <w:p>
            <w:pPr>
              <w:spacing w:after="0"/>
              <w:rPr>
                <w:sz w:val="14"/>
                <w:szCs w:val="14"/>
                <w:color w:val="auto"/>
              </w:rPr>
            </w:pPr>
          </w:p>
        </w:tc>
        <w:tc>
          <w:tcPr>
            <w:tcW w:w="1160" w:type="dxa"/>
            <w:vAlign w:val="bottom"/>
            <w:tcBorders>
              <w:bottom w:val="single" w:sz="8" w:color="7B7C80"/>
              <w:right w:val="single" w:sz="8" w:color="7B7C80"/>
            </w:tcBorders>
          </w:tcPr>
          <w:p>
            <w:pPr>
              <w:jc w:val="center"/>
              <w:ind w:right="19"/>
              <w:spacing w:after="0"/>
              <w:rPr>
                <w:sz w:val="20"/>
                <w:szCs w:val="20"/>
                <w:color w:val="auto"/>
              </w:rPr>
            </w:pPr>
            <w:r>
              <w:rPr>
                <w:rFonts w:ascii="Arial" w:cs="Arial" w:eastAsia="Arial" w:hAnsi="Arial"/>
                <w:sz w:val="12"/>
                <w:szCs w:val="12"/>
                <w:color w:val="7B7C80"/>
              </w:rPr>
              <w:t>$427.2M</w:t>
            </w:r>
          </w:p>
        </w:tc>
        <w:tc>
          <w:tcPr>
            <w:tcW w:w="1320" w:type="dxa"/>
            <w:vAlign w:val="bottom"/>
            <w:tcBorders>
              <w:bottom w:val="single" w:sz="8" w:color="7B7C80"/>
              <w:right w:val="single" w:sz="8" w:color="7B7C80"/>
            </w:tcBorders>
          </w:tcPr>
          <w:p>
            <w:pPr>
              <w:jc w:val="center"/>
              <w:spacing w:after="0"/>
              <w:rPr>
                <w:sz w:val="20"/>
                <w:szCs w:val="20"/>
                <w:color w:val="auto"/>
              </w:rPr>
            </w:pPr>
            <w:r>
              <w:rPr>
                <w:rFonts w:ascii="Arial" w:cs="Arial" w:eastAsia="Arial" w:hAnsi="Arial"/>
                <w:sz w:val="12"/>
                <w:szCs w:val="12"/>
                <w:color w:val="7B7C80"/>
              </w:rPr>
              <w:t>$384.7M</w:t>
            </w:r>
          </w:p>
        </w:tc>
        <w:tc>
          <w:tcPr>
            <w:tcW w:w="460" w:type="dxa"/>
            <w:vAlign w:val="bottom"/>
            <w:tcBorders>
              <w:right w:val="single" w:sz="8" w:color="7B7C80"/>
            </w:tcBorders>
          </w:tcPr>
          <w:p>
            <w:pPr>
              <w:spacing w:after="0"/>
              <w:rPr>
                <w:sz w:val="14"/>
                <w:szCs w:val="14"/>
                <w:color w:val="auto"/>
              </w:rPr>
            </w:pPr>
          </w:p>
        </w:tc>
      </w:tr>
      <w:tr>
        <w:trPr>
          <w:trHeight w:val="169"/>
        </w:trPr>
        <w:tc>
          <w:tcPr>
            <w:tcW w:w="2760" w:type="dxa"/>
            <w:vAlign w:val="bottom"/>
            <w:tcBorders>
              <w:left w:val="single" w:sz="8" w:color="7B7C80"/>
              <w:bottom w:val="single" w:sz="8" w:color="7B7C80"/>
            </w:tcBorders>
            <w:gridSpan w:val="2"/>
          </w:tcPr>
          <w:p>
            <w:pPr>
              <w:spacing w:after="0"/>
              <w:rPr>
                <w:sz w:val="14"/>
                <w:szCs w:val="14"/>
                <w:color w:val="auto"/>
              </w:rPr>
            </w:pPr>
          </w:p>
        </w:tc>
        <w:tc>
          <w:tcPr>
            <w:tcW w:w="3020" w:type="dxa"/>
            <w:vAlign w:val="bottom"/>
            <w:tcBorders>
              <w:bottom w:val="single" w:sz="8" w:color="7B7C80"/>
              <w:right w:val="single" w:sz="8" w:color="7B7C80"/>
            </w:tcBorders>
          </w:tcPr>
          <w:p>
            <w:pPr>
              <w:spacing w:after="0"/>
              <w:rPr>
                <w:sz w:val="14"/>
                <w:szCs w:val="14"/>
                <w:color w:val="auto"/>
              </w:rPr>
            </w:pPr>
          </w:p>
        </w:tc>
        <w:tc>
          <w:tcPr>
            <w:tcW w:w="3880" w:type="dxa"/>
            <w:vAlign w:val="bottom"/>
            <w:tcBorders>
              <w:bottom w:val="single" w:sz="8" w:color="7B7C80"/>
            </w:tcBorders>
            <w:gridSpan w:val="4"/>
          </w:tcPr>
          <w:p>
            <w:pPr>
              <w:spacing w:after="0"/>
              <w:rPr>
                <w:sz w:val="14"/>
                <w:szCs w:val="14"/>
                <w:color w:val="auto"/>
              </w:rPr>
            </w:pPr>
          </w:p>
        </w:tc>
        <w:tc>
          <w:tcPr>
            <w:tcW w:w="1320" w:type="dxa"/>
            <w:vAlign w:val="bottom"/>
            <w:tcBorders>
              <w:bottom w:val="single" w:sz="8" w:color="7B7C80"/>
            </w:tcBorders>
          </w:tcPr>
          <w:p>
            <w:pPr>
              <w:spacing w:after="0"/>
              <w:rPr>
                <w:sz w:val="14"/>
                <w:szCs w:val="14"/>
                <w:color w:val="auto"/>
              </w:rPr>
            </w:pPr>
          </w:p>
        </w:tc>
        <w:tc>
          <w:tcPr>
            <w:tcW w:w="460" w:type="dxa"/>
            <w:vAlign w:val="bottom"/>
            <w:tcBorders>
              <w:bottom w:val="single" w:sz="8" w:color="7B7C80"/>
              <w:right w:val="single" w:sz="8" w:color="7B7C80"/>
            </w:tcBorders>
          </w:tcPr>
          <w:p>
            <w:pPr>
              <w:spacing w:after="0"/>
              <w:rPr>
                <w:sz w:val="14"/>
                <w:szCs w:val="14"/>
                <w:color w:val="auto"/>
              </w:rPr>
            </w:pPr>
          </w:p>
        </w:tc>
      </w:tr>
      <w:tr>
        <w:trPr>
          <w:trHeight w:val="133"/>
        </w:trPr>
        <w:tc>
          <w:tcPr>
            <w:tcW w:w="5780" w:type="dxa"/>
            <w:vAlign w:val="bottom"/>
            <w:tcBorders>
              <w:left w:val="single" w:sz="8" w:color="7B7C80"/>
              <w:right w:val="single" w:sz="8" w:color="7B7C80"/>
            </w:tcBorders>
            <w:gridSpan w:val="3"/>
          </w:tcPr>
          <w:p>
            <w:pPr>
              <w:ind w:left="180"/>
              <w:spacing w:after="0" w:line="133" w:lineRule="exact"/>
              <w:rPr>
                <w:sz w:val="20"/>
                <w:szCs w:val="20"/>
                <w:color w:val="auto"/>
              </w:rPr>
            </w:pPr>
            <w:r>
              <w:rPr>
                <w:rFonts w:ascii="Arial" w:cs="Arial" w:eastAsia="Arial" w:hAnsi="Arial"/>
                <w:sz w:val="12"/>
                <w:szCs w:val="12"/>
                <w:color w:val="7B7C80"/>
              </w:rPr>
              <w:t>2.   Capital—Ensure sufficient capital and liquidity to maintain strong financial strength ratings</w:t>
            </w:r>
          </w:p>
        </w:tc>
        <w:tc>
          <w:tcPr>
            <w:tcW w:w="3880" w:type="dxa"/>
            <w:vAlign w:val="bottom"/>
            <w:gridSpan w:val="4"/>
          </w:tcPr>
          <w:p>
            <w:pPr>
              <w:ind w:left="80"/>
              <w:spacing w:after="0" w:line="133" w:lineRule="exact"/>
              <w:rPr>
                <w:sz w:val="20"/>
                <w:szCs w:val="20"/>
                <w:color w:val="auto"/>
              </w:rPr>
            </w:pPr>
            <w:r>
              <w:rPr>
                <w:rFonts w:ascii="Arial" w:cs="Arial" w:eastAsia="Arial" w:hAnsi="Arial"/>
                <w:sz w:val="12"/>
                <w:szCs w:val="12"/>
                <w:color w:val="7B7C80"/>
              </w:rPr>
              <w:t>All capital and liquidity measures are within target ranges.</w:t>
            </w:r>
          </w:p>
        </w:tc>
        <w:tc>
          <w:tcPr>
            <w:tcW w:w="1320" w:type="dxa"/>
            <w:vAlign w:val="bottom"/>
          </w:tcPr>
          <w:p>
            <w:pPr>
              <w:spacing w:after="0"/>
              <w:rPr>
                <w:sz w:val="11"/>
                <w:szCs w:val="11"/>
                <w:color w:val="auto"/>
              </w:rPr>
            </w:pPr>
          </w:p>
        </w:tc>
        <w:tc>
          <w:tcPr>
            <w:tcW w:w="460" w:type="dxa"/>
            <w:vAlign w:val="bottom"/>
            <w:tcBorders>
              <w:right w:val="single" w:sz="8" w:color="7B7C80"/>
            </w:tcBorders>
          </w:tcPr>
          <w:p>
            <w:pPr>
              <w:spacing w:after="0"/>
              <w:rPr>
                <w:sz w:val="11"/>
                <w:szCs w:val="11"/>
                <w:color w:val="auto"/>
              </w:rPr>
            </w:pPr>
          </w:p>
        </w:tc>
      </w:tr>
      <w:tr>
        <w:trPr>
          <w:trHeight w:val="133"/>
        </w:trPr>
        <w:tc>
          <w:tcPr>
            <w:tcW w:w="360" w:type="dxa"/>
            <w:vAlign w:val="bottom"/>
            <w:tcBorders>
              <w:left w:val="single" w:sz="8" w:color="7B7C80"/>
              <w:bottom w:val="single" w:sz="8" w:color="7B7C80"/>
            </w:tcBorders>
          </w:tcPr>
          <w:p>
            <w:pPr>
              <w:spacing w:after="0"/>
              <w:rPr>
                <w:sz w:val="11"/>
                <w:szCs w:val="11"/>
                <w:color w:val="auto"/>
              </w:rPr>
            </w:pPr>
          </w:p>
        </w:tc>
        <w:tc>
          <w:tcPr>
            <w:tcW w:w="5420" w:type="dxa"/>
            <w:vAlign w:val="bottom"/>
            <w:tcBorders>
              <w:bottom w:val="single" w:sz="8" w:color="7B7C80"/>
              <w:right w:val="single" w:sz="8" w:color="7B7C80"/>
            </w:tcBorders>
            <w:gridSpan w:val="2"/>
          </w:tcPr>
          <w:p>
            <w:pPr>
              <w:ind w:left="80"/>
              <w:spacing w:after="0" w:line="134" w:lineRule="exact"/>
              <w:rPr>
                <w:sz w:val="20"/>
                <w:szCs w:val="20"/>
                <w:color w:val="auto"/>
              </w:rPr>
            </w:pPr>
            <w:r>
              <w:rPr>
                <w:rFonts w:ascii="Arial" w:cs="Arial" w:eastAsia="Arial" w:hAnsi="Arial"/>
                <w:sz w:val="12"/>
                <w:szCs w:val="12"/>
                <w:color w:val="7B7C80"/>
              </w:rPr>
              <w:t>relative to peers and to be able to execute upon our strategy.</w:t>
            </w:r>
          </w:p>
        </w:tc>
        <w:tc>
          <w:tcPr>
            <w:tcW w:w="380" w:type="dxa"/>
            <w:vAlign w:val="bottom"/>
            <w:tcBorders>
              <w:bottom w:val="single" w:sz="8" w:color="7B7C80"/>
            </w:tcBorders>
          </w:tcPr>
          <w:p>
            <w:pPr>
              <w:spacing w:after="0"/>
              <w:rPr>
                <w:sz w:val="11"/>
                <w:szCs w:val="11"/>
                <w:color w:val="auto"/>
              </w:rPr>
            </w:pPr>
          </w:p>
        </w:tc>
        <w:tc>
          <w:tcPr>
            <w:tcW w:w="2280" w:type="dxa"/>
            <w:vAlign w:val="bottom"/>
            <w:tcBorders>
              <w:bottom w:val="single" w:sz="8" w:color="7B7C80"/>
            </w:tcBorders>
          </w:tcPr>
          <w:p>
            <w:pPr>
              <w:spacing w:after="0"/>
              <w:rPr>
                <w:sz w:val="11"/>
                <w:szCs w:val="11"/>
                <w:color w:val="auto"/>
              </w:rPr>
            </w:pPr>
          </w:p>
        </w:tc>
        <w:tc>
          <w:tcPr>
            <w:tcW w:w="60" w:type="dxa"/>
            <w:vAlign w:val="bottom"/>
            <w:tcBorders>
              <w:bottom w:val="single" w:sz="8" w:color="7B7C80"/>
            </w:tcBorders>
          </w:tcPr>
          <w:p>
            <w:pPr>
              <w:spacing w:after="0"/>
              <w:rPr>
                <w:sz w:val="11"/>
                <w:szCs w:val="11"/>
                <w:color w:val="auto"/>
              </w:rPr>
            </w:pPr>
          </w:p>
        </w:tc>
        <w:tc>
          <w:tcPr>
            <w:tcW w:w="1160" w:type="dxa"/>
            <w:vAlign w:val="bottom"/>
            <w:tcBorders>
              <w:bottom w:val="single" w:sz="8" w:color="7B7C80"/>
            </w:tcBorders>
          </w:tcPr>
          <w:p>
            <w:pPr>
              <w:spacing w:after="0"/>
              <w:rPr>
                <w:sz w:val="11"/>
                <w:szCs w:val="11"/>
                <w:color w:val="auto"/>
              </w:rPr>
            </w:pPr>
          </w:p>
        </w:tc>
        <w:tc>
          <w:tcPr>
            <w:tcW w:w="1320" w:type="dxa"/>
            <w:vAlign w:val="bottom"/>
            <w:tcBorders>
              <w:bottom w:val="single" w:sz="8" w:color="7B7C80"/>
            </w:tcBorders>
          </w:tcPr>
          <w:p>
            <w:pPr>
              <w:spacing w:after="0"/>
              <w:rPr>
                <w:sz w:val="11"/>
                <w:szCs w:val="11"/>
                <w:color w:val="auto"/>
              </w:rPr>
            </w:pPr>
          </w:p>
        </w:tc>
        <w:tc>
          <w:tcPr>
            <w:tcW w:w="460" w:type="dxa"/>
            <w:vAlign w:val="bottom"/>
            <w:tcBorders>
              <w:bottom w:val="single" w:sz="8" w:color="7B7C80"/>
              <w:right w:val="single" w:sz="8" w:color="7B7C80"/>
            </w:tcBorders>
          </w:tcPr>
          <w:p>
            <w:pPr>
              <w:spacing w:after="0"/>
              <w:rPr>
                <w:sz w:val="11"/>
                <w:szCs w:val="11"/>
                <w:color w:val="auto"/>
              </w:rPr>
            </w:pPr>
          </w:p>
        </w:tc>
      </w:tr>
      <w:tr>
        <w:trPr>
          <w:trHeight w:val="133"/>
        </w:trPr>
        <w:tc>
          <w:tcPr>
            <w:tcW w:w="5780" w:type="dxa"/>
            <w:vAlign w:val="bottom"/>
            <w:tcBorders>
              <w:left w:val="single" w:sz="8" w:color="7B7C80"/>
              <w:right w:val="single" w:sz="8" w:color="7B7C80"/>
            </w:tcBorders>
            <w:gridSpan w:val="3"/>
          </w:tcPr>
          <w:p>
            <w:pPr>
              <w:ind w:left="180"/>
              <w:spacing w:after="0" w:line="133" w:lineRule="exact"/>
              <w:rPr>
                <w:sz w:val="20"/>
                <w:szCs w:val="20"/>
                <w:color w:val="auto"/>
              </w:rPr>
            </w:pPr>
            <w:r>
              <w:rPr>
                <w:rFonts w:ascii="Arial" w:cs="Arial" w:eastAsia="Arial" w:hAnsi="Arial"/>
                <w:sz w:val="12"/>
                <w:szCs w:val="12"/>
                <w:color w:val="7B7C80"/>
              </w:rPr>
              <w:t>3.   Investments—Take actions to invest in optimal assets on a risk-adjusted basis. Acquire assets</w:t>
            </w:r>
          </w:p>
        </w:tc>
        <w:tc>
          <w:tcPr>
            <w:tcW w:w="5660" w:type="dxa"/>
            <w:vAlign w:val="bottom"/>
            <w:tcBorders>
              <w:right w:val="single" w:sz="8" w:color="7B7C80"/>
            </w:tcBorders>
            <w:gridSpan w:val="6"/>
          </w:tcPr>
          <w:p>
            <w:pPr>
              <w:ind w:left="80"/>
              <w:spacing w:after="0" w:line="133" w:lineRule="exact"/>
              <w:rPr>
                <w:sz w:val="20"/>
                <w:szCs w:val="20"/>
                <w:color w:val="auto"/>
              </w:rPr>
            </w:pPr>
            <w:r>
              <w:rPr>
                <w:rFonts w:ascii="Arial" w:cs="Arial" w:eastAsia="Arial" w:hAnsi="Arial"/>
                <w:sz w:val="12"/>
                <w:szCs w:val="12"/>
                <w:color w:val="7B7C80"/>
              </w:rPr>
              <w:t>a)   Achieved a 19 basis point spread on acquired assets, above the target range.</w:t>
            </w:r>
          </w:p>
        </w:tc>
      </w:tr>
      <w:tr>
        <w:trPr>
          <w:trHeight w:val="133"/>
        </w:trPr>
        <w:tc>
          <w:tcPr>
            <w:tcW w:w="360" w:type="dxa"/>
            <w:vAlign w:val="bottom"/>
            <w:tcBorders>
              <w:left w:val="single" w:sz="8" w:color="7B7C80"/>
              <w:bottom w:val="single" w:sz="8" w:color="7B7C80"/>
            </w:tcBorders>
          </w:tcPr>
          <w:p>
            <w:pPr>
              <w:spacing w:after="0"/>
              <w:rPr>
                <w:sz w:val="11"/>
                <w:szCs w:val="11"/>
                <w:color w:val="auto"/>
              </w:rPr>
            </w:pPr>
          </w:p>
        </w:tc>
        <w:tc>
          <w:tcPr>
            <w:tcW w:w="5420" w:type="dxa"/>
            <w:vAlign w:val="bottom"/>
            <w:tcBorders>
              <w:bottom w:val="single" w:sz="8" w:color="7B7C80"/>
              <w:right w:val="single" w:sz="8" w:color="7B7C80"/>
            </w:tcBorders>
            <w:gridSpan w:val="2"/>
          </w:tcPr>
          <w:p>
            <w:pPr>
              <w:ind w:left="80"/>
              <w:spacing w:after="0" w:line="134" w:lineRule="exact"/>
              <w:rPr>
                <w:sz w:val="20"/>
                <w:szCs w:val="20"/>
                <w:color w:val="auto"/>
              </w:rPr>
            </w:pPr>
            <w:r>
              <w:rPr>
                <w:rFonts w:ascii="Arial" w:cs="Arial" w:eastAsia="Arial" w:hAnsi="Arial"/>
                <w:sz w:val="12"/>
                <w:szCs w:val="12"/>
                <w:color w:val="7B7C80"/>
              </w:rPr>
              <w:t>during the year in alignment with the Tactical Asset Allocation.</w:t>
            </w:r>
          </w:p>
        </w:tc>
        <w:tc>
          <w:tcPr>
            <w:tcW w:w="5660" w:type="dxa"/>
            <w:vAlign w:val="bottom"/>
            <w:tcBorders>
              <w:bottom w:val="single" w:sz="8" w:color="7B7C80"/>
              <w:right w:val="single" w:sz="8" w:color="7B7C80"/>
            </w:tcBorders>
            <w:gridSpan w:val="6"/>
          </w:tcPr>
          <w:p>
            <w:pPr>
              <w:ind w:left="80"/>
              <w:spacing w:after="0" w:line="134" w:lineRule="exact"/>
              <w:rPr>
                <w:sz w:val="20"/>
                <w:szCs w:val="20"/>
                <w:color w:val="auto"/>
              </w:rPr>
            </w:pPr>
            <w:r>
              <w:rPr>
                <w:rFonts w:ascii="Arial" w:cs="Arial" w:eastAsia="Arial" w:hAnsi="Arial"/>
                <w:sz w:val="12"/>
                <w:szCs w:val="12"/>
                <w:color w:val="7B7C80"/>
              </w:rPr>
              <w:t>b)   2017 bond and commercial mortgage loan credit losses were $76.5M, within the target range.</w:t>
            </w:r>
          </w:p>
        </w:tc>
      </w:tr>
      <w:tr>
        <w:trPr>
          <w:trHeight w:val="133"/>
        </w:trPr>
        <w:tc>
          <w:tcPr>
            <w:tcW w:w="360" w:type="dxa"/>
            <w:vAlign w:val="bottom"/>
            <w:tcBorders>
              <w:left w:val="single" w:sz="8" w:color="7B7C80"/>
            </w:tcBorders>
          </w:tcPr>
          <w:p>
            <w:pPr>
              <w:ind w:left="180"/>
              <w:spacing w:after="0" w:line="133" w:lineRule="exact"/>
              <w:rPr>
                <w:sz w:val="20"/>
                <w:szCs w:val="20"/>
                <w:color w:val="auto"/>
              </w:rPr>
            </w:pPr>
            <w:r>
              <w:rPr>
                <w:rFonts w:ascii="Arial" w:cs="Arial" w:eastAsia="Arial" w:hAnsi="Arial"/>
                <w:sz w:val="12"/>
                <w:szCs w:val="12"/>
                <w:color w:val="7B7C80"/>
              </w:rPr>
              <w:t>4.</w:t>
            </w:r>
          </w:p>
        </w:tc>
        <w:tc>
          <w:tcPr>
            <w:tcW w:w="5420" w:type="dxa"/>
            <w:vAlign w:val="bottom"/>
            <w:tcBorders>
              <w:right w:val="single" w:sz="8" w:color="7B7C80"/>
            </w:tcBorders>
            <w:gridSpan w:val="2"/>
          </w:tcPr>
          <w:p>
            <w:pPr>
              <w:ind w:left="80"/>
              <w:spacing w:after="0" w:line="133" w:lineRule="exact"/>
              <w:rPr>
                <w:sz w:val="20"/>
                <w:szCs w:val="20"/>
                <w:color w:val="auto"/>
              </w:rPr>
            </w:pPr>
            <w:r>
              <w:rPr>
                <w:rFonts w:ascii="Arial" w:cs="Arial" w:eastAsia="Arial" w:hAnsi="Arial"/>
                <w:sz w:val="12"/>
                <w:szCs w:val="12"/>
                <w:color w:val="7B7C80"/>
              </w:rPr>
              <w:t>Minimize credit loss.</w:t>
            </w:r>
          </w:p>
        </w:tc>
        <w:tc>
          <w:tcPr>
            <w:tcW w:w="5660" w:type="dxa"/>
            <w:vAlign w:val="bottom"/>
            <w:tcBorders>
              <w:right w:val="single" w:sz="8" w:color="7B7C80"/>
            </w:tcBorders>
            <w:gridSpan w:val="6"/>
          </w:tcPr>
          <w:p>
            <w:pPr>
              <w:ind w:left="80"/>
              <w:spacing w:after="0" w:line="133" w:lineRule="exact"/>
              <w:rPr>
                <w:sz w:val="20"/>
                <w:szCs w:val="20"/>
                <w:color w:val="auto"/>
              </w:rPr>
            </w:pPr>
            <w:r>
              <w:rPr>
                <w:rFonts w:ascii="Arial" w:cs="Arial" w:eastAsia="Arial" w:hAnsi="Arial"/>
                <w:sz w:val="12"/>
                <w:szCs w:val="12"/>
                <w:color w:val="7B7C80"/>
              </w:rPr>
              <w:t>Assets acquired during the year aligned with the Company's Tactical Asset Allocation. The current</w:t>
            </w:r>
          </w:p>
        </w:tc>
      </w:tr>
      <w:tr>
        <w:trPr>
          <w:trHeight w:val="137"/>
        </w:trPr>
        <w:tc>
          <w:tcPr>
            <w:tcW w:w="360" w:type="dxa"/>
            <w:vAlign w:val="bottom"/>
            <w:tcBorders>
              <w:left w:val="single" w:sz="8" w:color="7B7C80"/>
            </w:tcBorders>
          </w:tcPr>
          <w:p>
            <w:pPr>
              <w:spacing w:after="0"/>
              <w:rPr>
                <w:sz w:val="11"/>
                <w:szCs w:val="11"/>
                <w:color w:val="auto"/>
              </w:rPr>
            </w:pPr>
          </w:p>
        </w:tc>
        <w:tc>
          <w:tcPr>
            <w:tcW w:w="2400" w:type="dxa"/>
            <w:vAlign w:val="bottom"/>
          </w:tcPr>
          <w:p>
            <w:pPr>
              <w:spacing w:after="0"/>
              <w:rPr>
                <w:sz w:val="11"/>
                <w:szCs w:val="11"/>
                <w:color w:val="auto"/>
              </w:rPr>
            </w:pPr>
          </w:p>
        </w:tc>
        <w:tc>
          <w:tcPr>
            <w:tcW w:w="3020" w:type="dxa"/>
            <w:vAlign w:val="bottom"/>
            <w:tcBorders>
              <w:right w:val="single" w:sz="8" w:color="7B7C80"/>
            </w:tcBorders>
          </w:tcPr>
          <w:p>
            <w:pPr>
              <w:spacing w:after="0"/>
              <w:rPr>
                <w:sz w:val="11"/>
                <w:szCs w:val="11"/>
                <w:color w:val="auto"/>
              </w:rPr>
            </w:pPr>
          </w:p>
        </w:tc>
        <w:tc>
          <w:tcPr>
            <w:tcW w:w="5660" w:type="dxa"/>
            <w:vAlign w:val="bottom"/>
            <w:tcBorders>
              <w:right w:val="single" w:sz="8" w:color="7B7C80"/>
            </w:tcBorders>
            <w:gridSpan w:val="6"/>
          </w:tcPr>
          <w:p>
            <w:pPr>
              <w:ind w:left="80"/>
              <w:spacing w:after="0"/>
              <w:rPr>
                <w:sz w:val="20"/>
                <w:szCs w:val="20"/>
                <w:color w:val="auto"/>
              </w:rPr>
            </w:pPr>
            <w:r>
              <w:rPr>
                <w:rFonts w:ascii="Arial" w:cs="Arial" w:eastAsia="Arial" w:hAnsi="Arial"/>
                <w:sz w:val="12"/>
                <w:szCs w:val="12"/>
                <w:color w:val="7B7C80"/>
              </w:rPr>
              <w:t>portfolio was managed to appropriately reflect losses and impairments based on the target blended</w:t>
            </w:r>
          </w:p>
        </w:tc>
      </w:tr>
      <w:tr>
        <w:trPr>
          <w:trHeight w:val="137"/>
        </w:trPr>
        <w:tc>
          <w:tcPr>
            <w:tcW w:w="360" w:type="dxa"/>
            <w:vAlign w:val="bottom"/>
            <w:tcBorders>
              <w:left w:val="single" w:sz="8" w:color="7B7C80"/>
            </w:tcBorders>
          </w:tcPr>
          <w:p>
            <w:pPr>
              <w:spacing w:after="0"/>
              <w:rPr>
                <w:sz w:val="11"/>
                <w:szCs w:val="11"/>
                <w:color w:val="auto"/>
              </w:rPr>
            </w:pPr>
          </w:p>
        </w:tc>
        <w:tc>
          <w:tcPr>
            <w:tcW w:w="2400" w:type="dxa"/>
            <w:vAlign w:val="bottom"/>
          </w:tcPr>
          <w:p>
            <w:pPr>
              <w:spacing w:after="0"/>
              <w:rPr>
                <w:sz w:val="11"/>
                <w:szCs w:val="11"/>
                <w:color w:val="auto"/>
              </w:rPr>
            </w:pPr>
          </w:p>
        </w:tc>
        <w:tc>
          <w:tcPr>
            <w:tcW w:w="3020" w:type="dxa"/>
            <w:vAlign w:val="bottom"/>
            <w:tcBorders>
              <w:right w:val="single" w:sz="8" w:color="7B7C80"/>
            </w:tcBorders>
          </w:tcPr>
          <w:p>
            <w:pPr>
              <w:spacing w:after="0"/>
              <w:rPr>
                <w:sz w:val="11"/>
                <w:szCs w:val="11"/>
                <w:color w:val="auto"/>
              </w:rPr>
            </w:pPr>
          </w:p>
        </w:tc>
        <w:tc>
          <w:tcPr>
            <w:tcW w:w="5660" w:type="dxa"/>
            <w:vAlign w:val="bottom"/>
            <w:tcBorders>
              <w:right w:val="single" w:sz="8" w:color="7B7C80"/>
            </w:tcBorders>
            <w:gridSpan w:val="6"/>
          </w:tcPr>
          <w:p>
            <w:pPr>
              <w:ind w:left="80"/>
              <w:spacing w:after="0"/>
              <w:rPr>
                <w:sz w:val="20"/>
                <w:szCs w:val="20"/>
                <w:color w:val="auto"/>
              </w:rPr>
            </w:pPr>
            <w:r>
              <w:rPr>
                <w:rFonts w:ascii="Arial" w:cs="Arial" w:eastAsia="Arial" w:hAnsi="Arial"/>
                <w:sz w:val="12"/>
                <w:szCs w:val="12"/>
                <w:color w:val="7B7C80"/>
              </w:rPr>
              <w:t>overall range of 6-9 basis points after-tax. Performance relative to the credit loss goal was within the</w:t>
            </w:r>
          </w:p>
        </w:tc>
      </w:tr>
      <w:tr>
        <w:trPr>
          <w:trHeight w:val="137"/>
        </w:trPr>
        <w:tc>
          <w:tcPr>
            <w:tcW w:w="360" w:type="dxa"/>
            <w:vAlign w:val="bottom"/>
            <w:tcBorders>
              <w:left w:val="single" w:sz="8" w:color="7B7C80"/>
            </w:tcBorders>
          </w:tcPr>
          <w:p>
            <w:pPr>
              <w:spacing w:after="0"/>
              <w:rPr>
                <w:sz w:val="11"/>
                <w:szCs w:val="11"/>
                <w:color w:val="auto"/>
              </w:rPr>
            </w:pPr>
          </w:p>
        </w:tc>
        <w:tc>
          <w:tcPr>
            <w:tcW w:w="2400" w:type="dxa"/>
            <w:vAlign w:val="bottom"/>
          </w:tcPr>
          <w:p>
            <w:pPr>
              <w:spacing w:after="0"/>
              <w:rPr>
                <w:sz w:val="11"/>
                <w:szCs w:val="11"/>
                <w:color w:val="auto"/>
              </w:rPr>
            </w:pPr>
          </w:p>
        </w:tc>
        <w:tc>
          <w:tcPr>
            <w:tcW w:w="3020" w:type="dxa"/>
            <w:vAlign w:val="bottom"/>
            <w:tcBorders>
              <w:right w:val="single" w:sz="8" w:color="7B7C80"/>
            </w:tcBorders>
          </w:tcPr>
          <w:p>
            <w:pPr>
              <w:spacing w:after="0"/>
              <w:rPr>
                <w:sz w:val="11"/>
                <w:szCs w:val="11"/>
                <w:color w:val="auto"/>
              </w:rPr>
            </w:pPr>
          </w:p>
        </w:tc>
        <w:tc>
          <w:tcPr>
            <w:tcW w:w="5660" w:type="dxa"/>
            <w:vAlign w:val="bottom"/>
            <w:tcBorders>
              <w:right w:val="single" w:sz="8" w:color="7B7C80"/>
            </w:tcBorders>
            <w:gridSpan w:val="6"/>
          </w:tcPr>
          <w:p>
            <w:pPr>
              <w:ind w:left="80"/>
              <w:spacing w:after="0"/>
              <w:rPr>
                <w:sz w:val="20"/>
                <w:szCs w:val="20"/>
                <w:color w:val="auto"/>
              </w:rPr>
            </w:pPr>
            <w:r>
              <w:rPr>
                <w:rFonts w:ascii="Arial" w:cs="Arial" w:eastAsia="Arial" w:hAnsi="Arial"/>
                <w:sz w:val="12"/>
                <w:szCs w:val="12"/>
                <w:color w:val="7B7C80"/>
              </w:rPr>
              <w:t>desired original range and was mitigated by very strong performance in commercial mortgage losses;</w:t>
            </w:r>
          </w:p>
        </w:tc>
      </w:tr>
      <w:tr>
        <w:trPr>
          <w:trHeight w:val="137"/>
        </w:trPr>
        <w:tc>
          <w:tcPr>
            <w:tcW w:w="360" w:type="dxa"/>
            <w:vAlign w:val="bottom"/>
            <w:tcBorders>
              <w:left w:val="single" w:sz="8" w:color="7B7C80"/>
            </w:tcBorders>
          </w:tcPr>
          <w:p>
            <w:pPr>
              <w:spacing w:after="0"/>
              <w:rPr>
                <w:sz w:val="11"/>
                <w:szCs w:val="11"/>
                <w:color w:val="auto"/>
              </w:rPr>
            </w:pPr>
          </w:p>
        </w:tc>
        <w:tc>
          <w:tcPr>
            <w:tcW w:w="2400" w:type="dxa"/>
            <w:vAlign w:val="bottom"/>
          </w:tcPr>
          <w:p>
            <w:pPr>
              <w:spacing w:after="0"/>
              <w:rPr>
                <w:sz w:val="11"/>
                <w:szCs w:val="11"/>
                <w:color w:val="auto"/>
              </w:rPr>
            </w:pPr>
          </w:p>
        </w:tc>
        <w:tc>
          <w:tcPr>
            <w:tcW w:w="3020" w:type="dxa"/>
            <w:vAlign w:val="bottom"/>
            <w:tcBorders>
              <w:right w:val="single" w:sz="8" w:color="7B7C80"/>
            </w:tcBorders>
          </w:tcPr>
          <w:p>
            <w:pPr>
              <w:spacing w:after="0"/>
              <w:rPr>
                <w:sz w:val="11"/>
                <w:szCs w:val="11"/>
                <w:color w:val="auto"/>
              </w:rPr>
            </w:pPr>
          </w:p>
        </w:tc>
        <w:tc>
          <w:tcPr>
            <w:tcW w:w="5660" w:type="dxa"/>
            <w:vAlign w:val="bottom"/>
            <w:tcBorders>
              <w:right w:val="single" w:sz="8" w:color="7B7C80"/>
            </w:tcBorders>
            <w:gridSpan w:val="6"/>
          </w:tcPr>
          <w:p>
            <w:pPr>
              <w:ind w:left="80"/>
              <w:spacing w:after="0"/>
              <w:rPr>
                <w:sz w:val="20"/>
                <w:szCs w:val="20"/>
                <w:color w:val="auto"/>
              </w:rPr>
            </w:pPr>
            <w:r>
              <w:rPr>
                <w:rFonts w:ascii="Arial" w:cs="Arial" w:eastAsia="Arial" w:hAnsi="Arial"/>
                <w:sz w:val="12"/>
                <w:szCs w:val="12"/>
                <w:color w:val="7B7C80"/>
              </w:rPr>
              <w:t>the result continues below long-run pricing assumptions, as appropriate for this time in the credit</w:t>
            </w:r>
          </w:p>
        </w:tc>
      </w:tr>
      <w:tr>
        <w:trPr>
          <w:trHeight w:val="137"/>
        </w:trPr>
        <w:tc>
          <w:tcPr>
            <w:tcW w:w="360" w:type="dxa"/>
            <w:vAlign w:val="bottom"/>
            <w:tcBorders>
              <w:left w:val="single" w:sz="8" w:color="7B7C80"/>
            </w:tcBorders>
          </w:tcPr>
          <w:p>
            <w:pPr>
              <w:spacing w:after="0"/>
              <w:rPr>
                <w:sz w:val="11"/>
                <w:szCs w:val="11"/>
                <w:color w:val="auto"/>
              </w:rPr>
            </w:pPr>
          </w:p>
        </w:tc>
        <w:tc>
          <w:tcPr>
            <w:tcW w:w="2400" w:type="dxa"/>
            <w:vAlign w:val="bottom"/>
          </w:tcPr>
          <w:p>
            <w:pPr>
              <w:spacing w:after="0"/>
              <w:rPr>
                <w:sz w:val="11"/>
                <w:szCs w:val="11"/>
                <w:color w:val="auto"/>
              </w:rPr>
            </w:pPr>
          </w:p>
        </w:tc>
        <w:tc>
          <w:tcPr>
            <w:tcW w:w="3020" w:type="dxa"/>
            <w:vAlign w:val="bottom"/>
            <w:tcBorders>
              <w:right w:val="single" w:sz="8" w:color="7B7C80"/>
            </w:tcBorders>
          </w:tcPr>
          <w:p>
            <w:pPr>
              <w:spacing w:after="0"/>
              <w:rPr>
                <w:sz w:val="11"/>
                <w:szCs w:val="11"/>
                <w:color w:val="auto"/>
              </w:rPr>
            </w:pPr>
          </w:p>
        </w:tc>
        <w:tc>
          <w:tcPr>
            <w:tcW w:w="5660" w:type="dxa"/>
            <w:vAlign w:val="bottom"/>
            <w:tcBorders>
              <w:right w:val="single" w:sz="8" w:color="7B7C80"/>
            </w:tcBorders>
            <w:gridSpan w:val="6"/>
          </w:tcPr>
          <w:p>
            <w:pPr>
              <w:ind w:left="80"/>
              <w:spacing w:after="0"/>
              <w:rPr>
                <w:sz w:val="20"/>
                <w:szCs w:val="20"/>
                <w:color w:val="auto"/>
              </w:rPr>
            </w:pPr>
            <w:r>
              <w:rPr>
                <w:rFonts w:ascii="Arial" w:cs="Arial" w:eastAsia="Arial" w:hAnsi="Arial"/>
                <w:sz w:val="12"/>
                <w:szCs w:val="12"/>
                <w:color w:val="7B7C80"/>
              </w:rPr>
              <w:t>cycle; and the Company's investment portfolio was managed against headwinds from the commodity</w:t>
            </w:r>
          </w:p>
        </w:tc>
      </w:tr>
      <w:tr>
        <w:trPr>
          <w:trHeight w:val="133"/>
        </w:trPr>
        <w:tc>
          <w:tcPr>
            <w:tcW w:w="360" w:type="dxa"/>
            <w:vAlign w:val="bottom"/>
            <w:tcBorders>
              <w:left w:val="single" w:sz="8" w:color="7B7C80"/>
              <w:bottom w:val="single" w:sz="8" w:color="7B7C80"/>
            </w:tcBorders>
          </w:tcPr>
          <w:p>
            <w:pPr>
              <w:spacing w:after="0"/>
              <w:rPr>
                <w:sz w:val="11"/>
                <w:szCs w:val="11"/>
                <w:color w:val="auto"/>
              </w:rPr>
            </w:pPr>
          </w:p>
        </w:tc>
        <w:tc>
          <w:tcPr>
            <w:tcW w:w="2400" w:type="dxa"/>
            <w:vAlign w:val="bottom"/>
            <w:tcBorders>
              <w:bottom w:val="single" w:sz="8" w:color="7B7C80"/>
            </w:tcBorders>
          </w:tcPr>
          <w:p>
            <w:pPr>
              <w:spacing w:after="0"/>
              <w:rPr>
                <w:sz w:val="11"/>
                <w:szCs w:val="11"/>
                <w:color w:val="auto"/>
              </w:rPr>
            </w:pPr>
          </w:p>
        </w:tc>
        <w:tc>
          <w:tcPr>
            <w:tcW w:w="3020" w:type="dxa"/>
            <w:vAlign w:val="bottom"/>
            <w:tcBorders>
              <w:bottom w:val="single" w:sz="8" w:color="7B7C80"/>
              <w:right w:val="single" w:sz="8" w:color="7B7C80"/>
            </w:tcBorders>
          </w:tcPr>
          <w:p>
            <w:pPr>
              <w:spacing w:after="0"/>
              <w:rPr>
                <w:sz w:val="11"/>
                <w:szCs w:val="11"/>
                <w:color w:val="auto"/>
              </w:rPr>
            </w:pPr>
          </w:p>
        </w:tc>
        <w:tc>
          <w:tcPr>
            <w:tcW w:w="5660" w:type="dxa"/>
            <w:vAlign w:val="bottom"/>
            <w:tcBorders>
              <w:bottom w:val="single" w:sz="8" w:color="7B7C80"/>
              <w:right w:val="single" w:sz="8" w:color="7B7C80"/>
            </w:tcBorders>
            <w:gridSpan w:val="6"/>
          </w:tcPr>
          <w:p>
            <w:pPr>
              <w:ind w:left="80"/>
              <w:spacing w:after="0" w:line="134" w:lineRule="exact"/>
              <w:rPr>
                <w:sz w:val="20"/>
                <w:szCs w:val="20"/>
                <w:color w:val="auto"/>
              </w:rPr>
            </w:pPr>
            <w:r>
              <w:rPr>
                <w:rFonts w:ascii="Arial" w:cs="Arial" w:eastAsia="Arial" w:hAnsi="Arial"/>
                <w:sz w:val="12"/>
                <w:szCs w:val="12"/>
                <w:color w:val="7B7C80"/>
              </w:rPr>
              <w:t>sensitive sectors that resulted in modest losses on par with, if not better than, our peers.</w:t>
            </w:r>
          </w:p>
        </w:tc>
      </w:tr>
      <w:tr>
        <w:trPr>
          <w:trHeight w:val="126"/>
        </w:trPr>
        <w:tc>
          <w:tcPr>
            <w:tcW w:w="5780" w:type="dxa"/>
            <w:vAlign w:val="bottom"/>
            <w:tcBorders>
              <w:left w:val="single" w:sz="8" w:color="7B7C80"/>
              <w:right w:val="single" w:sz="8" w:color="7B7C80"/>
            </w:tcBorders>
            <w:gridSpan w:val="3"/>
          </w:tcPr>
          <w:p>
            <w:pPr>
              <w:ind w:left="180"/>
              <w:spacing w:after="0" w:line="126" w:lineRule="exact"/>
              <w:rPr>
                <w:sz w:val="20"/>
                <w:szCs w:val="20"/>
                <w:color w:val="auto"/>
              </w:rPr>
            </w:pPr>
            <w:r>
              <w:rPr>
                <w:rFonts w:ascii="Arial" w:cs="Arial" w:eastAsia="Arial" w:hAnsi="Arial"/>
                <w:sz w:val="12"/>
                <w:szCs w:val="12"/>
                <w:color w:val="7B7C80"/>
              </w:rPr>
              <w:t>5.   Total Company Revenue/Net Revenue</w:t>
            </w:r>
          </w:p>
        </w:tc>
        <w:tc>
          <w:tcPr>
            <w:tcW w:w="5660" w:type="dxa"/>
            <w:vAlign w:val="bottom"/>
            <w:tcBorders>
              <w:right w:val="single" w:sz="8" w:color="7B7C80"/>
            </w:tcBorders>
            <w:gridSpan w:val="6"/>
          </w:tcPr>
          <w:p>
            <w:pPr>
              <w:ind w:left="80"/>
              <w:spacing w:after="0" w:line="126" w:lineRule="exact"/>
              <w:rPr>
                <w:sz w:val="20"/>
                <w:szCs w:val="20"/>
                <w:color w:val="auto"/>
              </w:rPr>
            </w:pPr>
            <w:r>
              <w:rPr>
                <w:rFonts w:ascii="Arial" w:cs="Arial" w:eastAsia="Arial" w:hAnsi="Arial"/>
                <w:sz w:val="12"/>
                <w:szCs w:val="12"/>
                <w:color w:val="7B7C80"/>
              </w:rPr>
              <w:t>Mr. Houston and Ms. Strable had goals for total company revenue and net revenue. The Company</w:t>
            </w:r>
          </w:p>
        </w:tc>
      </w:tr>
      <w:tr>
        <w:trPr>
          <w:trHeight w:val="167"/>
        </w:trPr>
        <w:tc>
          <w:tcPr>
            <w:tcW w:w="360" w:type="dxa"/>
            <w:vAlign w:val="bottom"/>
            <w:tcBorders>
              <w:left w:val="single" w:sz="8" w:color="7B7C80"/>
            </w:tcBorders>
          </w:tcPr>
          <w:p>
            <w:pPr>
              <w:spacing w:after="0"/>
              <w:rPr>
                <w:sz w:val="14"/>
                <w:szCs w:val="14"/>
                <w:color w:val="auto"/>
              </w:rPr>
            </w:pPr>
          </w:p>
        </w:tc>
        <w:tc>
          <w:tcPr>
            <w:tcW w:w="2400" w:type="dxa"/>
            <w:vAlign w:val="bottom"/>
          </w:tcPr>
          <w:p>
            <w:pPr>
              <w:spacing w:after="0"/>
              <w:rPr>
                <w:sz w:val="14"/>
                <w:szCs w:val="14"/>
                <w:color w:val="auto"/>
              </w:rPr>
            </w:pPr>
          </w:p>
        </w:tc>
        <w:tc>
          <w:tcPr>
            <w:tcW w:w="3020" w:type="dxa"/>
            <w:vAlign w:val="bottom"/>
            <w:tcBorders>
              <w:right w:val="single" w:sz="8" w:color="7B7C80"/>
            </w:tcBorders>
          </w:tcPr>
          <w:p>
            <w:pPr>
              <w:spacing w:after="0"/>
              <w:rPr>
                <w:sz w:val="14"/>
                <w:szCs w:val="14"/>
                <w:color w:val="auto"/>
              </w:rPr>
            </w:pPr>
          </w:p>
        </w:tc>
        <w:tc>
          <w:tcPr>
            <w:tcW w:w="5660" w:type="dxa"/>
            <w:vAlign w:val="bottom"/>
            <w:tcBorders>
              <w:right w:val="single" w:sz="8" w:color="7B7C80"/>
            </w:tcBorders>
            <w:gridSpan w:val="6"/>
          </w:tcPr>
          <w:p>
            <w:pPr>
              <w:ind w:left="80"/>
              <w:spacing w:after="0" w:line="167" w:lineRule="exact"/>
              <w:rPr>
                <w:sz w:val="20"/>
                <w:szCs w:val="20"/>
                <w:color w:val="auto"/>
              </w:rPr>
            </w:pPr>
            <w:r>
              <w:rPr>
                <w:rFonts w:ascii="Arial" w:cs="Arial" w:eastAsia="Arial" w:hAnsi="Arial"/>
                <w:sz w:val="12"/>
                <w:szCs w:val="12"/>
                <w:color w:val="7B7C80"/>
              </w:rPr>
              <w:t>had total revenue</w:t>
            </w:r>
            <w:r>
              <w:rPr>
                <w:rFonts w:ascii="Arial" w:cs="Arial" w:eastAsia="Arial" w:hAnsi="Arial"/>
                <w:sz w:val="18"/>
                <w:szCs w:val="18"/>
                <w:color w:val="7B7C80"/>
                <w:vertAlign w:val="superscript"/>
              </w:rPr>
              <w:t>(2)</w:t>
            </w:r>
            <w:r>
              <w:rPr>
                <w:rFonts w:ascii="Arial" w:cs="Arial" w:eastAsia="Arial" w:hAnsi="Arial"/>
                <w:sz w:val="12"/>
                <w:szCs w:val="12"/>
                <w:color w:val="7B7C80"/>
              </w:rPr>
              <w:t xml:space="preserve"> of $13,703M against a goal of $13,075M and net revenue</w:t>
            </w:r>
            <w:r>
              <w:rPr>
                <w:rFonts w:ascii="Arial" w:cs="Arial" w:eastAsia="Arial" w:hAnsi="Arial"/>
                <w:sz w:val="18"/>
                <w:szCs w:val="18"/>
                <w:color w:val="7B7C80"/>
                <w:vertAlign w:val="superscript"/>
              </w:rPr>
              <w:t>(2)</w:t>
            </w:r>
            <w:r>
              <w:rPr>
                <w:rFonts w:ascii="Arial" w:cs="Arial" w:eastAsia="Arial" w:hAnsi="Arial"/>
                <w:sz w:val="12"/>
                <w:szCs w:val="12"/>
                <w:color w:val="7B7C80"/>
              </w:rPr>
              <w:t xml:space="preserve"> of $5,717M relative</w:t>
            </w:r>
          </w:p>
        </w:tc>
      </w:tr>
      <w:tr>
        <w:trPr>
          <w:trHeight w:val="137"/>
        </w:trPr>
        <w:tc>
          <w:tcPr>
            <w:tcW w:w="360" w:type="dxa"/>
            <w:vAlign w:val="bottom"/>
            <w:tcBorders>
              <w:left w:val="single" w:sz="8" w:color="7B7C80"/>
            </w:tcBorders>
          </w:tcPr>
          <w:p>
            <w:pPr>
              <w:spacing w:after="0"/>
              <w:rPr>
                <w:sz w:val="11"/>
                <w:szCs w:val="11"/>
                <w:color w:val="auto"/>
              </w:rPr>
            </w:pPr>
          </w:p>
        </w:tc>
        <w:tc>
          <w:tcPr>
            <w:tcW w:w="2400" w:type="dxa"/>
            <w:vAlign w:val="bottom"/>
          </w:tcPr>
          <w:p>
            <w:pPr>
              <w:spacing w:after="0"/>
              <w:rPr>
                <w:sz w:val="11"/>
                <w:szCs w:val="11"/>
                <w:color w:val="auto"/>
              </w:rPr>
            </w:pPr>
          </w:p>
        </w:tc>
        <w:tc>
          <w:tcPr>
            <w:tcW w:w="3020" w:type="dxa"/>
            <w:vAlign w:val="bottom"/>
            <w:tcBorders>
              <w:right w:val="single" w:sz="8" w:color="7B7C80"/>
            </w:tcBorders>
          </w:tcPr>
          <w:p>
            <w:pPr>
              <w:spacing w:after="0"/>
              <w:rPr>
                <w:sz w:val="11"/>
                <w:szCs w:val="11"/>
                <w:color w:val="auto"/>
              </w:rPr>
            </w:pPr>
          </w:p>
        </w:tc>
        <w:tc>
          <w:tcPr>
            <w:tcW w:w="5660" w:type="dxa"/>
            <w:vAlign w:val="bottom"/>
            <w:tcBorders>
              <w:right w:val="single" w:sz="8" w:color="7B7C80"/>
            </w:tcBorders>
            <w:gridSpan w:val="6"/>
          </w:tcPr>
          <w:p>
            <w:pPr>
              <w:ind w:left="80"/>
              <w:spacing w:after="0"/>
              <w:rPr>
                <w:sz w:val="20"/>
                <w:szCs w:val="20"/>
                <w:color w:val="auto"/>
              </w:rPr>
            </w:pPr>
            <w:r>
              <w:rPr>
                <w:rFonts w:ascii="Arial" w:cs="Arial" w:eastAsia="Arial" w:hAnsi="Arial"/>
                <w:sz w:val="12"/>
                <w:szCs w:val="12"/>
                <w:color w:val="7B7C80"/>
              </w:rPr>
              <w:t>to a goal of $5,680M. In addition, Mr. Valdés and Ms. Everett had Net Revenue goals specific to the</w:t>
            </w:r>
          </w:p>
        </w:tc>
      </w:tr>
      <w:tr>
        <w:trPr>
          <w:trHeight w:val="137"/>
        </w:trPr>
        <w:tc>
          <w:tcPr>
            <w:tcW w:w="360" w:type="dxa"/>
            <w:vAlign w:val="bottom"/>
            <w:tcBorders>
              <w:left w:val="single" w:sz="8" w:color="7B7C80"/>
            </w:tcBorders>
          </w:tcPr>
          <w:p>
            <w:pPr>
              <w:spacing w:after="0"/>
              <w:rPr>
                <w:sz w:val="11"/>
                <w:szCs w:val="11"/>
                <w:color w:val="auto"/>
              </w:rPr>
            </w:pPr>
          </w:p>
        </w:tc>
        <w:tc>
          <w:tcPr>
            <w:tcW w:w="2400" w:type="dxa"/>
            <w:vAlign w:val="bottom"/>
          </w:tcPr>
          <w:p>
            <w:pPr>
              <w:spacing w:after="0"/>
              <w:rPr>
                <w:sz w:val="11"/>
                <w:szCs w:val="11"/>
                <w:color w:val="auto"/>
              </w:rPr>
            </w:pPr>
          </w:p>
        </w:tc>
        <w:tc>
          <w:tcPr>
            <w:tcW w:w="3020" w:type="dxa"/>
            <w:vAlign w:val="bottom"/>
            <w:tcBorders>
              <w:right w:val="single" w:sz="8" w:color="7B7C80"/>
            </w:tcBorders>
          </w:tcPr>
          <w:p>
            <w:pPr>
              <w:spacing w:after="0"/>
              <w:rPr>
                <w:sz w:val="11"/>
                <w:szCs w:val="11"/>
                <w:color w:val="auto"/>
              </w:rPr>
            </w:pPr>
          </w:p>
        </w:tc>
        <w:tc>
          <w:tcPr>
            <w:tcW w:w="5660" w:type="dxa"/>
            <w:vAlign w:val="bottom"/>
            <w:tcBorders>
              <w:right w:val="single" w:sz="8" w:color="7B7C80"/>
            </w:tcBorders>
            <w:gridSpan w:val="6"/>
          </w:tcPr>
          <w:p>
            <w:pPr>
              <w:ind w:left="80"/>
              <w:spacing w:after="0"/>
              <w:rPr>
                <w:sz w:val="20"/>
                <w:szCs w:val="20"/>
                <w:color w:val="auto"/>
              </w:rPr>
            </w:pPr>
            <w:r>
              <w:rPr>
                <w:rFonts w:ascii="Arial" w:cs="Arial" w:eastAsia="Arial" w:hAnsi="Arial"/>
                <w:sz w:val="12"/>
                <w:szCs w:val="12"/>
                <w:color w:val="7B7C80"/>
              </w:rPr>
              <w:t>business units they oversee and Mr. McCaughan had an Operating Revenue less Pass-Through</w:t>
            </w:r>
          </w:p>
        </w:tc>
      </w:tr>
      <w:tr>
        <w:trPr>
          <w:trHeight w:val="147"/>
        </w:trPr>
        <w:tc>
          <w:tcPr>
            <w:tcW w:w="360" w:type="dxa"/>
            <w:vAlign w:val="bottom"/>
            <w:tcBorders>
              <w:left w:val="single" w:sz="8" w:color="7B7C80"/>
            </w:tcBorders>
          </w:tcPr>
          <w:p>
            <w:pPr>
              <w:spacing w:after="0"/>
              <w:rPr>
                <w:sz w:val="12"/>
                <w:szCs w:val="12"/>
                <w:color w:val="auto"/>
              </w:rPr>
            </w:pPr>
          </w:p>
        </w:tc>
        <w:tc>
          <w:tcPr>
            <w:tcW w:w="2400" w:type="dxa"/>
            <w:vAlign w:val="bottom"/>
          </w:tcPr>
          <w:p>
            <w:pPr>
              <w:spacing w:after="0"/>
              <w:rPr>
                <w:sz w:val="12"/>
                <w:szCs w:val="12"/>
                <w:color w:val="auto"/>
              </w:rPr>
            </w:pPr>
          </w:p>
        </w:tc>
        <w:tc>
          <w:tcPr>
            <w:tcW w:w="3020" w:type="dxa"/>
            <w:vAlign w:val="bottom"/>
            <w:tcBorders>
              <w:right w:val="single" w:sz="8" w:color="7B7C80"/>
            </w:tcBorders>
          </w:tcPr>
          <w:p>
            <w:pPr>
              <w:spacing w:after="0"/>
              <w:rPr>
                <w:sz w:val="12"/>
                <w:szCs w:val="12"/>
                <w:color w:val="auto"/>
              </w:rPr>
            </w:pPr>
          </w:p>
        </w:tc>
        <w:tc>
          <w:tcPr>
            <w:tcW w:w="2720" w:type="dxa"/>
            <w:vAlign w:val="bottom"/>
            <w:gridSpan w:val="3"/>
          </w:tcPr>
          <w:p>
            <w:pPr>
              <w:ind w:left="80"/>
              <w:spacing w:after="0"/>
              <w:rPr>
                <w:sz w:val="20"/>
                <w:szCs w:val="20"/>
                <w:color w:val="auto"/>
              </w:rPr>
            </w:pPr>
            <w:r>
              <w:rPr>
                <w:rFonts w:ascii="Arial" w:cs="Arial" w:eastAsia="Arial" w:hAnsi="Arial"/>
                <w:sz w:val="12"/>
                <w:szCs w:val="12"/>
                <w:color w:val="7B7C80"/>
              </w:rPr>
              <w:t>Commissions goal for Principal Global Investors:</w:t>
            </w:r>
          </w:p>
        </w:tc>
        <w:tc>
          <w:tcPr>
            <w:tcW w:w="11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460" w:type="dxa"/>
            <w:vAlign w:val="bottom"/>
            <w:tcBorders>
              <w:right w:val="single" w:sz="8" w:color="7B7C80"/>
            </w:tcBorders>
          </w:tcPr>
          <w:p>
            <w:pPr>
              <w:spacing w:after="0"/>
              <w:rPr>
                <w:sz w:val="12"/>
                <w:szCs w:val="12"/>
                <w:color w:val="auto"/>
              </w:rPr>
            </w:pPr>
          </w:p>
        </w:tc>
      </w:tr>
      <w:tr>
        <w:trPr>
          <w:trHeight w:val="159"/>
        </w:trPr>
        <w:tc>
          <w:tcPr>
            <w:tcW w:w="360" w:type="dxa"/>
            <w:vAlign w:val="bottom"/>
            <w:tcBorders>
              <w:left w:val="single" w:sz="8" w:color="7B7C80"/>
            </w:tcBorders>
          </w:tcPr>
          <w:p>
            <w:pPr>
              <w:spacing w:after="0"/>
              <w:rPr>
                <w:sz w:val="13"/>
                <w:szCs w:val="13"/>
                <w:color w:val="auto"/>
              </w:rPr>
            </w:pPr>
          </w:p>
        </w:tc>
        <w:tc>
          <w:tcPr>
            <w:tcW w:w="2400" w:type="dxa"/>
            <w:vAlign w:val="bottom"/>
          </w:tcPr>
          <w:p>
            <w:pPr>
              <w:spacing w:after="0"/>
              <w:rPr>
                <w:sz w:val="13"/>
                <w:szCs w:val="13"/>
                <w:color w:val="auto"/>
              </w:rPr>
            </w:pPr>
          </w:p>
        </w:tc>
        <w:tc>
          <w:tcPr>
            <w:tcW w:w="3020" w:type="dxa"/>
            <w:vAlign w:val="bottom"/>
            <w:tcBorders>
              <w:right w:val="single" w:sz="8" w:color="7B7C80"/>
            </w:tcBorders>
          </w:tcPr>
          <w:p>
            <w:pPr>
              <w:spacing w:after="0"/>
              <w:rPr>
                <w:sz w:val="13"/>
                <w:szCs w:val="13"/>
                <w:color w:val="auto"/>
              </w:rPr>
            </w:pPr>
          </w:p>
        </w:tc>
        <w:tc>
          <w:tcPr>
            <w:tcW w:w="380" w:type="dxa"/>
            <w:vAlign w:val="bottom"/>
          </w:tcPr>
          <w:p>
            <w:pPr>
              <w:spacing w:after="0"/>
              <w:rPr>
                <w:sz w:val="13"/>
                <w:szCs w:val="13"/>
                <w:color w:val="auto"/>
              </w:rPr>
            </w:pPr>
          </w:p>
        </w:tc>
        <w:tc>
          <w:tcPr>
            <w:tcW w:w="2340" w:type="dxa"/>
            <w:vAlign w:val="bottom"/>
            <w:gridSpan w:val="2"/>
          </w:tcPr>
          <w:p>
            <w:pPr>
              <w:spacing w:after="0"/>
              <w:rPr>
                <w:sz w:val="13"/>
                <w:szCs w:val="13"/>
                <w:color w:val="auto"/>
              </w:rPr>
            </w:pPr>
          </w:p>
        </w:tc>
        <w:tc>
          <w:tcPr>
            <w:tcW w:w="1160" w:type="dxa"/>
            <w:vAlign w:val="bottom"/>
          </w:tcPr>
          <w:p>
            <w:pPr>
              <w:spacing w:after="0"/>
              <w:rPr>
                <w:sz w:val="13"/>
                <w:szCs w:val="13"/>
                <w:color w:val="auto"/>
              </w:rPr>
            </w:pPr>
          </w:p>
        </w:tc>
        <w:tc>
          <w:tcPr>
            <w:tcW w:w="1780" w:type="dxa"/>
            <w:vAlign w:val="bottom"/>
            <w:tcBorders>
              <w:right w:val="single" w:sz="8" w:color="7B7C80"/>
            </w:tcBorders>
            <w:gridSpan w:val="2"/>
          </w:tcPr>
          <w:p>
            <w:pPr>
              <w:spacing w:after="0"/>
              <w:rPr>
                <w:sz w:val="13"/>
                <w:szCs w:val="13"/>
                <w:color w:val="auto"/>
              </w:rPr>
            </w:pPr>
          </w:p>
        </w:tc>
      </w:tr>
      <w:tr>
        <w:trPr>
          <w:trHeight w:val="119"/>
        </w:trPr>
        <w:tc>
          <w:tcPr>
            <w:tcW w:w="360" w:type="dxa"/>
            <w:vAlign w:val="bottom"/>
            <w:tcBorders>
              <w:left w:val="single" w:sz="8" w:color="7B7C80"/>
            </w:tcBorders>
          </w:tcPr>
          <w:p>
            <w:pPr>
              <w:spacing w:after="0"/>
              <w:rPr>
                <w:sz w:val="10"/>
                <w:szCs w:val="10"/>
                <w:color w:val="auto"/>
              </w:rPr>
            </w:pPr>
          </w:p>
        </w:tc>
        <w:tc>
          <w:tcPr>
            <w:tcW w:w="2400" w:type="dxa"/>
            <w:vAlign w:val="bottom"/>
          </w:tcPr>
          <w:p>
            <w:pPr>
              <w:spacing w:after="0"/>
              <w:rPr>
                <w:sz w:val="10"/>
                <w:szCs w:val="10"/>
                <w:color w:val="auto"/>
              </w:rPr>
            </w:pPr>
          </w:p>
        </w:tc>
        <w:tc>
          <w:tcPr>
            <w:tcW w:w="3020" w:type="dxa"/>
            <w:vAlign w:val="bottom"/>
            <w:tcBorders>
              <w:right w:val="single" w:sz="8" w:color="7B7C80"/>
            </w:tcBorders>
          </w:tcPr>
          <w:p>
            <w:pPr>
              <w:spacing w:after="0"/>
              <w:rPr>
                <w:sz w:val="10"/>
                <w:szCs w:val="10"/>
                <w:color w:val="auto"/>
              </w:rPr>
            </w:pPr>
          </w:p>
        </w:tc>
        <w:tc>
          <w:tcPr>
            <w:tcW w:w="380" w:type="dxa"/>
            <w:vAlign w:val="bottom"/>
            <w:tcBorders>
              <w:right w:val="single" w:sz="8" w:color="7B7C80"/>
            </w:tcBorders>
          </w:tcPr>
          <w:p>
            <w:pPr>
              <w:spacing w:after="0"/>
              <w:rPr>
                <w:sz w:val="10"/>
                <w:szCs w:val="10"/>
                <w:color w:val="auto"/>
              </w:rPr>
            </w:pPr>
          </w:p>
        </w:tc>
        <w:tc>
          <w:tcPr>
            <w:tcW w:w="2280" w:type="dxa"/>
            <w:vAlign w:val="bottom"/>
            <w:tcBorders>
              <w:top w:val="single" w:sz="8" w:color="7B7C80"/>
              <w:right w:val="single" w:sz="8" w:color="7B7C80"/>
            </w:tcBorders>
          </w:tcPr>
          <w:p>
            <w:pPr>
              <w:ind w:left="400"/>
              <w:spacing w:after="0" w:line="119" w:lineRule="exact"/>
              <w:rPr>
                <w:sz w:val="20"/>
                <w:szCs w:val="20"/>
                <w:color w:val="auto"/>
              </w:rPr>
            </w:pPr>
            <w:r>
              <w:rPr>
                <w:rFonts w:ascii="Arial" w:cs="Arial" w:eastAsia="Arial" w:hAnsi="Arial"/>
                <w:sz w:val="12"/>
                <w:szCs w:val="12"/>
                <w:b w:val="1"/>
                <w:bCs w:val="1"/>
                <w:color w:val="009CCC"/>
              </w:rPr>
              <w:t>Named Executive Officer</w:t>
            </w:r>
          </w:p>
        </w:tc>
        <w:tc>
          <w:tcPr>
            <w:tcW w:w="60" w:type="dxa"/>
            <w:vAlign w:val="bottom"/>
            <w:tcBorders>
              <w:top w:val="single" w:sz="8" w:color="7B7C80"/>
            </w:tcBorders>
          </w:tcPr>
          <w:p>
            <w:pPr>
              <w:spacing w:after="0"/>
              <w:rPr>
                <w:sz w:val="10"/>
                <w:szCs w:val="10"/>
                <w:color w:val="auto"/>
              </w:rPr>
            </w:pPr>
          </w:p>
        </w:tc>
        <w:tc>
          <w:tcPr>
            <w:tcW w:w="1160" w:type="dxa"/>
            <w:vAlign w:val="bottom"/>
            <w:tcBorders>
              <w:top w:val="single" w:sz="8" w:color="7B7C80"/>
              <w:right w:val="single" w:sz="8" w:color="7B7C80"/>
            </w:tcBorders>
          </w:tcPr>
          <w:p>
            <w:pPr>
              <w:jc w:val="center"/>
              <w:ind w:right="19"/>
              <w:spacing w:after="0" w:line="119" w:lineRule="exact"/>
              <w:rPr>
                <w:sz w:val="20"/>
                <w:szCs w:val="20"/>
                <w:color w:val="auto"/>
              </w:rPr>
            </w:pPr>
            <w:r>
              <w:rPr>
                <w:rFonts w:ascii="Arial" w:cs="Arial" w:eastAsia="Arial" w:hAnsi="Arial"/>
                <w:sz w:val="12"/>
                <w:szCs w:val="12"/>
                <w:b w:val="1"/>
                <w:bCs w:val="1"/>
                <w:color w:val="009CCC"/>
              </w:rPr>
              <w:t>Net</w:t>
            </w:r>
          </w:p>
        </w:tc>
        <w:tc>
          <w:tcPr>
            <w:tcW w:w="1320" w:type="dxa"/>
            <w:vAlign w:val="bottom"/>
            <w:tcBorders>
              <w:top w:val="single" w:sz="8" w:color="7B7C80"/>
              <w:right w:val="single" w:sz="8" w:color="7B7C80"/>
            </w:tcBorders>
          </w:tcPr>
          <w:p>
            <w:pPr>
              <w:jc w:val="center"/>
              <w:spacing w:after="0" w:line="119" w:lineRule="exact"/>
              <w:rPr>
                <w:sz w:val="20"/>
                <w:szCs w:val="20"/>
                <w:color w:val="auto"/>
              </w:rPr>
            </w:pPr>
            <w:r>
              <w:rPr>
                <w:rFonts w:ascii="Arial" w:cs="Arial" w:eastAsia="Arial" w:hAnsi="Arial"/>
                <w:sz w:val="12"/>
                <w:szCs w:val="12"/>
                <w:b w:val="1"/>
                <w:bCs w:val="1"/>
                <w:color w:val="009CCC"/>
              </w:rPr>
              <w:t>Net</w:t>
            </w:r>
          </w:p>
        </w:tc>
        <w:tc>
          <w:tcPr>
            <w:tcW w:w="460" w:type="dxa"/>
            <w:vAlign w:val="bottom"/>
            <w:tcBorders>
              <w:right w:val="single" w:sz="8" w:color="7B7C80"/>
            </w:tcBorders>
          </w:tcPr>
          <w:p>
            <w:pPr>
              <w:spacing w:after="0"/>
              <w:rPr>
                <w:sz w:val="10"/>
                <w:szCs w:val="10"/>
                <w:color w:val="auto"/>
              </w:rPr>
            </w:pPr>
          </w:p>
        </w:tc>
      </w:tr>
      <w:tr>
        <w:trPr>
          <w:trHeight w:val="147"/>
        </w:trPr>
        <w:tc>
          <w:tcPr>
            <w:tcW w:w="360" w:type="dxa"/>
            <w:vAlign w:val="bottom"/>
            <w:tcBorders>
              <w:left w:val="single" w:sz="8" w:color="7B7C80"/>
            </w:tcBorders>
          </w:tcPr>
          <w:p>
            <w:pPr>
              <w:spacing w:after="0"/>
              <w:rPr>
                <w:sz w:val="12"/>
                <w:szCs w:val="12"/>
                <w:color w:val="auto"/>
              </w:rPr>
            </w:pPr>
          </w:p>
        </w:tc>
        <w:tc>
          <w:tcPr>
            <w:tcW w:w="2400" w:type="dxa"/>
            <w:vAlign w:val="bottom"/>
          </w:tcPr>
          <w:p>
            <w:pPr>
              <w:spacing w:after="0"/>
              <w:rPr>
                <w:sz w:val="12"/>
                <w:szCs w:val="12"/>
                <w:color w:val="auto"/>
              </w:rPr>
            </w:pPr>
          </w:p>
        </w:tc>
        <w:tc>
          <w:tcPr>
            <w:tcW w:w="3020" w:type="dxa"/>
            <w:vAlign w:val="bottom"/>
            <w:tcBorders>
              <w:right w:val="single" w:sz="8" w:color="7B7C80"/>
            </w:tcBorders>
          </w:tcPr>
          <w:p>
            <w:pPr>
              <w:spacing w:after="0"/>
              <w:rPr>
                <w:sz w:val="12"/>
                <w:szCs w:val="12"/>
                <w:color w:val="auto"/>
              </w:rPr>
            </w:pPr>
          </w:p>
        </w:tc>
        <w:tc>
          <w:tcPr>
            <w:tcW w:w="380" w:type="dxa"/>
            <w:vAlign w:val="bottom"/>
            <w:tcBorders>
              <w:right w:val="single" w:sz="8" w:color="7B7C80"/>
            </w:tcBorders>
          </w:tcPr>
          <w:p>
            <w:pPr>
              <w:spacing w:after="0"/>
              <w:rPr>
                <w:sz w:val="12"/>
                <w:szCs w:val="12"/>
                <w:color w:val="auto"/>
              </w:rPr>
            </w:pPr>
          </w:p>
        </w:tc>
        <w:tc>
          <w:tcPr>
            <w:tcW w:w="2280" w:type="dxa"/>
            <w:vAlign w:val="bottom"/>
            <w:tcBorders>
              <w:bottom w:val="single" w:sz="8" w:color="7B7C80"/>
              <w:right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1160" w:type="dxa"/>
            <w:vAlign w:val="bottom"/>
            <w:tcBorders>
              <w:bottom w:val="single" w:sz="8" w:color="7B7C80"/>
              <w:right w:val="single" w:sz="8" w:color="7B7C80"/>
            </w:tcBorders>
          </w:tcPr>
          <w:p>
            <w:pPr>
              <w:jc w:val="center"/>
              <w:ind w:right="39"/>
              <w:spacing w:after="0"/>
              <w:rPr>
                <w:sz w:val="20"/>
                <w:szCs w:val="20"/>
                <w:color w:val="auto"/>
              </w:rPr>
            </w:pPr>
            <w:r>
              <w:rPr>
                <w:rFonts w:ascii="Arial" w:cs="Arial" w:eastAsia="Arial" w:hAnsi="Arial"/>
                <w:sz w:val="12"/>
                <w:szCs w:val="12"/>
                <w:b w:val="1"/>
                <w:bCs w:val="1"/>
                <w:color w:val="009CCC"/>
              </w:rPr>
              <w:t>Revenue Goal</w:t>
            </w:r>
          </w:p>
        </w:tc>
        <w:tc>
          <w:tcPr>
            <w:tcW w:w="1320" w:type="dxa"/>
            <w:vAlign w:val="bottom"/>
            <w:tcBorders>
              <w:bottom w:val="single" w:sz="8" w:color="7B7C80"/>
              <w:right w:val="single" w:sz="8" w:color="7B7C80"/>
            </w:tcBorders>
          </w:tcPr>
          <w:p>
            <w:pPr>
              <w:jc w:val="center"/>
              <w:spacing w:after="0"/>
              <w:rPr>
                <w:sz w:val="20"/>
                <w:szCs w:val="20"/>
                <w:color w:val="auto"/>
              </w:rPr>
            </w:pPr>
            <w:r>
              <w:rPr>
                <w:rFonts w:ascii="Arial" w:cs="Arial" w:eastAsia="Arial" w:hAnsi="Arial"/>
                <w:sz w:val="12"/>
                <w:szCs w:val="12"/>
                <w:b w:val="1"/>
                <w:bCs w:val="1"/>
                <w:color w:val="009CCC"/>
              </w:rPr>
              <w:t>Revenue Result</w:t>
            </w:r>
          </w:p>
        </w:tc>
        <w:tc>
          <w:tcPr>
            <w:tcW w:w="460" w:type="dxa"/>
            <w:vAlign w:val="bottom"/>
            <w:tcBorders>
              <w:right w:val="single" w:sz="8" w:color="7B7C80"/>
            </w:tcBorders>
          </w:tcPr>
          <w:p>
            <w:pPr>
              <w:spacing w:after="0"/>
              <w:rPr>
                <w:sz w:val="12"/>
                <w:szCs w:val="12"/>
                <w:color w:val="auto"/>
              </w:rPr>
            </w:pPr>
          </w:p>
        </w:tc>
      </w:tr>
      <w:tr>
        <w:trPr>
          <w:trHeight w:val="158"/>
        </w:trPr>
        <w:tc>
          <w:tcPr>
            <w:tcW w:w="360" w:type="dxa"/>
            <w:vAlign w:val="bottom"/>
            <w:tcBorders>
              <w:left w:val="single" w:sz="8" w:color="7B7C80"/>
            </w:tcBorders>
          </w:tcPr>
          <w:p>
            <w:pPr>
              <w:spacing w:after="0"/>
              <w:rPr>
                <w:sz w:val="13"/>
                <w:szCs w:val="13"/>
                <w:color w:val="auto"/>
              </w:rPr>
            </w:pPr>
          </w:p>
        </w:tc>
        <w:tc>
          <w:tcPr>
            <w:tcW w:w="2400" w:type="dxa"/>
            <w:vAlign w:val="bottom"/>
          </w:tcPr>
          <w:p>
            <w:pPr>
              <w:spacing w:after="0"/>
              <w:rPr>
                <w:sz w:val="13"/>
                <w:szCs w:val="13"/>
                <w:color w:val="auto"/>
              </w:rPr>
            </w:pPr>
          </w:p>
        </w:tc>
        <w:tc>
          <w:tcPr>
            <w:tcW w:w="3020" w:type="dxa"/>
            <w:vAlign w:val="bottom"/>
            <w:tcBorders>
              <w:right w:val="single" w:sz="8" w:color="7B7C80"/>
            </w:tcBorders>
          </w:tcPr>
          <w:p>
            <w:pPr>
              <w:spacing w:after="0"/>
              <w:rPr>
                <w:sz w:val="13"/>
                <w:szCs w:val="13"/>
                <w:color w:val="auto"/>
              </w:rPr>
            </w:pPr>
          </w:p>
        </w:tc>
        <w:tc>
          <w:tcPr>
            <w:tcW w:w="380" w:type="dxa"/>
            <w:vAlign w:val="bottom"/>
            <w:tcBorders>
              <w:right w:val="single" w:sz="8" w:color="7B7C80"/>
            </w:tcBorders>
          </w:tcPr>
          <w:p>
            <w:pPr>
              <w:spacing w:after="0"/>
              <w:rPr>
                <w:sz w:val="13"/>
                <w:szCs w:val="13"/>
                <w:color w:val="auto"/>
              </w:rPr>
            </w:pPr>
          </w:p>
        </w:tc>
        <w:tc>
          <w:tcPr>
            <w:tcW w:w="2280" w:type="dxa"/>
            <w:vAlign w:val="bottom"/>
            <w:tcBorders>
              <w:bottom w:val="single" w:sz="8" w:color="7B7C80"/>
              <w:right w:val="single" w:sz="8" w:color="7B7C80"/>
            </w:tcBorders>
          </w:tcPr>
          <w:p>
            <w:pPr>
              <w:ind w:left="60"/>
              <w:spacing w:after="0"/>
              <w:rPr>
                <w:sz w:val="20"/>
                <w:szCs w:val="20"/>
                <w:color w:val="auto"/>
              </w:rPr>
            </w:pPr>
            <w:r>
              <w:rPr>
                <w:rFonts w:ascii="Arial" w:cs="Arial" w:eastAsia="Arial" w:hAnsi="Arial"/>
                <w:sz w:val="12"/>
                <w:szCs w:val="12"/>
                <w:b w:val="1"/>
                <w:bCs w:val="1"/>
                <w:color w:val="7B7C80"/>
              </w:rPr>
              <w:t>Valdés—Principal International</w:t>
            </w:r>
          </w:p>
        </w:tc>
        <w:tc>
          <w:tcPr>
            <w:tcW w:w="60" w:type="dxa"/>
            <w:vAlign w:val="bottom"/>
            <w:tcBorders>
              <w:bottom w:val="single" w:sz="8" w:color="7B7C80"/>
            </w:tcBorders>
          </w:tcPr>
          <w:p>
            <w:pPr>
              <w:spacing w:after="0"/>
              <w:rPr>
                <w:sz w:val="13"/>
                <w:szCs w:val="13"/>
                <w:color w:val="auto"/>
              </w:rPr>
            </w:pPr>
          </w:p>
        </w:tc>
        <w:tc>
          <w:tcPr>
            <w:tcW w:w="1160" w:type="dxa"/>
            <w:vAlign w:val="bottom"/>
            <w:tcBorders>
              <w:bottom w:val="single" w:sz="8" w:color="7B7C80"/>
              <w:right w:val="single" w:sz="8" w:color="7B7C80"/>
            </w:tcBorders>
          </w:tcPr>
          <w:p>
            <w:pPr>
              <w:jc w:val="center"/>
              <w:ind w:right="19"/>
              <w:spacing w:after="0"/>
              <w:rPr>
                <w:sz w:val="20"/>
                <w:szCs w:val="20"/>
                <w:color w:val="auto"/>
              </w:rPr>
            </w:pPr>
            <w:r>
              <w:rPr>
                <w:rFonts w:ascii="Arial" w:cs="Arial" w:eastAsia="Arial" w:hAnsi="Arial"/>
                <w:sz w:val="12"/>
                <w:szCs w:val="12"/>
                <w:color w:val="7B7C80"/>
              </w:rPr>
              <w:t>$757.9M</w:t>
            </w:r>
          </w:p>
        </w:tc>
        <w:tc>
          <w:tcPr>
            <w:tcW w:w="1320" w:type="dxa"/>
            <w:vAlign w:val="bottom"/>
            <w:tcBorders>
              <w:bottom w:val="single" w:sz="8" w:color="7B7C80"/>
              <w:right w:val="single" w:sz="8" w:color="7B7C80"/>
            </w:tcBorders>
          </w:tcPr>
          <w:p>
            <w:pPr>
              <w:jc w:val="center"/>
              <w:spacing w:after="0"/>
              <w:rPr>
                <w:sz w:val="20"/>
                <w:szCs w:val="20"/>
                <w:color w:val="auto"/>
              </w:rPr>
            </w:pPr>
            <w:r>
              <w:rPr>
                <w:rFonts w:ascii="Arial" w:cs="Arial" w:eastAsia="Arial" w:hAnsi="Arial"/>
                <w:sz w:val="12"/>
                <w:szCs w:val="12"/>
                <w:color w:val="7B7C80"/>
              </w:rPr>
              <w:t>$760.1M</w:t>
            </w:r>
          </w:p>
        </w:tc>
        <w:tc>
          <w:tcPr>
            <w:tcW w:w="460" w:type="dxa"/>
            <w:vAlign w:val="bottom"/>
            <w:tcBorders>
              <w:right w:val="single" w:sz="8" w:color="7B7C80"/>
            </w:tcBorders>
          </w:tcPr>
          <w:p>
            <w:pPr>
              <w:spacing w:after="0"/>
              <w:rPr>
                <w:sz w:val="13"/>
                <w:szCs w:val="13"/>
                <w:color w:val="auto"/>
              </w:rPr>
            </w:pPr>
          </w:p>
        </w:tc>
      </w:tr>
      <w:tr>
        <w:trPr>
          <w:trHeight w:val="125"/>
        </w:trPr>
        <w:tc>
          <w:tcPr>
            <w:tcW w:w="360" w:type="dxa"/>
            <w:vAlign w:val="bottom"/>
            <w:tcBorders>
              <w:left w:val="single" w:sz="8" w:color="7B7C80"/>
            </w:tcBorders>
          </w:tcPr>
          <w:p>
            <w:pPr>
              <w:spacing w:after="0"/>
              <w:rPr>
                <w:sz w:val="10"/>
                <w:szCs w:val="10"/>
                <w:color w:val="auto"/>
              </w:rPr>
            </w:pPr>
          </w:p>
        </w:tc>
        <w:tc>
          <w:tcPr>
            <w:tcW w:w="2400" w:type="dxa"/>
            <w:vAlign w:val="bottom"/>
          </w:tcPr>
          <w:p>
            <w:pPr>
              <w:spacing w:after="0"/>
              <w:rPr>
                <w:sz w:val="10"/>
                <w:szCs w:val="10"/>
                <w:color w:val="auto"/>
              </w:rPr>
            </w:pPr>
          </w:p>
        </w:tc>
        <w:tc>
          <w:tcPr>
            <w:tcW w:w="3020" w:type="dxa"/>
            <w:vAlign w:val="bottom"/>
            <w:tcBorders>
              <w:right w:val="single" w:sz="8" w:color="7B7C80"/>
            </w:tcBorders>
          </w:tcPr>
          <w:p>
            <w:pPr>
              <w:spacing w:after="0"/>
              <w:rPr>
                <w:sz w:val="10"/>
                <w:szCs w:val="10"/>
                <w:color w:val="auto"/>
              </w:rPr>
            </w:pPr>
          </w:p>
        </w:tc>
        <w:tc>
          <w:tcPr>
            <w:tcW w:w="380" w:type="dxa"/>
            <w:vAlign w:val="bottom"/>
            <w:tcBorders>
              <w:right w:val="single" w:sz="8" w:color="7B7C80"/>
            </w:tcBorders>
          </w:tcPr>
          <w:p>
            <w:pPr>
              <w:spacing w:after="0"/>
              <w:rPr>
                <w:sz w:val="10"/>
                <w:szCs w:val="10"/>
                <w:color w:val="auto"/>
              </w:rPr>
            </w:pPr>
          </w:p>
        </w:tc>
        <w:tc>
          <w:tcPr>
            <w:tcW w:w="2280" w:type="dxa"/>
            <w:vAlign w:val="bottom"/>
            <w:tcBorders>
              <w:right w:val="single" w:sz="8" w:color="7B7C80"/>
            </w:tcBorders>
          </w:tcPr>
          <w:p>
            <w:pPr>
              <w:ind w:left="60"/>
              <w:spacing w:after="0" w:line="125" w:lineRule="exact"/>
              <w:rPr>
                <w:sz w:val="20"/>
                <w:szCs w:val="20"/>
                <w:color w:val="auto"/>
              </w:rPr>
            </w:pPr>
            <w:r>
              <w:rPr>
                <w:rFonts w:ascii="Arial" w:cs="Arial" w:eastAsia="Arial" w:hAnsi="Arial"/>
                <w:sz w:val="12"/>
                <w:szCs w:val="12"/>
                <w:b w:val="1"/>
                <w:bCs w:val="1"/>
                <w:color w:val="7B7C80"/>
              </w:rPr>
              <w:t>Everett—</w:t>
            </w:r>
          </w:p>
        </w:tc>
        <w:tc>
          <w:tcPr>
            <w:tcW w:w="60" w:type="dxa"/>
            <w:vAlign w:val="bottom"/>
          </w:tcPr>
          <w:p>
            <w:pPr>
              <w:spacing w:after="0"/>
              <w:rPr>
                <w:sz w:val="10"/>
                <w:szCs w:val="10"/>
                <w:color w:val="auto"/>
              </w:rPr>
            </w:pPr>
          </w:p>
        </w:tc>
        <w:tc>
          <w:tcPr>
            <w:tcW w:w="1160" w:type="dxa"/>
            <w:vAlign w:val="bottom"/>
            <w:tcBorders>
              <w:right w:val="single" w:sz="8" w:color="7B7C80"/>
            </w:tcBorders>
          </w:tcPr>
          <w:p>
            <w:pPr>
              <w:spacing w:after="0"/>
              <w:rPr>
                <w:sz w:val="10"/>
                <w:szCs w:val="10"/>
                <w:color w:val="auto"/>
              </w:rPr>
            </w:pPr>
          </w:p>
        </w:tc>
        <w:tc>
          <w:tcPr>
            <w:tcW w:w="1320" w:type="dxa"/>
            <w:vAlign w:val="bottom"/>
            <w:tcBorders>
              <w:right w:val="single" w:sz="8" w:color="7B7C80"/>
            </w:tcBorders>
          </w:tcPr>
          <w:p>
            <w:pPr>
              <w:spacing w:after="0"/>
              <w:rPr>
                <w:sz w:val="10"/>
                <w:szCs w:val="10"/>
                <w:color w:val="auto"/>
              </w:rPr>
            </w:pPr>
          </w:p>
        </w:tc>
        <w:tc>
          <w:tcPr>
            <w:tcW w:w="460" w:type="dxa"/>
            <w:vAlign w:val="bottom"/>
            <w:tcBorders>
              <w:right w:val="single" w:sz="8" w:color="7B7C80"/>
            </w:tcBorders>
          </w:tcPr>
          <w:p>
            <w:pPr>
              <w:spacing w:after="0"/>
              <w:rPr>
                <w:sz w:val="10"/>
                <w:szCs w:val="10"/>
                <w:color w:val="auto"/>
              </w:rPr>
            </w:pPr>
          </w:p>
        </w:tc>
      </w:tr>
      <w:tr>
        <w:trPr>
          <w:trHeight w:val="147"/>
        </w:trPr>
        <w:tc>
          <w:tcPr>
            <w:tcW w:w="360" w:type="dxa"/>
            <w:vAlign w:val="bottom"/>
            <w:tcBorders>
              <w:left w:val="single" w:sz="8" w:color="7B7C80"/>
            </w:tcBorders>
          </w:tcPr>
          <w:p>
            <w:pPr>
              <w:spacing w:after="0"/>
              <w:rPr>
                <w:sz w:val="12"/>
                <w:szCs w:val="12"/>
                <w:color w:val="auto"/>
              </w:rPr>
            </w:pPr>
          </w:p>
        </w:tc>
        <w:tc>
          <w:tcPr>
            <w:tcW w:w="2400" w:type="dxa"/>
            <w:vAlign w:val="bottom"/>
          </w:tcPr>
          <w:p>
            <w:pPr>
              <w:spacing w:after="0"/>
              <w:rPr>
                <w:sz w:val="12"/>
                <w:szCs w:val="12"/>
                <w:color w:val="auto"/>
              </w:rPr>
            </w:pPr>
          </w:p>
        </w:tc>
        <w:tc>
          <w:tcPr>
            <w:tcW w:w="3020" w:type="dxa"/>
            <w:vAlign w:val="bottom"/>
            <w:tcBorders>
              <w:right w:val="single" w:sz="8" w:color="7B7C80"/>
            </w:tcBorders>
          </w:tcPr>
          <w:p>
            <w:pPr>
              <w:spacing w:after="0"/>
              <w:rPr>
                <w:sz w:val="12"/>
                <w:szCs w:val="12"/>
                <w:color w:val="auto"/>
              </w:rPr>
            </w:pPr>
          </w:p>
        </w:tc>
        <w:tc>
          <w:tcPr>
            <w:tcW w:w="380" w:type="dxa"/>
            <w:vAlign w:val="bottom"/>
            <w:tcBorders>
              <w:right w:val="single" w:sz="8" w:color="7B7C80"/>
            </w:tcBorders>
          </w:tcPr>
          <w:p>
            <w:pPr>
              <w:spacing w:after="0"/>
              <w:rPr>
                <w:sz w:val="12"/>
                <w:szCs w:val="12"/>
                <w:color w:val="auto"/>
              </w:rPr>
            </w:pPr>
          </w:p>
        </w:tc>
        <w:tc>
          <w:tcPr>
            <w:tcW w:w="2280" w:type="dxa"/>
            <w:vAlign w:val="bottom"/>
            <w:tcBorders>
              <w:bottom w:val="single" w:sz="8" w:color="7B7C80"/>
              <w:right w:val="single" w:sz="8" w:color="7B7C80"/>
            </w:tcBorders>
          </w:tcPr>
          <w:p>
            <w:pPr>
              <w:ind w:left="60"/>
              <w:spacing w:after="0"/>
              <w:rPr>
                <w:sz w:val="20"/>
                <w:szCs w:val="20"/>
                <w:color w:val="auto"/>
              </w:rPr>
            </w:pPr>
            <w:r>
              <w:rPr>
                <w:rFonts w:ascii="Arial" w:cs="Arial" w:eastAsia="Arial" w:hAnsi="Arial"/>
                <w:sz w:val="12"/>
                <w:szCs w:val="12"/>
                <w:b w:val="1"/>
                <w:bCs w:val="1"/>
                <w:color w:val="7B7C80"/>
              </w:rPr>
              <w:t>Retirement Income Solutions</w:t>
            </w:r>
          </w:p>
        </w:tc>
        <w:tc>
          <w:tcPr>
            <w:tcW w:w="60" w:type="dxa"/>
            <w:vAlign w:val="bottom"/>
            <w:tcBorders>
              <w:bottom w:val="single" w:sz="8" w:color="7B7C80"/>
            </w:tcBorders>
          </w:tcPr>
          <w:p>
            <w:pPr>
              <w:spacing w:after="0"/>
              <w:rPr>
                <w:sz w:val="12"/>
                <w:szCs w:val="12"/>
                <w:color w:val="auto"/>
              </w:rPr>
            </w:pPr>
          </w:p>
        </w:tc>
        <w:tc>
          <w:tcPr>
            <w:tcW w:w="1160" w:type="dxa"/>
            <w:vAlign w:val="bottom"/>
            <w:tcBorders>
              <w:bottom w:val="single" w:sz="8" w:color="7B7C80"/>
              <w:right w:val="single" w:sz="8" w:color="7B7C80"/>
            </w:tcBorders>
          </w:tcPr>
          <w:p>
            <w:pPr>
              <w:jc w:val="center"/>
              <w:ind w:right="39"/>
              <w:spacing w:after="0"/>
              <w:rPr>
                <w:sz w:val="20"/>
                <w:szCs w:val="20"/>
                <w:color w:val="auto"/>
              </w:rPr>
            </w:pPr>
            <w:r>
              <w:rPr>
                <w:rFonts w:ascii="Arial" w:cs="Arial" w:eastAsia="Arial" w:hAnsi="Arial"/>
                <w:sz w:val="12"/>
                <w:szCs w:val="12"/>
                <w:color w:val="7B7C80"/>
              </w:rPr>
              <w:t>$2,104.8M</w:t>
            </w:r>
          </w:p>
        </w:tc>
        <w:tc>
          <w:tcPr>
            <w:tcW w:w="1320" w:type="dxa"/>
            <w:vAlign w:val="bottom"/>
            <w:tcBorders>
              <w:bottom w:val="single" w:sz="8" w:color="7B7C80"/>
              <w:right w:val="single" w:sz="8" w:color="7B7C80"/>
            </w:tcBorders>
          </w:tcPr>
          <w:p>
            <w:pPr>
              <w:jc w:val="center"/>
              <w:spacing w:after="0"/>
              <w:rPr>
                <w:sz w:val="20"/>
                <w:szCs w:val="20"/>
                <w:color w:val="auto"/>
              </w:rPr>
            </w:pPr>
            <w:r>
              <w:rPr>
                <w:rFonts w:ascii="Arial" w:cs="Arial" w:eastAsia="Arial" w:hAnsi="Arial"/>
                <w:sz w:val="12"/>
                <w:szCs w:val="12"/>
                <w:color w:val="7B7C80"/>
              </w:rPr>
              <w:t>$2,138.7M</w:t>
            </w:r>
          </w:p>
        </w:tc>
        <w:tc>
          <w:tcPr>
            <w:tcW w:w="460" w:type="dxa"/>
            <w:vAlign w:val="bottom"/>
            <w:tcBorders>
              <w:right w:val="single" w:sz="8" w:color="7B7C80"/>
            </w:tcBorders>
          </w:tcPr>
          <w:p>
            <w:pPr>
              <w:spacing w:after="0"/>
              <w:rPr>
                <w:sz w:val="12"/>
                <w:szCs w:val="12"/>
                <w:color w:val="auto"/>
              </w:rPr>
            </w:pPr>
          </w:p>
        </w:tc>
      </w:tr>
      <w:tr>
        <w:trPr>
          <w:trHeight w:val="301"/>
        </w:trPr>
        <w:tc>
          <w:tcPr>
            <w:tcW w:w="360" w:type="dxa"/>
            <w:vAlign w:val="bottom"/>
            <w:tcBorders>
              <w:left w:val="single" w:sz="8" w:color="7B7C80"/>
            </w:tcBorders>
          </w:tcPr>
          <w:p>
            <w:pPr>
              <w:spacing w:after="0"/>
              <w:rPr>
                <w:sz w:val="24"/>
                <w:szCs w:val="24"/>
                <w:color w:val="auto"/>
              </w:rPr>
            </w:pPr>
          </w:p>
        </w:tc>
        <w:tc>
          <w:tcPr>
            <w:tcW w:w="2400" w:type="dxa"/>
            <w:vAlign w:val="bottom"/>
          </w:tcPr>
          <w:p>
            <w:pPr>
              <w:spacing w:after="0"/>
              <w:rPr>
                <w:sz w:val="24"/>
                <w:szCs w:val="24"/>
                <w:color w:val="auto"/>
              </w:rPr>
            </w:pPr>
          </w:p>
        </w:tc>
        <w:tc>
          <w:tcPr>
            <w:tcW w:w="3020" w:type="dxa"/>
            <w:vAlign w:val="bottom"/>
            <w:tcBorders>
              <w:right w:val="single" w:sz="8" w:color="7B7C80"/>
            </w:tcBorders>
          </w:tcPr>
          <w:p>
            <w:pPr>
              <w:spacing w:after="0"/>
              <w:rPr>
                <w:sz w:val="24"/>
                <w:szCs w:val="24"/>
                <w:color w:val="auto"/>
              </w:rPr>
            </w:pPr>
          </w:p>
        </w:tc>
        <w:tc>
          <w:tcPr>
            <w:tcW w:w="380" w:type="dxa"/>
            <w:vAlign w:val="bottom"/>
          </w:tcPr>
          <w:p>
            <w:pPr>
              <w:spacing w:after="0"/>
              <w:rPr>
                <w:sz w:val="24"/>
                <w:szCs w:val="24"/>
                <w:color w:val="auto"/>
              </w:rPr>
            </w:pPr>
          </w:p>
        </w:tc>
        <w:tc>
          <w:tcPr>
            <w:tcW w:w="2340" w:type="dxa"/>
            <w:vAlign w:val="bottom"/>
            <w:gridSpan w:val="2"/>
          </w:tcPr>
          <w:p>
            <w:pPr>
              <w:spacing w:after="0"/>
              <w:rPr>
                <w:sz w:val="24"/>
                <w:szCs w:val="24"/>
                <w:color w:val="auto"/>
              </w:rPr>
            </w:pPr>
          </w:p>
        </w:tc>
        <w:tc>
          <w:tcPr>
            <w:tcW w:w="1160" w:type="dxa"/>
            <w:vAlign w:val="bottom"/>
          </w:tcPr>
          <w:p>
            <w:pPr>
              <w:spacing w:after="0"/>
              <w:rPr>
                <w:sz w:val="24"/>
                <w:szCs w:val="24"/>
                <w:color w:val="auto"/>
              </w:rPr>
            </w:pPr>
          </w:p>
        </w:tc>
        <w:tc>
          <w:tcPr>
            <w:tcW w:w="1780" w:type="dxa"/>
            <w:vAlign w:val="bottom"/>
            <w:tcBorders>
              <w:right w:val="single" w:sz="8" w:color="7B7C80"/>
            </w:tcBorders>
            <w:gridSpan w:val="2"/>
          </w:tcPr>
          <w:p>
            <w:pPr>
              <w:spacing w:after="0"/>
              <w:rPr>
                <w:sz w:val="24"/>
                <w:szCs w:val="24"/>
                <w:color w:val="auto"/>
              </w:rPr>
            </w:pPr>
          </w:p>
        </w:tc>
      </w:tr>
      <w:tr>
        <w:trPr>
          <w:trHeight w:val="119"/>
        </w:trPr>
        <w:tc>
          <w:tcPr>
            <w:tcW w:w="360" w:type="dxa"/>
            <w:vAlign w:val="bottom"/>
            <w:tcBorders>
              <w:left w:val="single" w:sz="8" w:color="7B7C80"/>
            </w:tcBorders>
          </w:tcPr>
          <w:p>
            <w:pPr>
              <w:spacing w:after="0"/>
              <w:rPr>
                <w:sz w:val="10"/>
                <w:szCs w:val="10"/>
                <w:color w:val="auto"/>
              </w:rPr>
            </w:pPr>
          </w:p>
        </w:tc>
        <w:tc>
          <w:tcPr>
            <w:tcW w:w="2400" w:type="dxa"/>
            <w:vAlign w:val="bottom"/>
          </w:tcPr>
          <w:p>
            <w:pPr>
              <w:spacing w:after="0"/>
              <w:rPr>
                <w:sz w:val="10"/>
                <w:szCs w:val="10"/>
                <w:color w:val="auto"/>
              </w:rPr>
            </w:pPr>
          </w:p>
        </w:tc>
        <w:tc>
          <w:tcPr>
            <w:tcW w:w="3020" w:type="dxa"/>
            <w:vAlign w:val="bottom"/>
            <w:tcBorders>
              <w:right w:val="single" w:sz="8" w:color="7B7C80"/>
            </w:tcBorders>
          </w:tcPr>
          <w:p>
            <w:pPr>
              <w:spacing w:after="0"/>
              <w:rPr>
                <w:sz w:val="10"/>
                <w:szCs w:val="10"/>
                <w:color w:val="auto"/>
              </w:rPr>
            </w:pPr>
          </w:p>
        </w:tc>
        <w:tc>
          <w:tcPr>
            <w:tcW w:w="380" w:type="dxa"/>
            <w:vAlign w:val="bottom"/>
            <w:tcBorders>
              <w:right w:val="single" w:sz="8" w:color="7B7C80"/>
            </w:tcBorders>
          </w:tcPr>
          <w:p>
            <w:pPr>
              <w:spacing w:after="0"/>
              <w:rPr>
                <w:sz w:val="10"/>
                <w:szCs w:val="10"/>
                <w:color w:val="auto"/>
              </w:rPr>
            </w:pPr>
          </w:p>
        </w:tc>
        <w:tc>
          <w:tcPr>
            <w:tcW w:w="2280" w:type="dxa"/>
            <w:vAlign w:val="bottom"/>
            <w:tcBorders>
              <w:top w:val="single" w:sz="8" w:color="7B7C80"/>
              <w:right w:val="single" w:sz="8" w:color="7B7C80"/>
            </w:tcBorders>
          </w:tcPr>
          <w:p>
            <w:pPr>
              <w:ind w:left="400"/>
              <w:spacing w:after="0" w:line="119" w:lineRule="exact"/>
              <w:rPr>
                <w:sz w:val="20"/>
                <w:szCs w:val="20"/>
                <w:color w:val="auto"/>
              </w:rPr>
            </w:pPr>
            <w:r>
              <w:rPr>
                <w:rFonts w:ascii="Arial" w:cs="Arial" w:eastAsia="Arial" w:hAnsi="Arial"/>
                <w:sz w:val="12"/>
                <w:szCs w:val="12"/>
                <w:b w:val="1"/>
                <w:bCs w:val="1"/>
                <w:color w:val="009CCC"/>
              </w:rPr>
              <w:t>Named Executive Officer</w:t>
            </w:r>
          </w:p>
        </w:tc>
        <w:tc>
          <w:tcPr>
            <w:tcW w:w="60" w:type="dxa"/>
            <w:vAlign w:val="bottom"/>
            <w:tcBorders>
              <w:top w:val="single" w:sz="8" w:color="7B7C80"/>
            </w:tcBorders>
          </w:tcPr>
          <w:p>
            <w:pPr>
              <w:spacing w:after="0"/>
              <w:rPr>
                <w:sz w:val="10"/>
                <w:szCs w:val="10"/>
                <w:color w:val="auto"/>
              </w:rPr>
            </w:pPr>
          </w:p>
        </w:tc>
        <w:tc>
          <w:tcPr>
            <w:tcW w:w="1160" w:type="dxa"/>
            <w:vAlign w:val="bottom"/>
            <w:tcBorders>
              <w:top w:val="single" w:sz="8" w:color="7B7C80"/>
              <w:right w:val="single" w:sz="8" w:color="7B7C80"/>
            </w:tcBorders>
          </w:tcPr>
          <w:p>
            <w:pPr>
              <w:jc w:val="center"/>
              <w:ind w:right="39"/>
              <w:spacing w:after="0" w:line="119" w:lineRule="exact"/>
              <w:rPr>
                <w:sz w:val="20"/>
                <w:szCs w:val="20"/>
                <w:color w:val="auto"/>
              </w:rPr>
            </w:pPr>
            <w:r>
              <w:rPr>
                <w:rFonts w:ascii="Arial" w:cs="Arial" w:eastAsia="Arial" w:hAnsi="Arial"/>
                <w:sz w:val="12"/>
                <w:szCs w:val="12"/>
                <w:b w:val="1"/>
                <w:bCs w:val="1"/>
                <w:color w:val="009CCC"/>
              </w:rPr>
              <w:t>Operating</w:t>
            </w:r>
          </w:p>
        </w:tc>
        <w:tc>
          <w:tcPr>
            <w:tcW w:w="1320" w:type="dxa"/>
            <w:vAlign w:val="bottom"/>
            <w:tcBorders>
              <w:top w:val="single" w:sz="8" w:color="7B7C80"/>
              <w:right w:val="single" w:sz="8" w:color="7B7C80"/>
            </w:tcBorders>
          </w:tcPr>
          <w:p>
            <w:pPr>
              <w:jc w:val="center"/>
              <w:spacing w:after="0" w:line="119" w:lineRule="exact"/>
              <w:rPr>
                <w:sz w:val="20"/>
                <w:szCs w:val="20"/>
                <w:color w:val="auto"/>
              </w:rPr>
            </w:pPr>
            <w:r>
              <w:rPr>
                <w:rFonts w:ascii="Arial" w:cs="Arial" w:eastAsia="Arial" w:hAnsi="Arial"/>
                <w:sz w:val="12"/>
                <w:szCs w:val="12"/>
                <w:b w:val="1"/>
                <w:bCs w:val="1"/>
                <w:color w:val="009CCC"/>
              </w:rPr>
              <w:t>Operating</w:t>
            </w:r>
          </w:p>
        </w:tc>
        <w:tc>
          <w:tcPr>
            <w:tcW w:w="460" w:type="dxa"/>
            <w:vAlign w:val="bottom"/>
            <w:tcBorders>
              <w:right w:val="single" w:sz="8" w:color="7B7C80"/>
            </w:tcBorders>
          </w:tcPr>
          <w:p>
            <w:pPr>
              <w:spacing w:after="0"/>
              <w:rPr>
                <w:sz w:val="10"/>
                <w:szCs w:val="10"/>
                <w:color w:val="auto"/>
              </w:rPr>
            </w:pPr>
          </w:p>
        </w:tc>
      </w:tr>
      <w:tr>
        <w:trPr>
          <w:trHeight w:val="137"/>
        </w:trPr>
        <w:tc>
          <w:tcPr>
            <w:tcW w:w="360" w:type="dxa"/>
            <w:vAlign w:val="bottom"/>
            <w:tcBorders>
              <w:left w:val="single" w:sz="8" w:color="7B7C80"/>
            </w:tcBorders>
          </w:tcPr>
          <w:p>
            <w:pPr>
              <w:spacing w:after="0"/>
              <w:rPr>
                <w:sz w:val="11"/>
                <w:szCs w:val="11"/>
                <w:color w:val="auto"/>
              </w:rPr>
            </w:pPr>
          </w:p>
        </w:tc>
        <w:tc>
          <w:tcPr>
            <w:tcW w:w="2400" w:type="dxa"/>
            <w:vAlign w:val="bottom"/>
          </w:tcPr>
          <w:p>
            <w:pPr>
              <w:spacing w:after="0"/>
              <w:rPr>
                <w:sz w:val="11"/>
                <w:szCs w:val="11"/>
                <w:color w:val="auto"/>
              </w:rPr>
            </w:pPr>
          </w:p>
        </w:tc>
        <w:tc>
          <w:tcPr>
            <w:tcW w:w="3020" w:type="dxa"/>
            <w:vAlign w:val="bottom"/>
            <w:tcBorders>
              <w:right w:val="single" w:sz="8" w:color="7B7C80"/>
            </w:tcBorders>
          </w:tcPr>
          <w:p>
            <w:pPr>
              <w:spacing w:after="0"/>
              <w:rPr>
                <w:sz w:val="11"/>
                <w:szCs w:val="11"/>
                <w:color w:val="auto"/>
              </w:rPr>
            </w:pPr>
          </w:p>
        </w:tc>
        <w:tc>
          <w:tcPr>
            <w:tcW w:w="380" w:type="dxa"/>
            <w:vAlign w:val="bottom"/>
            <w:tcBorders>
              <w:right w:val="single" w:sz="8" w:color="7B7C80"/>
            </w:tcBorders>
          </w:tcPr>
          <w:p>
            <w:pPr>
              <w:spacing w:after="0"/>
              <w:rPr>
                <w:sz w:val="11"/>
                <w:szCs w:val="11"/>
                <w:color w:val="auto"/>
              </w:rPr>
            </w:pPr>
          </w:p>
        </w:tc>
        <w:tc>
          <w:tcPr>
            <w:tcW w:w="2280" w:type="dxa"/>
            <w:vAlign w:val="bottom"/>
            <w:tcBorders>
              <w:right w:val="single" w:sz="8" w:color="7B7C80"/>
            </w:tcBorders>
          </w:tcPr>
          <w:p>
            <w:pPr>
              <w:spacing w:after="0"/>
              <w:rPr>
                <w:sz w:val="11"/>
                <w:szCs w:val="11"/>
                <w:color w:val="auto"/>
              </w:rPr>
            </w:pPr>
          </w:p>
        </w:tc>
        <w:tc>
          <w:tcPr>
            <w:tcW w:w="60" w:type="dxa"/>
            <w:vAlign w:val="bottom"/>
          </w:tcPr>
          <w:p>
            <w:pPr>
              <w:spacing w:after="0"/>
              <w:rPr>
                <w:sz w:val="11"/>
                <w:szCs w:val="11"/>
                <w:color w:val="auto"/>
              </w:rPr>
            </w:pPr>
          </w:p>
        </w:tc>
        <w:tc>
          <w:tcPr>
            <w:tcW w:w="1160" w:type="dxa"/>
            <w:vAlign w:val="bottom"/>
            <w:tcBorders>
              <w:right w:val="single" w:sz="8" w:color="7B7C80"/>
            </w:tcBorders>
          </w:tcPr>
          <w:p>
            <w:pPr>
              <w:jc w:val="center"/>
              <w:ind w:right="39"/>
              <w:spacing w:after="0"/>
              <w:rPr>
                <w:sz w:val="20"/>
                <w:szCs w:val="20"/>
                <w:color w:val="auto"/>
              </w:rPr>
            </w:pPr>
            <w:r>
              <w:rPr>
                <w:rFonts w:ascii="Arial" w:cs="Arial" w:eastAsia="Arial" w:hAnsi="Arial"/>
                <w:sz w:val="12"/>
                <w:szCs w:val="12"/>
                <w:b w:val="1"/>
                <w:bCs w:val="1"/>
                <w:color w:val="009CCC"/>
              </w:rPr>
              <w:t>Revenue less</w:t>
            </w:r>
          </w:p>
        </w:tc>
        <w:tc>
          <w:tcPr>
            <w:tcW w:w="1320" w:type="dxa"/>
            <w:vAlign w:val="bottom"/>
            <w:tcBorders>
              <w:right w:val="single" w:sz="8" w:color="7B7C80"/>
            </w:tcBorders>
          </w:tcPr>
          <w:p>
            <w:pPr>
              <w:jc w:val="center"/>
              <w:spacing w:after="0"/>
              <w:rPr>
                <w:sz w:val="20"/>
                <w:szCs w:val="20"/>
                <w:color w:val="auto"/>
              </w:rPr>
            </w:pPr>
            <w:r>
              <w:rPr>
                <w:rFonts w:ascii="Arial" w:cs="Arial" w:eastAsia="Arial" w:hAnsi="Arial"/>
                <w:sz w:val="12"/>
                <w:szCs w:val="12"/>
                <w:b w:val="1"/>
                <w:bCs w:val="1"/>
                <w:color w:val="009CCC"/>
              </w:rPr>
              <w:t>Revenue less</w:t>
            </w:r>
          </w:p>
        </w:tc>
        <w:tc>
          <w:tcPr>
            <w:tcW w:w="460" w:type="dxa"/>
            <w:vAlign w:val="bottom"/>
            <w:tcBorders>
              <w:right w:val="single" w:sz="8" w:color="7B7C80"/>
            </w:tcBorders>
          </w:tcPr>
          <w:p>
            <w:pPr>
              <w:spacing w:after="0"/>
              <w:rPr>
                <w:sz w:val="11"/>
                <w:szCs w:val="11"/>
                <w:color w:val="auto"/>
              </w:rPr>
            </w:pPr>
          </w:p>
        </w:tc>
      </w:tr>
      <w:tr>
        <w:trPr>
          <w:trHeight w:val="137"/>
        </w:trPr>
        <w:tc>
          <w:tcPr>
            <w:tcW w:w="360" w:type="dxa"/>
            <w:vAlign w:val="bottom"/>
            <w:tcBorders>
              <w:left w:val="single" w:sz="8" w:color="7B7C80"/>
            </w:tcBorders>
          </w:tcPr>
          <w:p>
            <w:pPr>
              <w:spacing w:after="0"/>
              <w:rPr>
                <w:sz w:val="11"/>
                <w:szCs w:val="11"/>
                <w:color w:val="auto"/>
              </w:rPr>
            </w:pPr>
          </w:p>
        </w:tc>
        <w:tc>
          <w:tcPr>
            <w:tcW w:w="2400" w:type="dxa"/>
            <w:vAlign w:val="bottom"/>
          </w:tcPr>
          <w:p>
            <w:pPr>
              <w:spacing w:after="0"/>
              <w:rPr>
                <w:sz w:val="11"/>
                <w:szCs w:val="11"/>
                <w:color w:val="auto"/>
              </w:rPr>
            </w:pPr>
          </w:p>
        </w:tc>
        <w:tc>
          <w:tcPr>
            <w:tcW w:w="3020" w:type="dxa"/>
            <w:vAlign w:val="bottom"/>
            <w:tcBorders>
              <w:right w:val="single" w:sz="8" w:color="7B7C80"/>
            </w:tcBorders>
          </w:tcPr>
          <w:p>
            <w:pPr>
              <w:spacing w:after="0"/>
              <w:rPr>
                <w:sz w:val="11"/>
                <w:szCs w:val="11"/>
                <w:color w:val="auto"/>
              </w:rPr>
            </w:pPr>
          </w:p>
        </w:tc>
        <w:tc>
          <w:tcPr>
            <w:tcW w:w="380" w:type="dxa"/>
            <w:vAlign w:val="bottom"/>
            <w:tcBorders>
              <w:right w:val="single" w:sz="8" w:color="7B7C80"/>
            </w:tcBorders>
          </w:tcPr>
          <w:p>
            <w:pPr>
              <w:spacing w:after="0"/>
              <w:rPr>
                <w:sz w:val="11"/>
                <w:szCs w:val="11"/>
                <w:color w:val="auto"/>
              </w:rPr>
            </w:pPr>
          </w:p>
        </w:tc>
        <w:tc>
          <w:tcPr>
            <w:tcW w:w="2280" w:type="dxa"/>
            <w:vAlign w:val="bottom"/>
            <w:tcBorders>
              <w:right w:val="single" w:sz="8" w:color="7B7C80"/>
            </w:tcBorders>
          </w:tcPr>
          <w:p>
            <w:pPr>
              <w:spacing w:after="0"/>
              <w:rPr>
                <w:sz w:val="11"/>
                <w:szCs w:val="11"/>
                <w:color w:val="auto"/>
              </w:rPr>
            </w:pPr>
          </w:p>
        </w:tc>
        <w:tc>
          <w:tcPr>
            <w:tcW w:w="60" w:type="dxa"/>
            <w:vAlign w:val="bottom"/>
          </w:tcPr>
          <w:p>
            <w:pPr>
              <w:spacing w:after="0"/>
              <w:rPr>
                <w:sz w:val="11"/>
                <w:szCs w:val="11"/>
                <w:color w:val="auto"/>
              </w:rPr>
            </w:pPr>
          </w:p>
        </w:tc>
        <w:tc>
          <w:tcPr>
            <w:tcW w:w="1160" w:type="dxa"/>
            <w:vAlign w:val="bottom"/>
            <w:tcBorders>
              <w:right w:val="single" w:sz="8" w:color="7B7C80"/>
            </w:tcBorders>
          </w:tcPr>
          <w:p>
            <w:pPr>
              <w:jc w:val="center"/>
              <w:ind w:right="39"/>
              <w:spacing w:after="0"/>
              <w:rPr>
                <w:sz w:val="20"/>
                <w:szCs w:val="20"/>
                <w:color w:val="auto"/>
              </w:rPr>
            </w:pPr>
            <w:r>
              <w:rPr>
                <w:rFonts w:ascii="Arial" w:cs="Arial" w:eastAsia="Arial" w:hAnsi="Arial"/>
                <w:sz w:val="12"/>
                <w:szCs w:val="12"/>
                <w:b w:val="1"/>
                <w:bCs w:val="1"/>
                <w:color w:val="009CCC"/>
              </w:rPr>
              <w:t>Pass-Through</w:t>
            </w:r>
          </w:p>
        </w:tc>
        <w:tc>
          <w:tcPr>
            <w:tcW w:w="1320" w:type="dxa"/>
            <w:vAlign w:val="bottom"/>
            <w:tcBorders>
              <w:right w:val="single" w:sz="8" w:color="7B7C80"/>
            </w:tcBorders>
          </w:tcPr>
          <w:p>
            <w:pPr>
              <w:jc w:val="center"/>
              <w:spacing w:after="0"/>
              <w:rPr>
                <w:sz w:val="20"/>
                <w:szCs w:val="20"/>
                <w:color w:val="auto"/>
              </w:rPr>
            </w:pPr>
            <w:r>
              <w:rPr>
                <w:rFonts w:ascii="Arial" w:cs="Arial" w:eastAsia="Arial" w:hAnsi="Arial"/>
                <w:sz w:val="12"/>
                <w:szCs w:val="12"/>
                <w:b w:val="1"/>
                <w:bCs w:val="1"/>
                <w:color w:val="009CCC"/>
              </w:rPr>
              <w:t>Pass-Through</w:t>
            </w:r>
          </w:p>
        </w:tc>
        <w:tc>
          <w:tcPr>
            <w:tcW w:w="460" w:type="dxa"/>
            <w:vAlign w:val="bottom"/>
            <w:tcBorders>
              <w:right w:val="single" w:sz="8" w:color="7B7C80"/>
            </w:tcBorders>
          </w:tcPr>
          <w:p>
            <w:pPr>
              <w:spacing w:after="0"/>
              <w:rPr>
                <w:sz w:val="11"/>
                <w:szCs w:val="11"/>
                <w:color w:val="auto"/>
              </w:rPr>
            </w:pPr>
          </w:p>
        </w:tc>
      </w:tr>
      <w:tr>
        <w:trPr>
          <w:trHeight w:val="147"/>
        </w:trPr>
        <w:tc>
          <w:tcPr>
            <w:tcW w:w="360" w:type="dxa"/>
            <w:vAlign w:val="bottom"/>
            <w:tcBorders>
              <w:left w:val="single" w:sz="8" w:color="7B7C80"/>
            </w:tcBorders>
          </w:tcPr>
          <w:p>
            <w:pPr>
              <w:spacing w:after="0"/>
              <w:rPr>
                <w:sz w:val="12"/>
                <w:szCs w:val="12"/>
                <w:color w:val="auto"/>
              </w:rPr>
            </w:pPr>
          </w:p>
        </w:tc>
        <w:tc>
          <w:tcPr>
            <w:tcW w:w="2400" w:type="dxa"/>
            <w:vAlign w:val="bottom"/>
          </w:tcPr>
          <w:p>
            <w:pPr>
              <w:spacing w:after="0"/>
              <w:rPr>
                <w:sz w:val="12"/>
                <w:szCs w:val="12"/>
                <w:color w:val="auto"/>
              </w:rPr>
            </w:pPr>
          </w:p>
        </w:tc>
        <w:tc>
          <w:tcPr>
            <w:tcW w:w="3020" w:type="dxa"/>
            <w:vAlign w:val="bottom"/>
            <w:tcBorders>
              <w:right w:val="single" w:sz="8" w:color="7B7C80"/>
            </w:tcBorders>
          </w:tcPr>
          <w:p>
            <w:pPr>
              <w:spacing w:after="0"/>
              <w:rPr>
                <w:sz w:val="12"/>
                <w:szCs w:val="12"/>
                <w:color w:val="auto"/>
              </w:rPr>
            </w:pPr>
          </w:p>
        </w:tc>
        <w:tc>
          <w:tcPr>
            <w:tcW w:w="380" w:type="dxa"/>
            <w:vAlign w:val="bottom"/>
            <w:tcBorders>
              <w:right w:val="single" w:sz="8" w:color="7B7C80"/>
            </w:tcBorders>
          </w:tcPr>
          <w:p>
            <w:pPr>
              <w:spacing w:after="0"/>
              <w:rPr>
                <w:sz w:val="12"/>
                <w:szCs w:val="12"/>
                <w:color w:val="auto"/>
              </w:rPr>
            </w:pPr>
          </w:p>
        </w:tc>
        <w:tc>
          <w:tcPr>
            <w:tcW w:w="2280" w:type="dxa"/>
            <w:vAlign w:val="bottom"/>
            <w:tcBorders>
              <w:bottom w:val="single" w:sz="8" w:color="7B7C80"/>
              <w:right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1160" w:type="dxa"/>
            <w:vAlign w:val="bottom"/>
            <w:tcBorders>
              <w:bottom w:val="single" w:sz="8" w:color="7B7C80"/>
              <w:right w:val="single" w:sz="8" w:color="7B7C80"/>
            </w:tcBorders>
          </w:tcPr>
          <w:p>
            <w:pPr>
              <w:jc w:val="center"/>
              <w:ind w:right="19"/>
              <w:spacing w:after="0"/>
              <w:rPr>
                <w:sz w:val="20"/>
                <w:szCs w:val="20"/>
                <w:color w:val="auto"/>
              </w:rPr>
            </w:pPr>
            <w:r>
              <w:rPr>
                <w:rFonts w:ascii="Arial" w:cs="Arial" w:eastAsia="Arial" w:hAnsi="Arial"/>
                <w:sz w:val="12"/>
                <w:szCs w:val="12"/>
                <w:b w:val="1"/>
                <w:bCs w:val="1"/>
                <w:color w:val="009CCC"/>
              </w:rPr>
              <w:t>Commission Goal</w:t>
            </w:r>
          </w:p>
        </w:tc>
        <w:tc>
          <w:tcPr>
            <w:tcW w:w="1320" w:type="dxa"/>
            <w:vAlign w:val="bottom"/>
            <w:tcBorders>
              <w:bottom w:val="single" w:sz="8" w:color="7B7C80"/>
              <w:right w:val="single" w:sz="8" w:color="7B7C80"/>
            </w:tcBorders>
          </w:tcPr>
          <w:p>
            <w:pPr>
              <w:jc w:val="center"/>
              <w:spacing w:after="0"/>
              <w:rPr>
                <w:sz w:val="20"/>
                <w:szCs w:val="20"/>
                <w:color w:val="auto"/>
              </w:rPr>
            </w:pPr>
            <w:r>
              <w:rPr>
                <w:rFonts w:ascii="Arial" w:cs="Arial" w:eastAsia="Arial" w:hAnsi="Arial"/>
                <w:sz w:val="12"/>
                <w:szCs w:val="12"/>
                <w:b w:val="1"/>
                <w:bCs w:val="1"/>
                <w:color w:val="009CCC"/>
              </w:rPr>
              <w:t>Commission Result</w:t>
            </w:r>
          </w:p>
        </w:tc>
        <w:tc>
          <w:tcPr>
            <w:tcW w:w="460" w:type="dxa"/>
            <w:vAlign w:val="bottom"/>
            <w:tcBorders>
              <w:right w:val="single" w:sz="8" w:color="7B7C80"/>
            </w:tcBorders>
          </w:tcPr>
          <w:p>
            <w:pPr>
              <w:spacing w:after="0"/>
              <w:rPr>
                <w:sz w:val="12"/>
                <w:szCs w:val="12"/>
                <w:color w:val="auto"/>
              </w:rPr>
            </w:pPr>
          </w:p>
        </w:tc>
      </w:tr>
      <w:tr>
        <w:trPr>
          <w:trHeight w:val="119"/>
        </w:trPr>
        <w:tc>
          <w:tcPr>
            <w:tcW w:w="360" w:type="dxa"/>
            <w:vAlign w:val="bottom"/>
            <w:tcBorders>
              <w:left w:val="single" w:sz="8" w:color="7B7C80"/>
            </w:tcBorders>
          </w:tcPr>
          <w:p>
            <w:pPr>
              <w:spacing w:after="0"/>
              <w:rPr>
                <w:sz w:val="10"/>
                <w:szCs w:val="10"/>
                <w:color w:val="auto"/>
              </w:rPr>
            </w:pPr>
          </w:p>
        </w:tc>
        <w:tc>
          <w:tcPr>
            <w:tcW w:w="2400" w:type="dxa"/>
            <w:vAlign w:val="bottom"/>
          </w:tcPr>
          <w:p>
            <w:pPr>
              <w:spacing w:after="0"/>
              <w:rPr>
                <w:sz w:val="10"/>
                <w:szCs w:val="10"/>
                <w:color w:val="auto"/>
              </w:rPr>
            </w:pPr>
          </w:p>
        </w:tc>
        <w:tc>
          <w:tcPr>
            <w:tcW w:w="3020" w:type="dxa"/>
            <w:vAlign w:val="bottom"/>
            <w:tcBorders>
              <w:right w:val="single" w:sz="8" w:color="7B7C80"/>
            </w:tcBorders>
          </w:tcPr>
          <w:p>
            <w:pPr>
              <w:spacing w:after="0"/>
              <w:rPr>
                <w:sz w:val="10"/>
                <w:szCs w:val="10"/>
                <w:color w:val="auto"/>
              </w:rPr>
            </w:pPr>
          </w:p>
        </w:tc>
        <w:tc>
          <w:tcPr>
            <w:tcW w:w="380" w:type="dxa"/>
            <w:vAlign w:val="bottom"/>
            <w:tcBorders>
              <w:right w:val="single" w:sz="8" w:color="7B7C80"/>
            </w:tcBorders>
          </w:tcPr>
          <w:p>
            <w:pPr>
              <w:spacing w:after="0"/>
              <w:rPr>
                <w:sz w:val="10"/>
                <w:szCs w:val="10"/>
                <w:color w:val="auto"/>
              </w:rPr>
            </w:pPr>
          </w:p>
        </w:tc>
        <w:tc>
          <w:tcPr>
            <w:tcW w:w="2280" w:type="dxa"/>
            <w:vAlign w:val="bottom"/>
            <w:tcBorders>
              <w:right w:val="single" w:sz="8" w:color="7B7C80"/>
            </w:tcBorders>
          </w:tcPr>
          <w:p>
            <w:pPr>
              <w:ind w:left="60"/>
              <w:spacing w:after="0" w:line="119" w:lineRule="exact"/>
              <w:rPr>
                <w:sz w:val="20"/>
                <w:szCs w:val="20"/>
                <w:color w:val="auto"/>
              </w:rPr>
            </w:pPr>
            <w:r>
              <w:rPr>
                <w:rFonts w:ascii="Arial" w:cs="Arial" w:eastAsia="Arial" w:hAnsi="Arial"/>
                <w:sz w:val="12"/>
                <w:szCs w:val="12"/>
                <w:b w:val="1"/>
                <w:bCs w:val="1"/>
                <w:color w:val="7B7C80"/>
              </w:rPr>
              <w:t>McCaughan—</w:t>
            </w:r>
          </w:p>
        </w:tc>
        <w:tc>
          <w:tcPr>
            <w:tcW w:w="60" w:type="dxa"/>
            <w:vAlign w:val="bottom"/>
          </w:tcPr>
          <w:p>
            <w:pPr>
              <w:spacing w:after="0"/>
              <w:rPr>
                <w:sz w:val="10"/>
                <w:szCs w:val="10"/>
                <w:color w:val="auto"/>
              </w:rPr>
            </w:pPr>
          </w:p>
        </w:tc>
        <w:tc>
          <w:tcPr>
            <w:tcW w:w="1160" w:type="dxa"/>
            <w:vAlign w:val="bottom"/>
            <w:tcBorders>
              <w:right w:val="single" w:sz="8" w:color="7B7C80"/>
            </w:tcBorders>
          </w:tcPr>
          <w:p>
            <w:pPr>
              <w:spacing w:after="0"/>
              <w:rPr>
                <w:sz w:val="10"/>
                <w:szCs w:val="10"/>
                <w:color w:val="auto"/>
              </w:rPr>
            </w:pPr>
          </w:p>
        </w:tc>
        <w:tc>
          <w:tcPr>
            <w:tcW w:w="1320" w:type="dxa"/>
            <w:vAlign w:val="bottom"/>
            <w:tcBorders>
              <w:right w:val="single" w:sz="8" w:color="7B7C80"/>
            </w:tcBorders>
          </w:tcPr>
          <w:p>
            <w:pPr>
              <w:spacing w:after="0"/>
              <w:rPr>
                <w:sz w:val="10"/>
                <w:szCs w:val="10"/>
                <w:color w:val="auto"/>
              </w:rPr>
            </w:pPr>
          </w:p>
        </w:tc>
        <w:tc>
          <w:tcPr>
            <w:tcW w:w="460" w:type="dxa"/>
            <w:vAlign w:val="bottom"/>
            <w:tcBorders>
              <w:right w:val="single" w:sz="8" w:color="7B7C80"/>
            </w:tcBorders>
          </w:tcPr>
          <w:p>
            <w:pPr>
              <w:spacing w:after="0"/>
              <w:rPr>
                <w:sz w:val="10"/>
                <w:szCs w:val="10"/>
                <w:color w:val="auto"/>
              </w:rPr>
            </w:pPr>
          </w:p>
        </w:tc>
      </w:tr>
      <w:tr>
        <w:trPr>
          <w:trHeight w:val="147"/>
        </w:trPr>
        <w:tc>
          <w:tcPr>
            <w:tcW w:w="360" w:type="dxa"/>
            <w:vAlign w:val="bottom"/>
            <w:tcBorders>
              <w:left w:val="single" w:sz="8" w:color="7B7C80"/>
            </w:tcBorders>
          </w:tcPr>
          <w:p>
            <w:pPr>
              <w:spacing w:after="0"/>
              <w:rPr>
                <w:sz w:val="12"/>
                <w:szCs w:val="12"/>
                <w:color w:val="auto"/>
              </w:rPr>
            </w:pPr>
          </w:p>
        </w:tc>
        <w:tc>
          <w:tcPr>
            <w:tcW w:w="2400" w:type="dxa"/>
            <w:vAlign w:val="bottom"/>
          </w:tcPr>
          <w:p>
            <w:pPr>
              <w:spacing w:after="0"/>
              <w:rPr>
                <w:sz w:val="12"/>
                <w:szCs w:val="12"/>
                <w:color w:val="auto"/>
              </w:rPr>
            </w:pPr>
          </w:p>
        </w:tc>
        <w:tc>
          <w:tcPr>
            <w:tcW w:w="3020" w:type="dxa"/>
            <w:vAlign w:val="bottom"/>
            <w:tcBorders>
              <w:right w:val="single" w:sz="8" w:color="7B7C80"/>
            </w:tcBorders>
          </w:tcPr>
          <w:p>
            <w:pPr>
              <w:spacing w:after="0"/>
              <w:rPr>
                <w:sz w:val="12"/>
                <w:szCs w:val="12"/>
                <w:color w:val="auto"/>
              </w:rPr>
            </w:pPr>
          </w:p>
        </w:tc>
        <w:tc>
          <w:tcPr>
            <w:tcW w:w="380" w:type="dxa"/>
            <w:vAlign w:val="bottom"/>
            <w:tcBorders>
              <w:right w:val="single" w:sz="8" w:color="7B7C80"/>
            </w:tcBorders>
          </w:tcPr>
          <w:p>
            <w:pPr>
              <w:spacing w:after="0"/>
              <w:rPr>
                <w:sz w:val="12"/>
                <w:szCs w:val="12"/>
                <w:color w:val="auto"/>
              </w:rPr>
            </w:pPr>
          </w:p>
        </w:tc>
        <w:tc>
          <w:tcPr>
            <w:tcW w:w="2280" w:type="dxa"/>
            <w:vAlign w:val="bottom"/>
            <w:tcBorders>
              <w:bottom w:val="single" w:sz="8" w:color="7B7C80"/>
              <w:right w:val="single" w:sz="8" w:color="7B7C80"/>
            </w:tcBorders>
          </w:tcPr>
          <w:p>
            <w:pPr>
              <w:ind w:left="60"/>
              <w:spacing w:after="0"/>
              <w:rPr>
                <w:sz w:val="20"/>
                <w:szCs w:val="20"/>
                <w:color w:val="auto"/>
              </w:rPr>
            </w:pPr>
            <w:r>
              <w:rPr>
                <w:rFonts w:ascii="Arial" w:cs="Arial" w:eastAsia="Arial" w:hAnsi="Arial"/>
                <w:sz w:val="12"/>
                <w:szCs w:val="12"/>
                <w:b w:val="1"/>
                <w:bCs w:val="1"/>
                <w:color w:val="7B7C80"/>
              </w:rPr>
              <w:t>Principal Global Investors</w:t>
            </w:r>
          </w:p>
        </w:tc>
        <w:tc>
          <w:tcPr>
            <w:tcW w:w="60" w:type="dxa"/>
            <w:vAlign w:val="bottom"/>
            <w:tcBorders>
              <w:bottom w:val="single" w:sz="8" w:color="7B7C80"/>
            </w:tcBorders>
          </w:tcPr>
          <w:p>
            <w:pPr>
              <w:spacing w:after="0"/>
              <w:rPr>
                <w:sz w:val="12"/>
                <w:szCs w:val="12"/>
                <w:color w:val="auto"/>
              </w:rPr>
            </w:pPr>
          </w:p>
        </w:tc>
        <w:tc>
          <w:tcPr>
            <w:tcW w:w="1160" w:type="dxa"/>
            <w:vAlign w:val="bottom"/>
            <w:tcBorders>
              <w:bottom w:val="single" w:sz="8" w:color="7B7C80"/>
              <w:right w:val="single" w:sz="8" w:color="7B7C80"/>
            </w:tcBorders>
          </w:tcPr>
          <w:p>
            <w:pPr>
              <w:jc w:val="center"/>
              <w:ind w:right="39"/>
              <w:spacing w:after="0"/>
              <w:rPr>
                <w:sz w:val="20"/>
                <w:szCs w:val="20"/>
                <w:color w:val="auto"/>
              </w:rPr>
            </w:pPr>
            <w:r>
              <w:rPr>
                <w:rFonts w:ascii="Arial" w:cs="Arial" w:eastAsia="Arial" w:hAnsi="Arial"/>
                <w:sz w:val="12"/>
                <w:szCs w:val="12"/>
                <w:color w:val="7B7C80"/>
              </w:rPr>
              <w:t>$1,261.8M</w:t>
            </w:r>
          </w:p>
        </w:tc>
        <w:tc>
          <w:tcPr>
            <w:tcW w:w="1320" w:type="dxa"/>
            <w:vAlign w:val="bottom"/>
            <w:tcBorders>
              <w:bottom w:val="single" w:sz="8" w:color="7B7C80"/>
              <w:right w:val="single" w:sz="8" w:color="7B7C80"/>
            </w:tcBorders>
          </w:tcPr>
          <w:p>
            <w:pPr>
              <w:jc w:val="center"/>
              <w:spacing w:after="0"/>
              <w:rPr>
                <w:sz w:val="20"/>
                <w:szCs w:val="20"/>
                <w:color w:val="auto"/>
              </w:rPr>
            </w:pPr>
            <w:r>
              <w:rPr>
                <w:rFonts w:ascii="Arial" w:cs="Arial" w:eastAsia="Arial" w:hAnsi="Arial"/>
                <w:sz w:val="12"/>
                <w:szCs w:val="12"/>
                <w:color w:val="7B7C80"/>
              </w:rPr>
              <w:t>$1,284.8M</w:t>
            </w:r>
          </w:p>
        </w:tc>
        <w:tc>
          <w:tcPr>
            <w:tcW w:w="460" w:type="dxa"/>
            <w:vAlign w:val="bottom"/>
            <w:tcBorders>
              <w:right w:val="single" w:sz="8" w:color="7B7C80"/>
            </w:tcBorders>
          </w:tcPr>
          <w:p>
            <w:pPr>
              <w:spacing w:after="0"/>
              <w:rPr>
                <w:sz w:val="12"/>
                <w:szCs w:val="12"/>
                <w:color w:val="auto"/>
              </w:rPr>
            </w:pPr>
          </w:p>
        </w:tc>
      </w:tr>
      <w:tr>
        <w:trPr>
          <w:trHeight w:val="163"/>
        </w:trPr>
        <w:tc>
          <w:tcPr>
            <w:tcW w:w="360" w:type="dxa"/>
            <w:vAlign w:val="bottom"/>
            <w:tcBorders>
              <w:left w:val="single" w:sz="8" w:color="7B7C80"/>
              <w:bottom w:val="single" w:sz="8" w:color="7B7C80"/>
            </w:tcBorders>
          </w:tcPr>
          <w:p>
            <w:pPr>
              <w:spacing w:after="0"/>
              <w:rPr>
                <w:sz w:val="14"/>
                <w:szCs w:val="14"/>
                <w:color w:val="auto"/>
              </w:rPr>
            </w:pPr>
          </w:p>
        </w:tc>
        <w:tc>
          <w:tcPr>
            <w:tcW w:w="2400" w:type="dxa"/>
            <w:vAlign w:val="bottom"/>
            <w:tcBorders>
              <w:bottom w:val="single" w:sz="8" w:color="7B7C80"/>
            </w:tcBorders>
          </w:tcPr>
          <w:p>
            <w:pPr>
              <w:spacing w:after="0"/>
              <w:rPr>
                <w:sz w:val="14"/>
                <w:szCs w:val="14"/>
                <w:color w:val="auto"/>
              </w:rPr>
            </w:pPr>
          </w:p>
        </w:tc>
        <w:tc>
          <w:tcPr>
            <w:tcW w:w="3020" w:type="dxa"/>
            <w:vAlign w:val="bottom"/>
            <w:tcBorders>
              <w:bottom w:val="single" w:sz="8" w:color="7B7C80"/>
              <w:right w:val="single" w:sz="8" w:color="7B7C80"/>
            </w:tcBorders>
          </w:tcPr>
          <w:p>
            <w:pPr>
              <w:spacing w:after="0"/>
              <w:rPr>
                <w:sz w:val="14"/>
                <w:szCs w:val="14"/>
                <w:color w:val="auto"/>
              </w:rPr>
            </w:pPr>
          </w:p>
        </w:tc>
        <w:tc>
          <w:tcPr>
            <w:tcW w:w="5660" w:type="dxa"/>
            <w:vAlign w:val="bottom"/>
            <w:tcBorders>
              <w:bottom w:val="single" w:sz="8" w:color="7B7C80"/>
              <w:right w:val="single" w:sz="8" w:color="7B7C80"/>
            </w:tcBorders>
            <w:gridSpan w:val="6"/>
          </w:tcPr>
          <w:p>
            <w:pPr>
              <w:spacing w:after="0"/>
              <w:rPr>
                <w:sz w:val="14"/>
                <w:szCs w:val="14"/>
                <w:color w:val="auto"/>
              </w:rPr>
            </w:pPr>
          </w:p>
        </w:tc>
      </w:tr>
      <w:tr>
        <w:trPr>
          <w:trHeight w:val="133"/>
        </w:trPr>
        <w:tc>
          <w:tcPr>
            <w:tcW w:w="360" w:type="dxa"/>
            <w:vAlign w:val="bottom"/>
            <w:tcBorders>
              <w:left w:val="single" w:sz="8" w:color="7B7C80"/>
            </w:tcBorders>
          </w:tcPr>
          <w:p>
            <w:pPr>
              <w:ind w:left="180"/>
              <w:spacing w:after="0" w:line="133" w:lineRule="exact"/>
              <w:rPr>
                <w:sz w:val="20"/>
                <w:szCs w:val="20"/>
                <w:color w:val="auto"/>
              </w:rPr>
            </w:pPr>
            <w:r>
              <w:rPr>
                <w:rFonts w:ascii="Arial" w:cs="Arial" w:eastAsia="Arial" w:hAnsi="Arial"/>
                <w:sz w:val="12"/>
                <w:szCs w:val="12"/>
                <w:color w:val="7B7C80"/>
              </w:rPr>
              <w:t>6.</w:t>
            </w:r>
          </w:p>
        </w:tc>
        <w:tc>
          <w:tcPr>
            <w:tcW w:w="5420" w:type="dxa"/>
            <w:vAlign w:val="bottom"/>
            <w:tcBorders>
              <w:right w:val="single" w:sz="8" w:color="7B7C80"/>
            </w:tcBorders>
            <w:gridSpan w:val="2"/>
          </w:tcPr>
          <w:p>
            <w:pPr>
              <w:ind w:left="80"/>
              <w:spacing w:after="0" w:line="133" w:lineRule="exact"/>
              <w:rPr>
                <w:sz w:val="20"/>
                <w:szCs w:val="20"/>
                <w:color w:val="auto"/>
              </w:rPr>
            </w:pPr>
            <w:r>
              <w:rPr>
                <w:rFonts w:ascii="Arial" w:cs="Arial" w:eastAsia="Arial" w:hAnsi="Arial"/>
                <w:sz w:val="12"/>
                <w:szCs w:val="12"/>
                <w:color w:val="7B7C80"/>
              </w:rPr>
              <w:t>Risk Management.</w:t>
            </w:r>
          </w:p>
        </w:tc>
        <w:tc>
          <w:tcPr>
            <w:tcW w:w="5660" w:type="dxa"/>
            <w:vAlign w:val="bottom"/>
            <w:tcBorders>
              <w:right w:val="single" w:sz="8" w:color="7B7C80"/>
            </w:tcBorders>
            <w:gridSpan w:val="6"/>
          </w:tcPr>
          <w:p>
            <w:pPr>
              <w:ind w:left="80"/>
              <w:spacing w:after="0" w:line="133" w:lineRule="exact"/>
              <w:rPr>
                <w:sz w:val="20"/>
                <w:szCs w:val="20"/>
                <w:color w:val="auto"/>
              </w:rPr>
            </w:pPr>
            <w:r>
              <w:rPr>
                <w:rFonts w:ascii="Arial" w:cs="Arial" w:eastAsia="Arial" w:hAnsi="Arial"/>
                <w:sz w:val="12"/>
                <w:szCs w:val="12"/>
                <w:color w:val="7B7C80"/>
              </w:rPr>
              <w:t>The Company's risk management program remains effective and integrated, and our risk culture is</w:t>
            </w:r>
          </w:p>
        </w:tc>
      </w:tr>
      <w:tr>
        <w:trPr>
          <w:trHeight w:val="133"/>
        </w:trPr>
        <w:tc>
          <w:tcPr>
            <w:tcW w:w="360" w:type="dxa"/>
            <w:vAlign w:val="bottom"/>
            <w:tcBorders>
              <w:left w:val="single" w:sz="8" w:color="7B7C80"/>
              <w:bottom w:val="single" w:sz="8" w:color="7B7C80"/>
            </w:tcBorders>
          </w:tcPr>
          <w:p>
            <w:pPr>
              <w:spacing w:after="0"/>
              <w:rPr>
                <w:sz w:val="11"/>
                <w:szCs w:val="11"/>
                <w:color w:val="auto"/>
              </w:rPr>
            </w:pPr>
          </w:p>
        </w:tc>
        <w:tc>
          <w:tcPr>
            <w:tcW w:w="2400" w:type="dxa"/>
            <w:vAlign w:val="bottom"/>
            <w:tcBorders>
              <w:bottom w:val="single" w:sz="8" w:color="7B7C80"/>
            </w:tcBorders>
          </w:tcPr>
          <w:p>
            <w:pPr>
              <w:spacing w:after="0"/>
              <w:rPr>
                <w:sz w:val="11"/>
                <w:szCs w:val="11"/>
                <w:color w:val="auto"/>
              </w:rPr>
            </w:pPr>
          </w:p>
        </w:tc>
        <w:tc>
          <w:tcPr>
            <w:tcW w:w="3020" w:type="dxa"/>
            <w:vAlign w:val="bottom"/>
            <w:tcBorders>
              <w:bottom w:val="single" w:sz="8" w:color="7B7C80"/>
              <w:right w:val="single" w:sz="8" w:color="7B7C80"/>
            </w:tcBorders>
          </w:tcPr>
          <w:p>
            <w:pPr>
              <w:spacing w:after="0"/>
              <w:rPr>
                <w:sz w:val="11"/>
                <w:szCs w:val="11"/>
                <w:color w:val="auto"/>
              </w:rPr>
            </w:pPr>
          </w:p>
        </w:tc>
        <w:tc>
          <w:tcPr>
            <w:tcW w:w="5660" w:type="dxa"/>
            <w:vAlign w:val="bottom"/>
            <w:tcBorders>
              <w:bottom w:val="single" w:sz="8" w:color="7B7C80"/>
              <w:right w:val="single" w:sz="8" w:color="7B7C80"/>
            </w:tcBorders>
            <w:gridSpan w:val="6"/>
          </w:tcPr>
          <w:p>
            <w:pPr>
              <w:ind w:left="80"/>
              <w:spacing w:after="0" w:line="134" w:lineRule="exact"/>
              <w:rPr>
                <w:sz w:val="20"/>
                <w:szCs w:val="20"/>
                <w:color w:val="auto"/>
              </w:rPr>
            </w:pPr>
            <w:r>
              <w:rPr>
                <w:rFonts w:ascii="Arial" w:cs="Arial" w:eastAsia="Arial" w:hAnsi="Arial"/>
                <w:sz w:val="12"/>
                <w:szCs w:val="12"/>
                <w:color w:val="7B7C80"/>
              </w:rPr>
              <w:t>sound. For example, we retained our "strong" ERM rating with Sandard &amp; Poors.</w:t>
            </w:r>
          </w:p>
        </w:tc>
      </w:tr>
      <w:tr>
        <w:trPr>
          <w:trHeight w:val="83"/>
        </w:trPr>
        <w:tc>
          <w:tcPr>
            <w:tcW w:w="360" w:type="dxa"/>
            <w:vAlign w:val="bottom"/>
            <w:tcBorders>
              <w:bottom w:val="single" w:sz="8" w:color="7B7C80"/>
            </w:tcBorders>
          </w:tcPr>
          <w:p>
            <w:pPr>
              <w:spacing w:after="0"/>
              <w:rPr>
                <w:sz w:val="7"/>
                <w:szCs w:val="7"/>
                <w:color w:val="auto"/>
              </w:rPr>
            </w:pPr>
          </w:p>
        </w:tc>
        <w:tc>
          <w:tcPr>
            <w:tcW w:w="2400" w:type="dxa"/>
            <w:vAlign w:val="bottom"/>
            <w:tcBorders>
              <w:bottom w:val="single" w:sz="8" w:color="7B7C80"/>
            </w:tcBorders>
          </w:tcPr>
          <w:p>
            <w:pPr>
              <w:spacing w:after="0"/>
              <w:rPr>
                <w:sz w:val="7"/>
                <w:szCs w:val="7"/>
                <w:color w:val="auto"/>
              </w:rPr>
            </w:pPr>
          </w:p>
        </w:tc>
        <w:tc>
          <w:tcPr>
            <w:tcW w:w="3020" w:type="dxa"/>
            <w:vAlign w:val="bottom"/>
          </w:tcPr>
          <w:p>
            <w:pPr>
              <w:spacing w:after="0"/>
              <w:rPr>
                <w:sz w:val="7"/>
                <w:szCs w:val="7"/>
                <w:color w:val="auto"/>
              </w:rPr>
            </w:pPr>
          </w:p>
        </w:tc>
        <w:tc>
          <w:tcPr>
            <w:tcW w:w="380" w:type="dxa"/>
            <w:vAlign w:val="bottom"/>
          </w:tcPr>
          <w:p>
            <w:pPr>
              <w:spacing w:after="0"/>
              <w:rPr>
                <w:sz w:val="7"/>
                <w:szCs w:val="7"/>
                <w:color w:val="auto"/>
              </w:rPr>
            </w:pPr>
          </w:p>
        </w:tc>
        <w:tc>
          <w:tcPr>
            <w:tcW w:w="2280" w:type="dxa"/>
            <w:vAlign w:val="bottom"/>
          </w:tcPr>
          <w:p>
            <w:pPr>
              <w:spacing w:after="0"/>
              <w:rPr>
                <w:sz w:val="7"/>
                <w:szCs w:val="7"/>
                <w:color w:val="auto"/>
              </w:rPr>
            </w:pPr>
          </w:p>
        </w:tc>
        <w:tc>
          <w:tcPr>
            <w:tcW w:w="60" w:type="dxa"/>
            <w:vAlign w:val="bottom"/>
          </w:tcPr>
          <w:p>
            <w:pPr>
              <w:spacing w:after="0"/>
              <w:rPr>
                <w:sz w:val="7"/>
                <w:szCs w:val="7"/>
                <w:color w:val="auto"/>
              </w:rPr>
            </w:pPr>
          </w:p>
        </w:tc>
        <w:tc>
          <w:tcPr>
            <w:tcW w:w="1160" w:type="dxa"/>
            <w:vAlign w:val="bottom"/>
          </w:tcPr>
          <w:p>
            <w:pPr>
              <w:spacing w:after="0"/>
              <w:rPr>
                <w:sz w:val="7"/>
                <w:szCs w:val="7"/>
                <w:color w:val="auto"/>
              </w:rPr>
            </w:pPr>
          </w:p>
        </w:tc>
        <w:tc>
          <w:tcPr>
            <w:tcW w:w="1320" w:type="dxa"/>
            <w:vAlign w:val="bottom"/>
          </w:tcPr>
          <w:p>
            <w:pPr>
              <w:spacing w:after="0"/>
              <w:rPr>
                <w:sz w:val="7"/>
                <w:szCs w:val="7"/>
                <w:color w:val="auto"/>
              </w:rPr>
            </w:pPr>
          </w:p>
        </w:tc>
        <w:tc>
          <w:tcPr>
            <w:tcW w:w="460" w:type="dxa"/>
            <w:vAlign w:val="bottom"/>
          </w:tcPr>
          <w:p>
            <w:pPr>
              <w:spacing w:after="0"/>
              <w:rPr>
                <w:sz w:val="7"/>
                <w:szCs w:val="7"/>
                <w:color w:val="auto"/>
              </w:rPr>
            </w:pPr>
          </w:p>
        </w:tc>
      </w:tr>
    </w:tbl>
    <w:p>
      <w:pPr>
        <w:spacing w:after="0" w:line="187" w:lineRule="exact"/>
        <w:rPr>
          <w:sz w:val="20"/>
          <w:szCs w:val="20"/>
          <w:color w:val="auto"/>
        </w:rPr>
      </w:pPr>
    </w:p>
    <w:p>
      <w:pPr>
        <w:ind w:left="448" w:hanging="448"/>
        <w:spacing w:after="0"/>
        <w:tabs>
          <w:tab w:leader="none" w:pos="448" w:val="left"/>
        </w:tabs>
        <w:numPr>
          <w:ilvl w:val="0"/>
          <w:numId w:val="35"/>
        </w:numPr>
        <w:rPr>
          <w:rFonts w:ascii="Arial" w:cs="Arial" w:eastAsia="Arial" w:hAnsi="Arial"/>
          <w:sz w:val="12"/>
          <w:szCs w:val="12"/>
          <w:color w:val="7B7C80"/>
        </w:rPr>
      </w:pPr>
      <w:r>
        <w:rPr>
          <w:rFonts w:ascii="Arial" w:cs="Arial" w:eastAsia="Arial" w:hAnsi="Arial"/>
          <w:sz w:val="12"/>
          <w:szCs w:val="12"/>
          <w:color w:val="7B7C80"/>
        </w:rPr>
        <w:t>All pretax Operating Earnings.</w:t>
      </w:r>
    </w:p>
    <w:p>
      <w:pPr>
        <w:spacing w:after="0" w:line="136" w:lineRule="exact"/>
        <w:rPr>
          <w:rFonts w:ascii="Arial" w:cs="Arial" w:eastAsia="Arial" w:hAnsi="Arial"/>
          <w:sz w:val="12"/>
          <w:szCs w:val="12"/>
          <w:color w:val="7B7C80"/>
        </w:rPr>
      </w:pPr>
    </w:p>
    <w:p>
      <w:pPr>
        <w:ind w:left="448" w:hanging="448"/>
        <w:spacing w:after="0"/>
        <w:tabs>
          <w:tab w:leader="none" w:pos="448" w:val="left"/>
        </w:tabs>
        <w:numPr>
          <w:ilvl w:val="0"/>
          <w:numId w:val="35"/>
        </w:numPr>
        <w:rPr>
          <w:rFonts w:ascii="Arial" w:cs="Arial" w:eastAsia="Arial" w:hAnsi="Arial"/>
          <w:sz w:val="12"/>
          <w:szCs w:val="12"/>
          <w:color w:val="7B7C80"/>
        </w:rPr>
      </w:pPr>
      <w:r>
        <w:rPr>
          <w:rFonts w:ascii="Arial" w:cs="Arial" w:eastAsia="Arial" w:hAnsi="Arial"/>
          <w:sz w:val="12"/>
          <w:szCs w:val="12"/>
          <w:color w:val="7B7C80"/>
        </w:rPr>
        <w:t>This is a non-GAAP financial measure. See non-GAAP financial measure reconciliations in Appendix 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113665</wp:posOffset>
            </wp:positionV>
            <wp:extent cx="960120" cy="2838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9"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35</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38" w:name="page39"/>
    <w:bookmarkEnd w:id="38"/>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009CCC"/>
        </w:rPr>
        <w:t>Final Annual Incentive Pay Award Determination</w:t>
      </w:r>
    </w:p>
    <w:p>
      <w:pPr>
        <w:spacing w:after="0" w:line="183" w:lineRule="exact"/>
        <w:rPr>
          <w:sz w:val="20"/>
          <w:szCs w:val="20"/>
          <w:color w:val="auto"/>
        </w:rPr>
      </w:pPr>
    </w:p>
    <w:p>
      <w:pPr>
        <w:jc w:val="both"/>
        <w:ind w:left="8"/>
        <w:spacing w:after="0" w:line="247" w:lineRule="auto"/>
        <w:rPr>
          <w:sz w:val="20"/>
          <w:szCs w:val="20"/>
          <w:color w:val="auto"/>
        </w:rPr>
      </w:pPr>
      <w:r>
        <w:rPr>
          <w:rFonts w:ascii="Arial" w:cs="Arial" w:eastAsia="Arial" w:hAnsi="Arial"/>
          <w:sz w:val="15"/>
          <w:szCs w:val="15"/>
          <w:color w:val="7B7C80"/>
        </w:rPr>
        <w:t>The following table shows the annual incentive award for each of the Named Executive Officers whose annual incentive opportunities are determined under the Annual Incentive Plan. The column "Reduction from Maximum Award" shows the amount by which the Committee reduced the maximum bonuses to determine the awards paid.</w:t>
      </w:r>
    </w:p>
    <w:p>
      <w:pPr>
        <w:spacing w:after="0" w:line="149" w:lineRule="exact"/>
        <w:rPr>
          <w:sz w:val="20"/>
          <w:szCs w:val="20"/>
          <w:color w:val="auto"/>
        </w:rPr>
      </w:pPr>
    </w:p>
    <w:tbl>
      <w:tblPr>
        <w:tblLayout w:type="fixed"/>
        <w:tblInd w:w="1368" w:type="dxa"/>
        <w:tblCellMar>
          <w:top w:w="0" w:type="dxa"/>
          <w:left w:w="0" w:type="dxa"/>
          <w:bottom w:w="0" w:type="dxa"/>
          <w:right w:w="0" w:type="dxa"/>
        </w:tblCellMar>
      </w:tblPr>
      <w:tr>
        <w:trPr>
          <w:trHeight w:val="139"/>
        </w:trPr>
        <w:tc>
          <w:tcPr>
            <w:tcW w:w="2620" w:type="dxa"/>
            <w:vAlign w:val="bottom"/>
            <w:tcBorders>
              <w:top w:val="single" w:sz="8" w:color="009CCC"/>
            </w:tcBorders>
          </w:tcPr>
          <w:p>
            <w:pPr>
              <w:spacing w:after="0"/>
              <w:rPr>
                <w:sz w:val="12"/>
                <w:szCs w:val="12"/>
                <w:color w:val="auto"/>
              </w:rPr>
            </w:pPr>
          </w:p>
        </w:tc>
        <w:tc>
          <w:tcPr>
            <w:tcW w:w="2520" w:type="dxa"/>
            <w:vAlign w:val="bottom"/>
            <w:tcBorders>
              <w:top w:val="single" w:sz="8" w:color="009CCC"/>
            </w:tcBorders>
          </w:tcPr>
          <w:p>
            <w:pPr>
              <w:jc w:val="right"/>
              <w:ind w:right="29"/>
              <w:spacing w:after="0"/>
              <w:rPr>
                <w:sz w:val="20"/>
                <w:szCs w:val="20"/>
                <w:color w:val="auto"/>
              </w:rPr>
            </w:pPr>
            <w:r>
              <w:rPr>
                <w:rFonts w:ascii="Arial" w:cs="Arial" w:eastAsia="Arial" w:hAnsi="Arial"/>
                <w:sz w:val="12"/>
                <w:szCs w:val="12"/>
                <w:b w:val="1"/>
                <w:bCs w:val="1"/>
                <w:color w:val="009CCC"/>
              </w:rPr>
              <w:t>2017</w:t>
            </w:r>
          </w:p>
        </w:tc>
        <w:tc>
          <w:tcPr>
            <w:tcW w:w="620" w:type="dxa"/>
            <w:vAlign w:val="bottom"/>
            <w:tcBorders>
              <w:top w:val="single" w:sz="8" w:color="009CCC"/>
            </w:tcBorders>
          </w:tcPr>
          <w:p>
            <w:pPr>
              <w:jc w:val="right"/>
              <w:ind w:right="69"/>
              <w:spacing w:after="0"/>
              <w:rPr>
                <w:sz w:val="20"/>
                <w:szCs w:val="20"/>
                <w:color w:val="auto"/>
              </w:rPr>
            </w:pPr>
            <w:r>
              <w:rPr>
                <w:rFonts w:ascii="Arial" w:cs="Arial" w:eastAsia="Arial" w:hAnsi="Arial"/>
                <w:sz w:val="12"/>
                <w:szCs w:val="12"/>
                <w:b w:val="1"/>
                <w:bCs w:val="1"/>
                <w:color w:val="009CCC"/>
              </w:rPr>
              <w:t>2017</w:t>
            </w:r>
          </w:p>
        </w:tc>
        <w:tc>
          <w:tcPr>
            <w:tcW w:w="220" w:type="dxa"/>
            <w:vAlign w:val="bottom"/>
            <w:tcBorders>
              <w:top w:val="single" w:sz="8" w:color="009CCC"/>
            </w:tcBorders>
          </w:tcPr>
          <w:p>
            <w:pPr>
              <w:spacing w:after="0"/>
              <w:rPr>
                <w:sz w:val="12"/>
                <w:szCs w:val="12"/>
                <w:color w:val="auto"/>
              </w:rPr>
            </w:pPr>
          </w:p>
        </w:tc>
        <w:tc>
          <w:tcPr>
            <w:tcW w:w="760" w:type="dxa"/>
            <w:vAlign w:val="bottom"/>
            <w:tcBorders>
              <w:top w:val="single" w:sz="8" w:color="009CCC"/>
            </w:tcBorders>
          </w:tcPr>
          <w:p>
            <w:pPr>
              <w:jc w:val="right"/>
              <w:ind w:right="9"/>
              <w:spacing w:after="0"/>
              <w:rPr>
                <w:sz w:val="20"/>
                <w:szCs w:val="20"/>
                <w:color w:val="auto"/>
              </w:rPr>
            </w:pPr>
            <w:r>
              <w:rPr>
                <w:rFonts w:ascii="Arial" w:cs="Arial" w:eastAsia="Arial" w:hAnsi="Arial"/>
                <w:sz w:val="12"/>
                <w:szCs w:val="12"/>
                <w:b w:val="1"/>
                <w:bCs w:val="1"/>
                <w:color w:val="009CCC"/>
              </w:rPr>
              <w:t>Final</w:t>
            </w:r>
          </w:p>
        </w:tc>
        <w:tc>
          <w:tcPr>
            <w:tcW w:w="580" w:type="dxa"/>
            <w:vAlign w:val="bottom"/>
            <w:tcBorders>
              <w:top w:val="single" w:sz="8" w:color="009CCC"/>
            </w:tcBorders>
          </w:tcPr>
          <w:p>
            <w:pPr>
              <w:jc w:val="right"/>
              <w:ind w:right="29"/>
              <w:spacing w:after="0"/>
              <w:rPr>
                <w:sz w:val="20"/>
                <w:szCs w:val="20"/>
                <w:color w:val="auto"/>
              </w:rPr>
            </w:pPr>
            <w:r>
              <w:rPr>
                <w:rFonts w:ascii="Arial" w:cs="Arial" w:eastAsia="Arial" w:hAnsi="Arial"/>
                <w:sz w:val="12"/>
                <w:szCs w:val="12"/>
                <w:b w:val="1"/>
                <w:bCs w:val="1"/>
                <w:color w:val="009CCC"/>
              </w:rPr>
              <w:t>% of</w:t>
            </w:r>
          </w:p>
        </w:tc>
        <w:tc>
          <w:tcPr>
            <w:tcW w:w="1080" w:type="dxa"/>
            <w:vAlign w:val="bottom"/>
            <w:tcBorders>
              <w:top w:val="single" w:sz="8" w:color="009CCC"/>
            </w:tcBorders>
          </w:tcPr>
          <w:p>
            <w:pPr>
              <w:jc w:val="right"/>
              <w:spacing w:after="0"/>
              <w:rPr>
                <w:sz w:val="20"/>
                <w:szCs w:val="20"/>
                <w:color w:val="auto"/>
              </w:rPr>
            </w:pPr>
            <w:r>
              <w:rPr>
                <w:rFonts w:ascii="Arial" w:cs="Arial" w:eastAsia="Arial" w:hAnsi="Arial"/>
                <w:sz w:val="12"/>
                <w:szCs w:val="12"/>
                <w:b w:val="1"/>
                <w:bCs w:val="1"/>
                <w:color w:val="009CCC"/>
              </w:rPr>
              <w:t>Reduction From</w:t>
            </w:r>
          </w:p>
        </w:tc>
      </w:tr>
      <w:tr>
        <w:trPr>
          <w:trHeight w:val="147"/>
        </w:trPr>
        <w:tc>
          <w:tcPr>
            <w:tcW w:w="262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2520" w:type="dxa"/>
            <w:vAlign w:val="bottom"/>
            <w:tcBorders>
              <w:bottom w:val="single" w:sz="8" w:color="7B7C80"/>
            </w:tcBorders>
          </w:tcPr>
          <w:p>
            <w:pPr>
              <w:jc w:val="right"/>
              <w:ind w:right="29"/>
              <w:spacing w:after="0"/>
              <w:rPr>
                <w:sz w:val="20"/>
                <w:szCs w:val="20"/>
                <w:color w:val="auto"/>
              </w:rPr>
            </w:pPr>
            <w:r>
              <w:rPr>
                <w:rFonts w:ascii="Arial" w:cs="Arial" w:eastAsia="Arial" w:hAnsi="Arial"/>
                <w:sz w:val="12"/>
                <w:szCs w:val="12"/>
                <w:b w:val="1"/>
                <w:bCs w:val="1"/>
                <w:color w:val="009CCC"/>
              </w:rPr>
              <w:t>Salary</w:t>
            </w:r>
          </w:p>
        </w:tc>
        <w:tc>
          <w:tcPr>
            <w:tcW w:w="620" w:type="dxa"/>
            <w:vAlign w:val="bottom"/>
            <w:tcBorders>
              <w:bottom w:val="single" w:sz="8" w:color="7B7C80"/>
            </w:tcBorders>
          </w:tcPr>
          <w:p>
            <w:pPr>
              <w:jc w:val="right"/>
              <w:ind w:right="69"/>
              <w:spacing w:after="0"/>
              <w:rPr>
                <w:sz w:val="20"/>
                <w:szCs w:val="20"/>
                <w:color w:val="auto"/>
              </w:rPr>
            </w:pPr>
            <w:r>
              <w:rPr>
                <w:rFonts w:ascii="Arial" w:cs="Arial" w:eastAsia="Arial" w:hAnsi="Arial"/>
                <w:sz w:val="12"/>
                <w:szCs w:val="12"/>
                <w:b w:val="1"/>
                <w:bCs w:val="1"/>
                <w:color w:val="009CCC"/>
              </w:rPr>
              <w:t>Target</w:t>
            </w:r>
          </w:p>
        </w:tc>
        <w:tc>
          <w:tcPr>
            <w:tcW w:w="220" w:type="dxa"/>
            <w:vAlign w:val="bottom"/>
            <w:tcBorders>
              <w:bottom w:val="single" w:sz="8" w:color="7B7C80"/>
            </w:tcBorders>
          </w:tcPr>
          <w:p>
            <w:pPr>
              <w:spacing w:after="0"/>
              <w:rPr>
                <w:sz w:val="12"/>
                <w:szCs w:val="12"/>
                <w:color w:val="auto"/>
              </w:rPr>
            </w:pPr>
          </w:p>
        </w:tc>
        <w:tc>
          <w:tcPr>
            <w:tcW w:w="760" w:type="dxa"/>
            <w:vAlign w:val="bottom"/>
            <w:tcBorders>
              <w:bottom w:val="single" w:sz="8" w:color="7B7C80"/>
            </w:tcBorders>
          </w:tcPr>
          <w:p>
            <w:pPr>
              <w:jc w:val="right"/>
              <w:ind w:right="9"/>
              <w:spacing w:after="0"/>
              <w:rPr>
                <w:sz w:val="20"/>
                <w:szCs w:val="20"/>
                <w:color w:val="auto"/>
              </w:rPr>
            </w:pPr>
            <w:r>
              <w:rPr>
                <w:rFonts w:ascii="Arial" w:cs="Arial" w:eastAsia="Arial" w:hAnsi="Arial"/>
                <w:sz w:val="12"/>
                <w:szCs w:val="12"/>
                <w:b w:val="1"/>
                <w:bCs w:val="1"/>
                <w:color w:val="009CCC"/>
              </w:rPr>
              <w:t>Award</w:t>
            </w:r>
          </w:p>
        </w:tc>
        <w:tc>
          <w:tcPr>
            <w:tcW w:w="580" w:type="dxa"/>
            <w:vAlign w:val="bottom"/>
            <w:tcBorders>
              <w:bottom w:val="single" w:sz="8" w:color="7B7C80"/>
            </w:tcBorders>
          </w:tcPr>
          <w:p>
            <w:pPr>
              <w:jc w:val="right"/>
              <w:ind w:right="29"/>
              <w:spacing w:after="0"/>
              <w:rPr>
                <w:sz w:val="20"/>
                <w:szCs w:val="20"/>
                <w:color w:val="auto"/>
              </w:rPr>
            </w:pPr>
            <w:r>
              <w:rPr>
                <w:rFonts w:ascii="Arial" w:cs="Arial" w:eastAsia="Arial" w:hAnsi="Arial"/>
                <w:sz w:val="12"/>
                <w:szCs w:val="12"/>
                <w:b w:val="1"/>
                <w:bCs w:val="1"/>
                <w:color w:val="009CCC"/>
              </w:rPr>
              <w:t>Target</w:t>
            </w:r>
          </w:p>
        </w:tc>
        <w:tc>
          <w:tcPr>
            <w:tcW w:w="108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Maximum Award</w:t>
            </w:r>
          </w:p>
        </w:tc>
      </w:tr>
      <w:tr>
        <w:trPr>
          <w:trHeight w:val="163"/>
        </w:trPr>
        <w:tc>
          <w:tcPr>
            <w:tcW w:w="262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Houston</w:t>
            </w:r>
          </w:p>
        </w:tc>
        <w:tc>
          <w:tcPr>
            <w:tcW w:w="2520" w:type="dxa"/>
            <w:vAlign w:val="bottom"/>
            <w:tcBorders>
              <w:bottom w:val="single" w:sz="8" w:color="7B7C80"/>
            </w:tcBorders>
          </w:tcPr>
          <w:p>
            <w:pPr>
              <w:jc w:val="right"/>
              <w:ind w:right="29"/>
              <w:spacing w:after="0" w:line="164" w:lineRule="exact"/>
              <w:rPr>
                <w:sz w:val="20"/>
                <w:szCs w:val="20"/>
                <w:color w:val="auto"/>
              </w:rPr>
            </w:pPr>
            <w:r>
              <w:rPr>
                <w:rFonts w:ascii="Arial" w:cs="Arial" w:eastAsia="Arial" w:hAnsi="Arial"/>
                <w:sz w:val="15"/>
                <w:szCs w:val="15"/>
                <w:color w:val="7B7C80"/>
              </w:rPr>
              <w:t>$900,000</w:t>
            </w:r>
          </w:p>
        </w:tc>
        <w:tc>
          <w:tcPr>
            <w:tcW w:w="620" w:type="dxa"/>
            <w:vAlign w:val="bottom"/>
            <w:tcBorders>
              <w:bottom w:val="single" w:sz="8" w:color="7B7C80"/>
            </w:tcBorders>
          </w:tcPr>
          <w:p>
            <w:pPr>
              <w:jc w:val="right"/>
              <w:ind w:right="69"/>
              <w:spacing w:after="0" w:line="164" w:lineRule="exact"/>
              <w:rPr>
                <w:sz w:val="20"/>
                <w:szCs w:val="20"/>
                <w:color w:val="auto"/>
              </w:rPr>
            </w:pPr>
            <w:r>
              <w:rPr>
                <w:rFonts w:ascii="Arial" w:cs="Arial" w:eastAsia="Arial" w:hAnsi="Arial"/>
                <w:sz w:val="15"/>
                <w:szCs w:val="15"/>
                <w:color w:val="7B7C80"/>
              </w:rPr>
              <w:t>350%</w:t>
            </w:r>
          </w:p>
        </w:tc>
        <w:tc>
          <w:tcPr>
            <w:tcW w:w="2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tcPr>
          <w:p>
            <w:pPr>
              <w:jc w:val="right"/>
              <w:ind w:right="9"/>
              <w:spacing w:after="0" w:line="164" w:lineRule="exact"/>
              <w:rPr>
                <w:sz w:val="20"/>
                <w:szCs w:val="20"/>
                <w:color w:val="auto"/>
              </w:rPr>
            </w:pPr>
            <w:r>
              <w:rPr>
                <w:rFonts w:ascii="Arial" w:cs="Arial" w:eastAsia="Arial" w:hAnsi="Arial"/>
                <w:sz w:val="15"/>
                <w:szCs w:val="15"/>
                <w:color w:val="7B7C80"/>
                <w:w w:val="98"/>
              </w:rPr>
              <w:t>3,339,000</w:t>
            </w:r>
          </w:p>
        </w:tc>
        <w:tc>
          <w:tcPr>
            <w:tcW w:w="580" w:type="dxa"/>
            <w:vAlign w:val="bottom"/>
            <w:tcBorders>
              <w:bottom w:val="single" w:sz="8" w:color="7B7C80"/>
            </w:tcBorders>
          </w:tcPr>
          <w:p>
            <w:pPr>
              <w:jc w:val="right"/>
              <w:ind w:right="29"/>
              <w:spacing w:after="0" w:line="164" w:lineRule="exact"/>
              <w:rPr>
                <w:sz w:val="20"/>
                <w:szCs w:val="20"/>
                <w:color w:val="auto"/>
              </w:rPr>
            </w:pPr>
            <w:r>
              <w:rPr>
                <w:rFonts w:ascii="Arial" w:cs="Arial" w:eastAsia="Arial" w:hAnsi="Arial"/>
                <w:sz w:val="15"/>
                <w:szCs w:val="15"/>
                <w:color w:val="7B7C80"/>
              </w:rPr>
              <w:t>106%</w:t>
            </w:r>
          </w:p>
        </w:tc>
        <w:tc>
          <w:tcPr>
            <w:tcW w:w="10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$8,761,000</w:t>
            </w:r>
          </w:p>
        </w:tc>
      </w:tr>
      <w:tr>
        <w:trPr>
          <w:trHeight w:val="163"/>
        </w:trPr>
        <w:tc>
          <w:tcPr>
            <w:tcW w:w="262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Strable</w:t>
            </w:r>
          </w:p>
        </w:tc>
        <w:tc>
          <w:tcPr>
            <w:tcW w:w="2520" w:type="dxa"/>
            <w:vAlign w:val="bottom"/>
            <w:tcBorders>
              <w:bottom w:val="single" w:sz="8" w:color="7B7C80"/>
            </w:tcBorders>
            <w:shd w:val="clear" w:color="auto" w:fill="E7E6E7"/>
          </w:tcPr>
          <w:p>
            <w:pPr>
              <w:jc w:val="right"/>
              <w:ind w:right="29"/>
              <w:spacing w:after="0" w:line="164" w:lineRule="exact"/>
              <w:rPr>
                <w:sz w:val="20"/>
                <w:szCs w:val="20"/>
                <w:color w:val="auto"/>
              </w:rPr>
            </w:pPr>
            <w:r>
              <w:rPr>
                <w:rFonts w:ascii="Arial" w:cs="Arial" w:eastAsia="Arial" w:hAnsi="Arial"/>
                <w:sz w:val="15"/>
                <w:szCs w:val="15"/>
                <w:color w:val="7B7C80"/>
              </w:rPr>
              <w:t>$562,000</w:t>
            </w:r>
          </w:p>
        </w:tc>
        <w:tc>
          <w:tcPr>
            <w:tcW w:w="620" w:type="dxa"/>
            <w:vAlign w:val="bottom"/>
            <w:tcBorders>
              <w:bottom w:val="single" w:sz="8" w:color="7B7C80"/>
            </w:tcBorders>
            <w:shd w:val="clear" w:color="auto" w:fill="E7E6E7"/>
          </w:tcPr>
          <w:p>
            <w:pPr>
              <w:jc w:val="right"/>
              <w:ind w:right="69"/>
              <w:spacing w:after="0" w:line="164" w:lineRule="exact"/>
              <w:rPr>
                <w:sz w:val="20"/>
                <w:szCs w:val="20"/>
                <w:color w:val="auto"/>
              </w:rPr>
            </w:pPr>
            <w:r>
              <w:rPr>
                <w:rFonts w:ascii="Arial" w:cs="Arial" w:eastAsia="Arial" w:hAnsi="Arial"/>
                <w:sz w:val="15"/>
                <w:szCs w:val="15"/>
                <w:color w:val="7B7C80"/>
              </w:rPr>
              <w:t>150%</w:t>
            </w:r>
          </w:p>
        </w:tc>
        <w:tc>
          <w:tcPr>
            <w:tcW w:w="2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shd w:val="clear" w:color="auto" w:fill="E7E6E7"/>
          </w:tcPr>
          <w:p>
            <w:pPr>
              <w:jc w:val="right"/>
              <w:ind w:right="9"/>
              <w:spacing w:after="0" w:line="164" w:lineRule="exact"/>
              <w:rPr>
                <w:sz w:val="20"/>
                <w:szCs w:val="20"/>
                <w:color w:val="auto"/>
              </w:rPr>
            </w:pPr>
            <w:r>
              <w:rPr>
                <w:rFonts w:ascii="Arial" w:cs="Arial" w:eastAsia="Arial" w:hAnsi="Arial"/>
                <w:sz w:val="15"/>
                <w:szCs w:val="15"/>
                <w:color w:val="7B7C80"/>
              </w:rPr>
              <w:t>938,000</w:t>
            </w:r>
          </w:p>
        </w:tc>
        <w:tc>
          <w:tcPr>
            <w:tcW w:w="580" w:type="dxa"/>
            <w:vAlign w:val="bottom"/>
            <w:tcBorders>
              <w:bottom w:val="single" w:sz="8" w:color="7B7C80"/>
            </w:tcBorders>
            <w:shd w:val="clear" w:color="auto" w:fill="E7E6E7"/>
          </w:tcPr>
          <w:p>
            <w:pPr>
              <w:jc w:val="right"/>
              <w:ind w:right="29"/>
              <w:spacing w:after="0" w:line="164" w:lineRule="exact"/>
              <w:rPr>
                <w:sz w:val="20"/>
                <w:szCs w:val="20"/>
                <w:color w:val="auto"/>
              </w:rPr>
            </w:pPr>
            <w:r>
              <w:rPr>
                <w:rFonts w:ascii="Arial" w:cs="Arial" w:eastAsia="Arial" w:hAnsi="Arial"/>
                <w:sz w:val="15"/>
                <w:szCs w:val="15"/>
                <w:color w:val="7B7C80"/>
              </w:rPr>
              <w:t>111%</w:t>
            </w:r>
          </w:p>
        </w:tc>
        <w:tc>
          <w:tcPr>
            <w:tcW w:w="10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$2,562,000</w:t>
            </w:r>
          </w:p>
        </w:tc>
      </w:tr>
      <w:tr>
        <w:trPr>
          <w:trHeight w:val="163"/>
        </w:trPr>
        <w:tc>
          <w:tcPr>
            <w:tcW w:w="262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Everett</w:t>
            </w:r>
          </w:p>
        </w:tc>
        <w:tc>
          <w:tcPr>
            <w:tcW w:w="2520" w:type="dxa"/>
            <w:vAlign w:val="bottom"/>
            <w:tcBorders>
              <w:bottom w:val="single" w:sz="8" w:color="7B7C80"/>
            </w:tcBorders>
          </w:tcPr>
          <w:p>
            <w:pPr>
              <w:jc w:val="right"/>
              <w:ind w:right="29"/>
              <w:spacing w:after="0" w:line="164" w:lineRule="exact"/>
              <w:rPr>
                <w:sz w:val="20"/>
                <w:szCs w:val="20"/>
                <w:color w:val="auto"/>
              </w:rPr>
            </w:pPr>
            <w:r>
              <w:rPr>
                <w:rFonts w:ascii="Arial" w:cs="Arial" w:eastAsia="Arial" w:hAnsi="Arial"/>
                <w:sz w:val="15"/>
                <w:szCs w:val="15"/>
                <w:color w:val="7B7C80"/>
              </w:rPr>
              <w:t>$529,500</w:t>
            </w:r>
          </w:p>
        </w:tc>
        <w:tc>
          <w:tcPr>
            <w:tcW w:w="620" w:type="dxa"/>
            <w:vAlign w:val="bottom"/>
            <w:tcBorders>
              <w:bottom w:val="single" w:sz="8" w:color="7B7C80"/>
            </w:tcBorders>
          </w:tcPr>
          <w:p>
            <w:pPr>
              <w:jc w:val="right"/>
              <w:ind w:right="69"/>
              <w:spacing w:after="0" w:line="164" w:lineRule="exact"/>
              <w:rPr>
                <w:sz w:val="20"/>
                <w:szCs w:val="20"/>
                <w:color w:val="auto"/>
              </w:rPr>
            </w:pPr>
            <w:r>
              <w:rPr>
                <w:rFonts w:ascii="Arial" w:cs="Arial" w:eastAsia="Arial" w:hAnsi="Arial"/>
                <w:sz w:val="15"/>
                <w:szCs w:val="15"/>
                <w:color w:val="7B7C80"/>
              </w:rPr>
              <w:t>100%</w:t>
            </w:r>
          </w:p>
        </w:tc>
        <w:tc>
          <w:tcPr>
            <w:tcW w:w="2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tcPr>
          <w:p>
            <w:pPr>
              <w:jc w:val="right"/>
              <w:ind w:right="9"/>
              <w:spacing w:after="0" w:line="164" w:lineRule="exact"/>
              <w:rPr>
                <w:sz w:val="20"/>
                <w:szCs w:val="20"/>
                <w:color w:val="auto"/>
              </w:rPr>
            </w:pPr>
            <w:r>
              <w:rPr>
                <w:rFonts w:ascii="Arial" w:cs="Arial" w:eastAsia="Arial" w:hAnsi="Arial"/>
                <w:sz w:val="15"/>
                <w:szCs w:val="15"/>
                <w:color w:val="7B7C80"/>
              </w:rPr>
              <w:t>561,000</w:t>
            </w:r>
          </w:p>
        </w:tc>
        <w:tc>
          <w:tcPr>
            <w:tcW w:w="580" w:type="dxa"/>
            <w:vAlign w:val="bottom"/>
            <w:tcBorders>
              <w:bottom w:val="single" w:sz="8" w:color="7B7C80"/>
            </w:tcBorders>
          </w:tcPr>
          <w:p>
            <w:pPr>
              <w:jc w:val="right"/>
              <w:ind w:right="29"/>
              <w:spacing w:after="0" w:line="164" w:lineRule="exact"/>
              <w:rPr>
                <w:sz w:val="20"/>
                <w:szCs w:val="20"/>
                <w:color w:val="auto"/>
              </w:rPr>
            </w:pPr>
            <w:r>
              <w:rPr>
                <w:rFonts w:ascii="Arial" w:cs="Arial" w:eastAsia="Arial" w:hAnsi="Arial"/>
                <w:sz w:val="15"/>
                <w:szCs w:val="15"/>
                <w:color w:val="7B7C80"/>
              </w:rPr>
              <w:t>106%</w:t>
            </w:r>
          </w:p>
        </w:tc>
        <w:tc>
          <w:tcPr>
            <w:tcW w:w="10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$2,939,000</w:t>
            </w:r>
          </w:p>
        </w:tc>
      </w:tr>
      <w:tr>
        <w:trPr>
          <w:trHeight w:val="163"/>
        </w:trPr>
        <w:tc>
          <w:tcPr>
            <w:tcW w:w="262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McCaughan</w:t>
            </w:r>
          </w:p>
        </w:tc>
        <w:tc>
          <w:tcPr>
            <w:tcW w:w="2520" w:type="dxa"/>
            <w:vAlign w:val="bottom"/>
            <w:tcBorders>
              <w:bottom w:val="single" w:sz="8" w:color="7B7C80"/>
            </w:tcBorders>
            <w:shd w:val="clear" w:color="auto" w:fill="E7E6E7"/>
          </w:tcPr>
          <w:p>
            <w:pPr>
              <w:jc w:val="right"/>
              <w:ind w:right="29"/>
              <w:spacing w:after="0" w:line="164" w:lineRule="exact"/>
              <w:rPr>
                <w:sz w:val="20"/>
                <w:szCs w:val="20"/>
                <w:color w:val="auto"/>
              </w:rPr>
            </w:pPr>
            <w:r>
              <w:rPr>
                <w:rFonts w:ascii="Arial" w:cs="Arial" w:eastAsia="Arial" w:hAnsi="Arial"/>
                <w:sz w:val="15"/>
                <w:szCs w:val="15"/>
                <w:color w:val="7B7C80"/>
              </w:rPr>
              <w:t>$679,500</w:t>
            </w:r>
          </w:p>
        </w:tc>
        <w:tc>
          <w:tcPr>
            <w:tcW w:w="620" w:type="dxa"/>
            <w:vAlign w:val="bottom"/>
            <w:tcBorders>
              <w:bottom w:val="single" w:sz="8" w:color="7B7C80"/>
            </w:tcBorders>
            <w:shd w:val="clear" w:color="auto" w:fill="E7E6E7"/>
          </w:tcPr>
          <w:p>
            <w:pPr>
              <w:jc w:val="right"/>
              <w:ind w:right="69"/>
              <w:spacing w:after="0" w:line="164" w:lineRule="exact"/>
              <w:rPr>
                <w:sz w:val="20"/>
                <w:szCs w:val="20"/>
                <w:color w:val="auto"/>
              </w:rPr>
            </w:pPr>
            <w:r>
              <w:rPr>
                <w:rFonts w:ascii="Arial" w:cs="Arial" w:eastAsia="Arial" w:hAnsi="Arial"/>
                <w:sz w:val="15"/>
                <w:szCs w:val="15"/>
                <w:color w:val="7B7C80"/>
              </w:rPr>
              <w:t>400%</w:t>
            </w:r>
          </w:p>
        </w:tc>
        <w:tc>
          <w:tcPr>
            <w:tcW w:w="2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shd w:val="clear" w:color="auto" w:fill="E7E6E7"/>
          </w:tcPr>
          <w:p>
            <w:pPr>
              <w:jc w:val="right"/>
              <w:ind w:right="9"/>
              <w:spacing w:after="0" w:line="164" w:lineRule="exact"/>
              <w:rPr>
                <w:sz w:val="20"/>
                <w:szCs w:val="20"/>
                <w:color w:val="auto"/>
              </w:rPr>
            </w:pPr>
            <w:r>
              <w:rPr>
                <w:rFonts w:ascii="Arial" w:cs="Arial" w:eastAsia="Arial" w:hAnsi="Arial"/>
                <w:sz w:val="15"/>
                <w:szCs w:val="15"/>
                <w:color w:val="7B7C80"/>
                <w:w w:val="98"/>
              </w:rPr>
              <w:t>2,881,000</w:t>
            </w:r>
          </w:p>
        </w:tc>
        <w:tc>
          <w:tcPr>
            <w:tcW w:w="580" w:type="dxa"/>
            <w:vAlign w:val="bottom"/>
            <w:tcBorders>
              <w:bottom w:val="single" w:sz="8" w:color="7B7C80"/>
            </w:tcBorders>
            <w:shd w:val="clear" w:color="auto" w:fill="E7E6E7"/>
          </w:tcPr>
          <w:p>
            <w:pPr>
              <w:jc w:val="right"/>
              <w:ind w:right="29"/>
              <w:spacing w:after="0" w:line="164" w:lineRule="exact"/>
              <w:rPr>
                <w:sz w:val="20"/>
                <w:szCs w:val="20"/>
                <w:color w:val="auto"/>
              </w:rPr>
            </w:pPr>
            <w:r>
              <w:rPr>
                <w:rFonts w:ascii="Arial" w:cs="Arial" w:eastAsia="Arial" w:hAnsi="Arial"/>
                <w:sz w:val="15"/>
                <w:szCs w:val="15"/>
                <w:color w:val="7B7C80"/>
              </w:rPr>
              <w:t>106%</w:t>
            </w:r>
          </w:p>
        </w:tc>
        <w:tc>
          <w:tcPr>
            <w:tcW w:w="10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$5,719,000</w:t>
            </w:r>
          </w:p>
        </w:tc>
      </w:tr>
      <w:tr>
        <w:trPr>
          <w:trHeight w:val="166"/>
        </w:trPr>
        <w:tc>
          <w:tcPr>
            <w:tcW w:w="2620" w:type="dxa"/>
            <w:vAlign w:val="bottom"/>
            <w:tcBorders>
              <w:bottom w:val="single" w:sz="8" w:color="009CCC"/>
            </w:tcBorders>
          </w:tcPr>
          <w:p>
            <w:pPr>
              <w:spacing w:after="0" w:line="164" w:lineRule="exact"/>
              <w:rPr>
                <w:sz w:val="20"/>
                <w:szCs w:val="20"/>
                <w:color w:val="auto"/>
              </w:rPr>
            </w:pPr>
            <w:r>
              <w:rPr>
                <w:rFonts w:ascii="Arial" w:cs="Arial" w:eastAsia="Arial" w:hAnsi="Arial"/>
                <w:sz w:val="15"/>
                <w:szCs w:val="15"/>
                <w:color w:val="7B7C80"/>
              </w:rPr>
              <w:t>Valdés</w:t>
            </w:r>
          </w:p>
        </w:tc>
        <w:tc>
          <w:tcPr>
            <w:tcW w:w="2520" w:type="dxa"/>
            <w:vAlign w:val="bottom"/>
            <w:tcBorders>
              <w:bottom w:val="single" w:sz="8" w:color="009CCC"/>
            </w:tcBorders>
          </w:tcPr>
          <w:p>
            <w:pPr>
              <w:jc w:val="right"/>
              <w:ind w:right="29"/>
              <w:spacing w:after="0" w:line="164" w:lineRule="exact"/>
              <w:rPr>
                <w:sz w:val="20"/>
                <w:szCs w:val="20"/>
                <w:color w:val="auto"/>
              </w:rPr>
            </w:pPr>
            <w:r>
              <w:rPr>
                <w:rFonts w:ascii="Arial" w:cs="Arial" w:eastAsia="Arial" w:hAnsi="Arial"/>
                <w:sz w:val="15"/>
                <w:szCs w:val="15"/>
                <w:color w:val="7B7C80"/>
              </w:rPr>
              <w:t>$603,500</w:t>
            </w:r>
          </w:p>
        </w:tc>
        <w:tc>
          <w:tcPr>
            <w:tcW w:w="620" w:type="dxa"/>
            <w:vAlign w:val="bottom"/>
            <w:tcBorders>
              <w:bottom w:val="single" w:sz="8" w:color="009CCC"/>
            </w:tcBorders>
          </w:tcPr>
          <w:p>
            <w:pPr>
              <w:jc w:val="right"/>
              <w:ind w:right="69"/>
              <w:spacing w:after="0" w:line="164" w:lineRule="exact"/>
              <w:rPr>
                <w:sz w:val="20"/>
                <w:szCs w:val="20"/>
                <w:color w:val="auto"/>
              </w:rPr>
            </w:pPr>
            <w:r>
              <w:rPr>
                <w:rFonts w:ascii="Arial" w:cs="Arial" w:eastAsia="Arial" w:hAnsi="Arial"/>
                <w:sz w:val="15"/>
                <w:szCs w:val="15"/>
                <w:color w:val="7B7C80"/>
              </w:rPr>
              <w:t>100%</w:t>
            </w:r>
          </w:p>
        </w:tc>
        <w:tc>
          <w:tcPr>
            <w:tcW w:w="22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009CCC"/>
            </w:tcBorders>
          </w:tcPr>
          <w:p>
            <w:pPr>
              <w:jc w:val="right"/>
              <w:ind w:right="9"/>
              <w:spacing w:after="0" w:line="164" w:lineRule="exact"/>
              <w:rPr>
                <w:sz w:val="20"/>
                <w:szCs w:val="20"/>
                <w:color w:val="auto"/>
              </w:rPr>
            </w:pPr>
            <w:r>
              <w:rPr>
                <w:rFonts w:ascii="Arial" w:cs="Arial" w:eastAsia="Arial" w:hAnsi="Arial"/>
                <w:sz w:val="15"/>
                <w:szCs w:val="15"/>
                <w:color w:val="7B7C80"/>
              </w:rPr>
              <w:t>640,000</w:t>
            </w:r>
          </w:p>
        </w:tc>
        <w:tc>
          <w:tcPr>
            <w:tcW w:w="580" w:type="dxa"/>
            <w:vAlign w:val="bottom"/>
            <w:tcBorders>
              <w:bottom w:val="single" w:sz="8" w:color="009CCC"/>
            </w:tcBorders>
          </w:tcPr>
          <w:p>
            <w:pPr>
              <w:jc w:val="right"/>
              <w:ind w:right="29"/>
              <w:spacing w:after="0" w:line="164" w:lineRule="exact"/>
              <w:rPr>
                <w:sz w:val="20"/>
                <w:szCs w:val="20"/>
                <w:color w:val="auto"/>
              </w:rPr>
            </w:pPr>
            <w:r>
              <w:rPr>
                <w:rFonts w:ascii="Arial" w:cs="Arial" w:eastAsia="Arial" w:hAnsi="Arial"/>
                <w:sz w:val="15"/>
                <w:szCs w:val="15"/>
                <w:color w:val="7B7C80"/>
              </w:rPr>
              <w:t>106%</w:t>
            </w:r>
          </w:p>
        </w:tc>
        <w:tc>
          <w:tcPr>
            <w:tcW w:w="108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$6,260,000</w:t>
            </w:r>
          </w:p>
        </w:tc>
      </w:tr>
    </w:tbl>
    <w:p>
      <w:pPr>
        <w:spacing w:after="0" w:line="186" w:lineRule="exact"/>
        <w:rPr>
          <w:sz w:val="20"/>
          <w:szCs w:val="20"/>
          <w:color w:val="auto"/>
        </w:rPr>
      </w:pPr>
    </w:p>
    <w:p>
      <w:pPr>
        <w:jc w:val="both"/>
        <w:ind w:left="8"/>
        <w:spacing w:after="0" w:line="247" w:lineRule="auto"/>
        <w:rPr>
          <w:sz w:val="20"/>
          <w:szCs w:val="20"/>
          <w:color w:val="auto"/>
        </w:rPr>
      </w:pPr>
      <w:r>
        <w:rPr>
          <w:rFonts w:ascii="Arial" w:cs="Arial" w:eastAsia="Arial" w:hAnsi="Arial"/>
          <w:sz w:val="15"/>
          <w:szCs w:val="15"/>
          <w:color w:val="7B7C80"/>
        </w:rPr>
        <w:t>Executives may defer annual awards into the Excess Plan, as illustrated in the footnote to the Non Equity Incentive Compensation column of the Summary Compensation Table, on pages 41-43. As noted on page 33, Mr. Lillis received an annual incentive award of $210,543 under the PrinPay Plan.</w:t>
      </w:r>
    </w:p>
    <w:p>
      <w:pPr>
        <w:spacing w:after="0" w:line="154"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Long term Incentive Compensation</w:t>
      </w:r>
    </w:p>
    <w:p>
      <w:pPr>
        <w:spacing w:after="0" w:line="201"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The long term incentive compensation program is designed to align the interests of Executives and shareholders. The compensation the Executives receive reflects the degree to which multiyear financial objectives are achieved and shareholder value is increased. The long term focus of the compensation programs supports the Company's businesses, for which long term performance is critical, such as retirement products, life insurance and asset management. The long term incentive compensation program also encourages collaboration among Executives in pursuing corporate wide goals.</w:t>
      </w:r>
    </w:p>
    <w:p>
      <w:pPr>
        <w:spacing w:after="0" w:line="175"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The Committee establishes a target long term incentive award opportunity for each Named Executive Officer, stated as a percentage of each Named Executive Officer's base salary, based on Peer Group and survey data, and on the advice of its independent compensation consultant. The Committee uses the following factors to adjust the target award and determine the actual award to be granted to each Named Executive Officer ("Award Granted"):</w:t>
      </w:r>
    </w:p>
    <w:p>
      <w:pPr>
        <w:spacing w:after="0" w:line="175" w:lineRule="exact"/>
        <w:rPr>
          <w:sz w:val="20"/>
          <w:szCs w:val="20"/>
          <w:color w:val="auto"/>
        </w:rPr>
      </w:pPr>
    </w:p>
    <w:p>
      <w:pPr>
        <w:ind w:left="448" w:hanging="448"/>
        <w:spacing w:after="0"/>
        <w:tabs>
          <w:tab w:leader="none" w:pos="448" w:val="left"/>
        </w:tabs>
        <w:numPr>
          <w:ilvl w:val="0"/>
          <w:numId w:val="36"/>
        </w:numPr>
        <w:rPr>
          <w:rFonts w:ascii="Arial" w:cs="Arial" w:eastAsia="Arial" w:hAnsi="Arial"/>
          <w:sz w:val="15"/>
          <w:szCs w:val="15"/>
          <w:color w:val="7B7C80"/>
        </w:rPr>
      </w:pPr>
      <w:r>
        <w:rPr>
          <w:rFonts w:ascii="Arial" w:cs="Arial" w:eastAsia="Arial" w:hAnsi="Arial"/>
          <w:sz w:val="15"/>
          <w:szCs w:val="15"/>
          <w:color w:val="7B7C80"/>
        </w:rPr>
        <w:t>Current competitive market data;</w:t>
      </w:r>
    </w:p>
    <w:p>
      <w:pPr>
        <w:spacing w:after="0" w:line="10" w:lineRule="exact"/>
        <w:rPr>
          <w:rFonts w:ascii="Arial" w:cs="Arial" w:eastAsia="Arial" w:hAnsi="Arial"/>
          <w:sz w:val="15"/>
          <w:szCs w:val="15"/>
          <w:color w:val="7B7C80"/>
        </w:rPr>
      </w:pPr>
    </w:p>
    <w:p>
      <w:pPr>
        <w:ind w:left="448" w:hanging="448"/>
        <w:spacing w:after="0"/>
        <w:tabs>
          <w:tab w:leader="none" w:pos="448" w:val="left"/>
        </w:tabs>
        <w:numPr>
          <w:ilvl w:val="0"/>
          <w:numId w:val="36"/>
        </w:numPr>
        <w:rPr>
          <w:rFonts w:ascii="Arial" w:cs="Arial" w:eastAsia="Arial" w:hAnsi="Arial"/>
          <w:sz w:val="15"/>
          <w:szCs w:val="15"/>
          <w:color w:val="7B7C80"/>
        </w:rPr>
      </w:pPr>
      <w:r>
        <w:rPr>
          <w:rFonts w:ascii="Arial" w:cs="Arial" w:eastAsia="Arial" w:hAnsi="Arial"/>
          <w:sz w:val="15"/>
          <w:szCs w:val="15"/>
          <w:color w:val="7B7C80"/>
        </w:rPr>
        <w:t>The Named Executive Officer's past performance;</w:t>
      </w:r>
    </w:p>
    <w:p>
      <w:pPr>
        <w:ind w:left="448" w:hanging="448"/>
        <w:spacing w:after="0"/>
        <w:tabs>
          <w:tab w:leader="none" w:pos="448" w:val="left"/>
        </w:tabs>
        <w:numPr>
          <w:ilvl w:val="0"/>
          <w:numId w:val="36"/>
        </w:numPr>
        <w:rPr>
          <w:rFonts w:ascii="Arial" w:cs="Arial" w:eastAsia="Arial" w:hAnsi="Arial"/>
          <w:sz w:val="15"/>
          <w:szCs w:val="15"/>
          <w:color w:val="7B7C80"/>
        </w:rPr>
      </w:pPr>
      <w:r>
        <w:rPr>
          <w:rFonts w:ascii="Arial" w:cs="Arial" w:eastAsia="Arial" w:hAnsi="Arial"/>
          <w:sz w:val="15"/>
          <w:szCs w:val="15"/>
          <w:color w:val="7B7C80"/>
        </w:rPr>
        <w:t>The Named Executive Officer's current compensation;</w:t>
      </w:r>
    </w:p>
    <w:p>
      <w:pPr>
        <w:ind w:left="448" w:hanging="448"/>
        <w:spacing w:after="0"/>
        <w:tabs>
          <w:tab w:leader="none" w:pos="448" w:val="left"/>
        </w:tabs>
        <w:numPr>
          <w:ilvl w:val="0"/>
          <w:numId w:val="36"/>
        </w:numPr>
        <w:rPr>
          <w:rFonts w:ascii="Arial" w:cs="Arial" w:eastAsia="Arial" w:hAnsi="Arial"/>
          <w:sz w:val="15"/>
          <w:szCs w:val="15"/>
          <w:color w:val="7B7C80"/>
        </w:rPr>
      </w:pPr>
      <w:r>
        <w:rPr>
          <w:rFonts w:ascii="Arial" w:cs="Arial" w:eastAsia="Arial" w:hAnsi="Arial"/>
          <w:sz w:val="15"/>
          <w:szCs w:val="15"/>
          <w:color w:val="7B7C80"/>
        </w:rPr>
        <w:t>Retention concerns;</w:t>
      </w:r>
    </w:p>
    <w:p>
      <w:pPr>
        <w:spacing w:after="0" w:line="10" w:lineRule="exact"/>
        <w:rPr>
          <w:rFonts w:ascii="Arial" w:cs="Arial" w:eastAsia="Arial" w:hAnsi="Arial"/>
          <w:sz w:val="15"/>
          <w:szCs w:val="15"/>
          <w:color w:val="7B7C80"/>
        </w:rPr>
      </w:pPr>
    </w:p>
    <w:p>
      <w:pPr>
        <w:ind w:left="448" w:hanging="448"/>
        <w:spacing w:after="0"/>
        <w:tabs>
          <w:tab w:leader="none" w:pos="448" w:val="left"/>
        </w:tabs>
        <w:numPr>
          <w:ilvl w:val="0"/>
          <w:numId w:val="36"/>
        </w:numPr>
        <w:rPr>
          <w:rFonts w:ascii="Arial" w:cs="Arial" w:eastAsia="Arial" w:hAnsi="Arial"/>
          <w:sz w:val="15"/>
          <w:szCs w:val="15"/>
          <w:color w:val="7B7C80"/>
        </w:rPr>
      </w:pPr>
      <w:r>
        <w:rPr>
          <w:rFonts w:ascii="Arial" w:cs="Arial" w:eastAsia="Arial" w:hAnsi="Arial"/>
          <w:sz w:val="15"/>
          <w:szCs w:val="15"/>
          <w:color w:val="7B7C80"/>
        </w:rPr>
        <w:t>Tenure in role;</w:t>
      </w:r>
    </w:p>
    <w:p>
      <w:pPr>
        <w:ind w:left="448" w:hanging="448"/>
        <w:spacing w:after="0"/>
        <w:tabs>
          <w:tab w:leader="none" w:pos="448" w:val="left"/>
        </w:tabs>
        <w:numPr>
          <w:ilvl w:val="0"/>
          <w:numId w:val="36"/>
        </w:numPr>
        <w:rPr>
          <w:rFonts w:ascii="Arial" w:cs="Arial" w:eastAsia="Arial" w:hAnsi="Arial"/>
          <w:sz w:val="15"/>
          <w:szCs w:val="15"/>
          <w:color w:val="7B7C80"/>
        </w:rPr>
      </w:pPr>
      <w:r>
        <w:rPr>
          <w:rFonts w:ascii="Arial" w:cs="Arial" w:eastAsia="Arial" w:hAnsi="Arial"/>
          <w:sz w:val="15"/>
          <w:szCs w:val="15"/>
          <w:color w:val="7B7C80"/>
        </w:rPr>
        <w:t>The importance of the Named Executive Officer to the Company over the long term;</w:t>
      </w:r>
    </w:p>
    <w:p>
      <w:pPr>
        <w:ind w:left="448" w:hanging="448"/>
        <w:spacing w:after="0"/>
        <w:tabs>
          <w:tab w:leader="none" w:pos="448" w:val="left"/>
        </w:tabs>
        <w:numPr>
          <w:ilvl w:val="0"/>
          <w:numId w:val="36"/>
        </w:numPr>
        <w:rPr>
          <w:rFonts w:ascii="Arial" w:cs="Arial" w:eastAsia="Arial" w:hAnsi="Arial"/>
          <w:sz w:val="15"/>
          <w:szCs w:val="15"/>
          <w:color w:val="7B7C80"/>
        </w:rPr>
      </w:pPr>
      <w:r>
        <w:rPr>
          <w:rFonts w:ascii="Arial" w:cs="Arial" w:eastAsia="Arial" w:hAnsi="Arial"/>
          <w:sz w:val="15"/>
          <w:szCs w:val="15"/>
          <w:color w:val="7B7C80"/>
        </w:rPr>
        <w:t>The potential impact the Named Executive Officer could have on the Company's results; and</w:t>
      </w:r>
    </w:p>
    <w:p>
      <w:pPr>
        <w:spacing w:after="0" w:line="10" w:lineRule="exact"/>
        <w:rPr>
          <w:rFonts w:ascii="Arial" w:cs="Arial" w:eastAsia="Arial" w:hAnsi="Arial"/>
          <w:sz w:val="15"/>
          <w:szCs w:val="15"/>
          <w:color w:val="7B7C80"/>
        </w:rPr>
      </w:pPr>
    </w:p>
    <w:p>
      <w:pPr>
        <w:ind w:left="448" w:hanging="448"/>
        <w:spacing w:after="0"/>
        <w:tabs>
          <w:tab w:leader="none" w:pos="448" w:val="left"/>
        </w:tabs>
        <w:numPr>
          <w:ilvl w:val="0"/>
          <w:numId w:val="36"/>
        </w:numPr>
        <w:rPr>
          <w:rFonts w:ascii="Arial" w:cs="Arial" w:eastAsia="Arial" w:hAnsi="Arial"/>
          <w:sz w:val="15"/>
          <w:szCs w:val="15"/>
          <w:color w:val="7B7C80"/>
        </w:rPr>
      </w:pPr>
      <w:r>
        <w:rPr>
          <w:rFonts w:ascii="Arial" w:cs="Arial" w:eastAsia="Arial" w:hAnsi="Arial"/>
          <w:sz w:val="15"/>
          <w:szCs w:val="15"/>
          <w:color w:val="7B7C80"/>
        </w:rPr>
        <w:t>The Executive's performance relative to the Named Executive Officer's peers within the Company.</w:t>
      </w:r>
    </w:p>
    <w:p>
      <w:pPr>
        <w:spacing w:after="0" w:line="183" w:lineRule="exact"/>
        <w:rPr>
          <w:sz w:val="20"/>
          <w:szCs w:val="20"/>
          <w:color w:val="auto"/>
        </w:rPr>
      </w:pPr>
    </w:p>
    <w:p>
      <w:pPr>
        <w:ind w:left="8" w:right="20"/>
        <w:spacing w:after="0" w:line="247" w:lineRule="auto"/>
        <w:rPr>
          <w:sz w:val="20"/>
          <w:szCs w:val="20"/>
          <w:color w:val="auto"/>
        </w:rPr>
      </w:pPr>
      <w:r>
        <w:rPr>
          <w:rFonts w:ascii="Arial" w:cs="Arial" w:eastAsia="Arial" w:hAnsi="Arial"/>
          <w:sz w:val="15"/>
          <w:szCs w:val="15"/>
          <w:color w:val="7B7C80"/>
        </w:rPr>
        <w:t>The compensation ultimately received by Named Executive Officers may vary considerably from the grant date fair value of the Award Granted, due to the Company's performance and changes in share price that occur after the grant.</w:t>
      </w:r>
    </w:p>
    <w:p>
      <w:pPr>
        <w:spacing w:after="0" w:line="159" w:lineRule="exact"/>
        <w:rPr>
          <w:sz w:val="20"/>
          <w:szCs w:val="20"/>
          <w:color w:val="auto"/>
        </w:rPr>
      </w:pPr>
    </w:p>
    <w:tbl>
      <w:tblPr>
        <w:tblLayout w:type="fixed"/>
        <w:tblInd w:w="8" w:type="dxa"/>
        <w:tblCellMar>
          <w:top w:w="0" w:type="dxa"/>
          <w:left w:w="0" w:type="dxa"/>
          <w:bottom w:w="0" w:type="dxa"/>
          <w:right w:w="0" w:type="dxa"/>
        </w:tblCellMar>
      </w:tblPr>
      <w:tr>
        <w:trPr>
          <w:trHeight w:val="147"/>
        </w:trPr>
        <w:tc>
          <w:tcPr>
            <w:tcW w:w="32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960" w:type="dxa"/>
            <w:vAlign w:val="bottom"/>
            <w:tcBorders>
              <w:bottom w:val="single" w:sz="8" w:color="009CCC"/>
            </w:tcBorders>
          </w:tcPr>
          <w:p>
            <w:pPr>
              <w:spacing w:after="0"/>
              <w:rPr>
                <w:sz w:val="12"/>
                <w:szCs w:val="12"/>
                <w:color w:val="auto"/>
              </w:rPr>
            </w:pPr>
          </w:p>
        </w:tc>
        <w:tc>
          <w:tcPr>
            <w:tcW w:w="5560" w:type="dxa"/>
            <w:vAlign w:val="bottom"/>
            <w:tcBorders>
              <w:bottom w:val="single" w:sz="8" w:color="009CCC"/>
            </w:tcBorders>
          </w:tcPr>
          <w:p>
            <w:pPr>
              <w:jc w:val="right"/>
              <w:ind w:right="1349"/>
              <w:spacing w:after="0"/>
              <w:rPr>
                <w:sz w:val="20"/>
                <w:szCs w:val="20"/>
                <w:color w:val="auto"/>
              </w:rPr>
            </w:pPr>
            <w:r>
              <w:rPr>
                <w:rFonts w:ascii="Arial" w:cs="Arial" w:eastAsia="Arial" w:hAnsi="Arial"/>
                <w:sz w:val="12"/>
                <w:szCs w:val="12"/>
                <w:b w:val="1"/>
                <w:bCs w:val="1"/>
                <w:color w:val="009CCC"/>
              </w:rPr>
              <w:t>2017 Long Term Incentive Target &amp; Grant (as % of base salary)</w:t>
            </w:r>
          </w:p>
        </w:tc>
        <w:tc>
          <w:tcPr>
            <w:tcW w:w="1060" w:type="dxa"/>
            <w:vAlign w:val="bottom"/>
            <w:tcBorders>
              <w:bottom w:val="single" w:sz="8" w:color="009CCC"/>
            </w:tcBorders>
          </w:tcPr>
          <w:p>
            <w:pPr>
              <w:spacing w:after="0"/>
              <w:rPr>
                <w:sz w:val="12"/>
                <w:szCs w:val="12"/>
                <w:color w:val="auto"/>
              </w:rPr>
            </w:pPr>
          </w:p>
        </w:tc>
        <w:tc>
          <w:tcPr>
            <w:tcW w:w="20" w:type="dxa"/>
            <w:vAlign w:val="bottom"/>
          </w:tcPr>
          <w:p>
            <w:pPr>
              <w:spacing w:after="0"/>
              <w:rPr>
                <w:sz w:val="12"/>
                <w:szCs w:val="12"/>
                <w:color w:val="auto"/>
              </w:rPr>
            </w:pPr>
          </w:p>
        </w:tc>
        <w:tc>
          <w:tcPr>
            <w:tcW w:w="1480" w:type="dxa"/>
            <w:vAlign w:val="bottom"/>
          </w:tcPr>
          <w:p>
            <w:pPr>
              <w:spacing w:after="0"/>
              <w:rPr>
                <w:sz w:val="12"/>
                <w:szCs w:val="12"/>
                <w:color w:val="auto"/>
              </w:rPr>
            </w:pPr>
          </w:p>
        </w:tc>
      </w:tr>
      <w:tr>
        <w:trPr>
          <w:trHeight w:val="129"/>
        </w:trPr>
        <w:tc>
          <w:tcPr>
            <w:tcW w:w="32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960" w:type="dxa"/>
            <w:vAlign w:val="bottom"/>
            <w:tcBorders>
              <w:bottom w:val="single" w:sz="8" w:color="7B7C80"/>
            </w:tcBorders>
          </w:tcPr>
          <w:p>
            <w:pPr>
              <w:spacing w:after="0" w:line="129" w:lineRule="exact"/>
              <w:rPr>
                <w:sz w:val="20"/>
                <w:szCs w:val="20"/>
                <w:color w:val="auto"/>
              </w:rPr>
            </w:pPr>
            <w:r>
              <w:rPr>
                <w:rFonts w:ascii="Arial" w:cs="Arial" w:eastAsia="Arial" w:hAnsi="Arial"/>
                <w:sz w:val="12"/>
                <w:szCs w:val="12"/>
                <w:b w:val="1"/>
                <w:bCs w:val="1"/>
                <w:color w:val="009CCC"/>
              </w:rPr>
              <w:t>Named Executive Officer</w:t>
            </w:r>
          </w:p>
        </w:tc>
        <w:tc>
          <w:tcPr>
            <w:tcW w:w="5560" w:type="dxa"/>
            <w:vAlign w:val="bottom"/>
            <w:tcBorders>
              <w:bottom w:val="single" w:sz="8" w:color="7B7C80"/>
            </w:tcBorders>
          </w:tcPr>
          <w:p>
            <w:pPr>
              <w:jc w:val="right"/>
              <w:ind w:right="129"/>
              <w:spacing w:after="0" w:line="129" w:lineRule="exact"/>
              <w:rPr>
                <w:sz w:val="20"/>
                <w:szCs w:val="20"/>
                <w:color w:val="auto"/>
              </w:rPr>
            </w:pPr>
            <w:r>
              <w:rPr>
                <w:rFonts w:ascii="Arial" w:cs="Arial" w:eastAsia="Arial" w:hAnsi="Arial"/>
                <w:sz w:val="12"/>
                <w:szCs w:val="12"/>
                <w:b w:val="1"/>
                <w:bCs w:val="1"/>
                <w:color w:val="009CCC"/>
              </w:rPr>
              <w:t>Target %</w:t>
            </w:r>
          </w:p>
        </w:tc>
        <w:tc>
          <w:tcPr>
            <w:tcW w:w="106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b w:val="1"/>
                <w:bCs w:val="1"/>
                <w:color w:val="009CCC"/>
              </w:rPr>
              <w:t>Award Granted</w:t>
            </w:r>
          </w:p>
        </w:tc>
        <w:tc>
          <w:tcPr>
            <w:tcW w:w="20" w:type="dxa"/>
            <w:vAlign w:val="bottom"/>
            <w:tcBorders>
              <w:bottom w:val="single" w:sz="8" w:color="7B7C80"/>
            </w:tcBorders>
          </w:tcPr>
          <w:p>
            <w:pPr>
              <w:spacing w:after="0"/>
              <w:rPr>
                <w:sz w:val="11"/>
                <w:szCs w:val="11"/>
                <w:color w:val="auto"/>
              </w:rPr>
            </w:pPr>
          </w:p>
        </w:tc>
        <w:tc>
          <w:tcPr>
            <w:tcW w:w="1480" w:type="dxa"/>
            <w:vAlign w:val="bottom"/>
          </w:tcPr>
          <w:p>
            <w:pPr>
              <w:spacing w:after="0"/>
              <w:rPr>
                <w:sz w:val="11"/>
                <w:szCs w:val="11"/>
                <w:color w:val="auto"/>
              </w:rPr>
            </w:pPr>
          </w:p>
        </w:tc>
      </w:tr>
      <w:tr>
        <w:trPr>
          <w:trHeight w:val="163"/>
        </w:trPr>
        <w:tc>
          <w:tcPr>
            <w:tcW w:w="3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96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Houston</w:t>
            </w:r>
          </w:p>
        </w:tc>
        <w:tc>
          <w:tcPr>
            <w:tcW w:w="5560" w:type="dxa"/>
            <w:vAlign w:val="bottom"/>
            <w:tcBorders>
              <w:bottom w:val="single" w:sz="8" w:color="7B7C80"/>
            </w:tcBorders>
          </w:tcPr>
          <w:p>
            <w:pPr>
              <w:jc w:val="right"/>
              <w:ind w:right="129"/>
              <w:spacing w:after="0" w:line="164" w:lineRule="exact"/>
              <w:rPr>
                <w:sz w:val="20"/>
                <w:szCs w:val="20"/>
                <w:color w:val="auto"/>
              </w:rPr>
            </w:pPr>
            <w:r>
              <w:rPr>
                <w:rFonts w:ascii="Arial" w:cs="Arial" w:eastAsia="Arial" w:hAnsi="Arial"/>
                <w:sz w:val="15"/>
                <w:szCs w:val="15"/>
                <w:color w:val="7B7C80"/>
              </w:rPr>
              <w:t>600%</w:t>
            </w:r>
          </w:p>
        </w:tc>
        <w:tc>
          <w:tcPr>
            <w:tcW w:w="1080" w:type="dxa"/>
            <w:vAlign w:val="bottom"/>
            <w:tcBorders>
              <w:bottom w:val="single" w:sz="8" w:color="7B7C80"/>
            </w:tcBorders>
            <w:gridSpan w:val="2"/>
          </w:tcPr>
          <w:p>
            <w:pPr>
              <w:jc w:val="right"/>
              <w:ind w:right="20"/>
              <w:spacing w:after="0" w:line="164" w:lineRule="exact"/>
              <w:rPr>
                <w:sz w:val="20"/>
                <w:szCs w:val="20"/>
                <w:color w:val="auto"/>
              </w:rPr>
            </w:pPr>
            <w:r>
              <w:rPr>
                <w:rFonts w:ascii="Arial" w:cs="Arial" w:eastAsia="Arial" w:hAnsi="Arial"/>
                <w:sz w:val="15"/>
                <w:szCs w:val="15"/>
                <w:color w:val="7B7C80"/>
              </w:rPr>
              <w:t>550%</w:t>
            </w:r>
          </w:p>
        </w:tc>
        <w:tc>
          <w:tcPr>
            <w:tcW w:w="1480" w:type="dxa"/>
            <w:vAlign w:val="bottom"/>
          </w:tcPr>
          <w:p>
            <w:pPr>
              <w:spacing w:after="0"/>
              <w:rPr>
                <w:sz w:val="14"/>
                <w:szCs w:val="14"/>
                <w:color w:val="auto"/>
              </w:rPr>
            </w:pPr>
          </w:p>
        </w:tc>
      </w:tr>
      <w:tr>
        <w:trPr>
          <w:trHeight w:val="163"/>
        </w:trPr>
        <w:tc>
          <w:tcPr>
            <w:tcW w:w="3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96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Strable</w:t>
            </w:r>
          </w:p>
        </w:tc>
        <w:tc>
          <w:tcPr>
            <w:tcW w:w="5560" w:type="dxa"/>
            <w:vAlign w:val="bottom"/>
            <w:tcBorders>
              <w:bottom w:val="single" w:sz="8" w:color="7B7C80"/>
            </w:tcBorders>
            <w:shd w:val="clear" w:color="auto" w:fill="E7E6E7"/>
          </w:tcPr>
          <w:p>
            <w:pPr>
              <w:jc w:val="right"/>
              <w:ind w:right="129"/>
              <w:spacing w:after="0" w:line="164" w:lineRule="exact"/>
              <w:rPr>
                <w:sz w:val="20"/>
                <w:szCs w:val="20"/>
                <w:color w:val="auto"/>
              </w:rPr>
            </w:pPr>
            <w:r>
              <w:rPr>
                <w:rFonts w:ascii="Arial" w:cs="Arial" w:eastAsia="Arial" w:hAnsi="Arial"/>
                <w:sz w:val="15"/>
                <w:szCs w:val="15"/>
                <w:color w:val="7B7C80"/>
              </w:rPr>
              <w:t>275%</w:t>
            </w:r>
          </w:p>
        </w:tc>
        <w:tc>
          <w:tcPr>
            <w:tcW w:w="10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275%</w:t>
            </w:r>
          </w:p>
        </w:tc>
        <w:tc>
          <w:tcPr>
            <w:tcW w:w="20" w:type="dxa"/>
            <w:vAlign w:val="bottom"/>
          </w:tcPr>
          <w:p>
            <w:pPr>
              <w:spacing w:after="0"/>
              <w:rPr>
                <w:sz w:val="14"/>
                <w:szCs w:val="14"/>
                <w:color w:val="auto"/>
              </w:rPr>
            </w:pPr>
          </w:p>
        </w:tc>
        <w:tc>
          <w:tcPr>
            <w:tcW w:w="1480" w:type="dxa"/>
            <w:vAlign w:val="bottom"/>
          </w:tcPr>
          <w:p>
            <w:pPr>
              <w:spacing w:after="0"/>
              <w:rPr>
                <w:sz w:val="14"/>
                <w:szCs w:val="14"/>
                <w:color w:val="auto"/>
              </w:rPr>
            </w:pPr>
          </w:p>
        </w:tc>
      </w:tr>
      <w:tr>
        <w:trPr>
          <w:trHeight w:val="163"/>
        </w:trPr>
        <w:tc>
          <w:tcPr>
            <w:tcW w:w="3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96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Lillis</w:t>
            </w:r>
          </w:p>
        </w:tc>
        <w:tc>
          <w:tcPr>
            <w:tcW w:w="5560" w:type="dxa"/>
            <w:vAlign w:val="bottom"/>
            <w:tcBorders>
              <w:bottom w:val="single" w:sz="8" w:color="7B7C80"/>
            </w:tcBorders>
          </w:tcPr>
          <w:p>
            <w:pPr>
              <w:jc w:val="right"/>
              <w:ind w:right="129"/>
              <w:spacing w:after="0" w:line="164" w:lineRule="exact"/>
              <w:rPr>
                <w:sz w:val="20"/>
                <w:szCs w:val="20"/>
                <w:color w:val="auto"/>
              </w:rPr>
            </w:pPr>
            <w:r>
              <w:rPr>
                <w:rFonts w:ascii="Arial" w:cs="Arial" w:eastAsia="Arial" w:hAnsi="Arial"/>
                <w:sz w:val="15"/>
                <w:szCs w:val="15"/>
                <w:color w:val="7B7C80"/>
              </w:rPr>
              <w:t>275%</w:t>
            </w:r>
          </w:p>
        </w:tc>
        <w:tc>
          <w:tcPr>
            <w:tcW w:w="1080" w:type="dxa"/>
            <w:vAlign w:val="bottom"/>
            <w:tcBorders>
              <w:bottom w:val="single" w:sz="8" w:color="7B7C80"/>
            </w:tcBorders>
            <w:gridSpan w:val="2"/>
          </w:tcPr>
          <w:p>
            <w:pPr>
              <w:jc w:val="right"/>
              <w:ind w:right="20"/>
              <w:spacing w:after="0" w:line="164" w:lineRule="exact"/>
              <w:rPr>
                <w:sz w:val="20"/>
                <w:szCs w:val="20"/>
                <w:color w:val="auto"/>
              </w:rPr>
            </w:pPr>
            <w:r>
              <w:rPr>
                <w:rFonts w:ascii="Arial" w:cs="Arial" w:eastAsia="Arial" w:hAnsi="Arial"/>
                <w:sz w:val="15"/>
                <w:szCs w:val="15"/>
                <w:color w:val="7B7C80"/>
              </w:rPr>
              <w:t>275%</w:t>
            </w:r>
          </w:p>
        </w:tc>
        <w:tc>
          <w:tcPr>
            <w:tcW w:w="1480" w:type="dxa"/>
            <w:vAlign w:val="bottom"/>
          </w:tcPr>
          <w:p>
            <w:pPr>
              <w:spacing w:after="0"/>
              <w:rPr>
                <w:sz w:val="14"/>
                <w:szCs w:val="14"/>
                <w:color w:val="auto"/>
              </w:rPr>
            </w:pPr>
          </w:p>
        </w:tc>
      </w:tr>
      <w:tr>
        <w:trPr>
          <w:trHeight w:val="163"/>
        </w:trPr>
        <w:tc>
          <w:tcPr>
            <w:tcW w:w="3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96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Everett</w:t>
            </w:r>
          </w:p>
        </w:tc>
        <w:tc>
          <w:tcPr>
            <w:tcW w:w="5560" w:type="dxa"/>
            <w:vAlign w:val="bottom"/>
            <w:tcBorders>
              <w:bottom w:val="single" w:sz="8" w:color="7B7C80"/>
            </w:tcBorders>
            <w:shd w:val="clear" w:color="auto" w:fill="E7E6E7"/>
          </w:tcPr>
          <w:p>
            <w:pPr>
              <w:jc w:val="right"/>
              <w:ind w:right="129"/>
              <w:spacing w:after="0" w:line="164" w:lineRule="exact"/>
              <w:rPr>
                <w:sz w:val="20"/>
                <w:szCs w:val="20"/>
                <w:color w:val="auto"/>
              </w:rPr>
            </w:pPr>
            <w:r>
              <w:rPr>
                <w:rFonts w:ascii="Arial" w:cs="Arial" w:eastAsia="Arial" w:hAnsi="Arial"/>
                <w:sz w:val="15"/>
                <w:szCs w:val="15"/>
                <w:color w:val="7B7C80"/>
              </w:rPr>
              <w:t>225%</w:t>
            </w:r>
          </w:p>
        </w:tc>
        <w:tc>
          <w:tcPr>
            <w:tcW w:w="10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250%</w:t>
            </w:r>
          </w:p>
        </w:tc>
        <w:tc>
          <w:tcPr>
            <w:tcW w:w="20" w:type="dxa"/>
            <w:vAlign w:val="bottom"/>
          </w:tcPr>
          <w:p>
            <w:pPr>
              <w:spacing w:after="0"/>
              <w:rPr>
                <w:sz w:val="14"/>
                <w:szCs w:val="14"/>
                <w:color w:val="auto"/>
              </w:rPr>
            </w:pPr>
          </w:p>
        </w:tc>
        <w:tc>
          <w:tcPr>
            <w:tcW w:w="1480" w:type="dxa"/>
            <w:vAlign w:val="bottom"/>
          </w:tcPr>
          <w:p>
            <w:pPr>
              <w:spacing w:after="0"/>
              <w:rPr>
                <w:sz w:val="14"/>
                <w:szCs w:val="14"/>
                <w:color w:val="auto"/>
              </w:rPr>
            </w:pPr>
          </w:p>
        </w:tc>
      </w:tr>
      <w:tr>
        <w:trPr>
          <w:trHeight w:val="163"/>
        </w:trPr>
        <w:tc>
          <w:tcPr>
            <w:tcW w:w="3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96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McCaughan</w:t>
            </w:r>
          </w:p>
        </w:tc>
        <w:tc>
          <w:tcPr>
            <w:tcW w:w="5560" w:type="dxa"/>
            <w:vAlign w:val="bottom"/>
            <w:tcBorders>
              <w:bottom w:val="single" w:sz="8" w:color="7B7C80"/>
            </w:tcBorders>
          </w:tcPr>
          <w:p>
            <w:pPr>
              <w:jc w:val="right"/>
              <w:ind w:right="129"/>
              <w:spacing w:after="0" w:line="164" w:lineRule="exact"/>
              <w:rPr>
                <w:sz w:val="20"/>
                <w:szCs w:val="20"/>
                <w:color w:val="auto"/>
              </w:rPr>
            </w:pPr>
            <w:r>
              <w:rPr>
                <w:rFonts w:ascii="Arial" w:cs="Arial" w:eastAsia="Arial" w:hAnsi="Arial"/>
                <w:sz w:val="15"/>
                <w:szCs w:val="15"/>
                <w:color w:val="7B7C80"/>
              </w:rPr>
              <w:t>350%</w:t>
            </w:r>
          </w:p>
        </w:tc>
        <w:tc>
          <w:tcPr>
            <w:tcW w:w="1080" w:type="dxa"/>
            <w:vAlign w:val="bottom"/>
            <w:tcBorders>
              <w:bottom w:val="single" w:sz="8" w:color="7B7C80"/>
            </w:tcBorders>
            <w:gridSpan w:val="2"/>
          </w:tcPr>
          <w:p>
            <w:pPr>
              <w:jc w:val="right"/>
              <w:ind w:right="20"/>
              <w:spacing w:after="0" w:line="164" w:lineRule="exact"/>
              <w:rPr>
                <w:sz w:val="20"/>
                <w:szCs w:val="20"/>
                <w:color w:val="auto"/>
              </w:rPr>
            </w:pPr>
            <w:r>
              <w:rPr>
                <w:rFonts w:ascii="Arial" w:cs="Arial" w:eastAsia="Arial" w:hAnsi="Arial"/>
                <w:sz w:val="15"/>
                <w:szCs w:val="15"/>
                <w:color w:val="7B7C80"/>
              </w:rPr>
              <w:t>350%</w:t>
            </w:r>
          </w:p>
        </w:tc>
        <w:tc>
          <w:tcPr>
            <w:tcW w:w="1480" w:type="dxa"/>
            <w:vAlign w:val="bottom"/>
          </w:tcPr>
          <w:p>
            <w:pPr>
              <w:spacing w:after="0"/>
              <w:rPr>
                <w:sz w:val="14"/>
                <w:szCs w:val="14"/>
                <w:color w:val="auto"/>
              </w:rPr>
            </w:pPr>
          </w:p>
        </w:tc>
      </w:tr>
      <w:tr>
        <w:trPr>
          <w:trHeight w:val="166"/>
        </w:trPr>
        <w:tc>
          <w:tcPr>
            <w:tcW w:w="3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960" w:type="dxa"/>
            <w:vAlign w:val="bottom"/>
            <w:tcBorders>
              <w:bottom w:val="single" w:sz="8" w:color="009CCC"/>
            </w:tcBorders>
            <w:shd w:val="clear" w:color="auto" w:fill="E7E6E7"/>
          </w:tcPr>
          <w:p>
            <w:pPr>
              <w:spacing w:after="0" w:line="164" w:lineRule="exact"/>
              <w:rPr>
                <w:sz w:val="20"/>
                <w:szCs w:val="20"/>
                <w:color w:val="auto"/>
              </w:rPr>
            </w:pPr>
            <w:r>
              <w:rPr>
                <w:rFonts w:ascii="Arial" w:cs="Arial" w:eastAsia="Arial" w:hAnsi="Arial"/>
                <w:sz w:val="15"/>
                <w:szCs w:val="15"/>
                <w:color w:val="7B7C80"/>
              </w:rPr>
              <w:t>Valdés</w:t>
            </w:r>
          </w:p>
        </w:tc>
        <w:tc>
          <w:tcPr>
            <w:tcW w:w="5560" w:type="dxa"/>
            <w:vAlign w:val="bottom"/>
            <w:tcBorders>
              <w:bottom w:val="single" w:sz="8" w:color="009CCC"/>
            </w:tcBorders>
            <w:shd w:val="clear" w:color="auto" w:fill="E7E6E7"/>
          </w:tcPr>
          <w:p>
            <w:pPr>
              <w:jc w:val="right"/>
              <w:ind w:right="129"/>
              <w:spacing w:after="0" w:line="164" w:lineRule="exact"/>
              <w:rPr>
                <w:sz w:val="20"/>
                <w:szCs w:val="20"/>
                <w:color w:val="auto"/>
              </w:rPr>
            </w:pPr>
            <w:r>
              <w:rPr>
                <w:rFonts w:ascii="Arial" w:cs="Arial" w:eastAsia="Arial" w:hAnsi="Arial"/>
                <w:sz w:val="15"/>
                <w:szCs w:val="15"/>
                <w:color w:val="7B7C80"/>
              </w:rPr>
              <w:t>225%</w:t>
            </w:r>
          </w:p>
        </w:tc>
        <w:tc>
          <w:tcPr>
            <w:tcW w:w="1060" w:type="dxa"/>
            <w:vAlign w:val="bottom"/>
            <w:tcBorders>
              <w:bottom w:val="single" w:sz="8" w:color="009CCC"/>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250%</w:t>
            </w:r>
          </w:p>
        </w:tc>
        <w:tc>
          <w:tcPr>
            <w:tcW w:w="20" w:type="dxa"/>
            <w:vAlign w:val="bottom"/>
          </w:tcPr>
          <w:p>
            <w:pPr>
              <w:spacing w:after="0"/>
              <w:rPr>
                <w:sz w:val="14"/>
                <w:szCs w:val="14"/>
                <w:color w:val="auto"/>
              </w:rPr>
            </w:pPr>
          </w:p>
        </w:tc>
        <w:tc>
          <w:tcPr>
            <w:tcW w:w="1480" w:type="dxa"/>
            <w:vAlign w:val="bottom"/>
          </w:tcPr>
          <w:p>
            <w:pPr>
              <w:spacing w:after="0"/>
              <w:rPr>
                <w:sz w:val="14"/>
                <w:szCs w:val="14"/>
                <w:color w:val="auto"/>
              </w:rPr>
            </w:pPr>
          </w:p>
        </w:tc>
      </w:tr>
      <w:tr>
        <w:trPr>
          <w:trHeight w:val="502"/>
        </w:trPr>
        <w:tc>
          <w:tcPr>
            <w:tcW w:w="320" w:type="dxa"/>
            <w:vAlign w:val="bottom"/>
          </w:tcPr>
          <w:p>
            <w:pPr>
              <w:jc w:val="right"/>
              <w:ind w:right="86"/>
              <w:spacing w:after="0"/>
              <w:rPr>
                <w:sz w:val="20"/>
                <w:szCs w:val="20"/>
                <w:color w:val="auto"/>
              </w:rPr>
            </w:pPr>
            <w:r>
              <w:rPr>
                <w:rFonts w:ascii="Arial" w:cs="Arial" w:eastAsia="Arial" w:hAnsi="Arial"/>
                <w:sz w:val="15"/>
                <w:szCs w:val="15"/>
                <w:color w:val="009CCC"/>
                <w:w w:val="83"/>
              </w:rPr>
              <w:t>36</w:t>
            </w:r>
          </w:p>
        </w:tc>
        <w:tc>
          <w:tcPr>
            <w:tcW w:w="3000" w:type="dxa"/>
            <w:vAlign w:val="bottom"/>
            <w:gridSpan w:val="2"/>
          </w:tcPr>
          <w:p>
            <w:pPr>
              <w:ind w:left="160"/>
              <w:spacing w:after="0"/>
              <w:rPr>
                <w:sz w:val="20"/>
                <w:szCs w:val="20"/>
                <w:color w:val="auto"/>
              </w:rPr>
            </w:pPr>
            <w:r>
              <w:rPr>
                <w:rFonts w:ascii="Arial" w:cs="Arial" w:eastAsia="Arial" w:hAnsi="Arial"/>
                <w:sz w:val="15"/>
                <w:szCs w:val="15"/>
                <w:color w:val="7B7C80"/>
              </w:rPr>
              <w:t>2018 Proxy Statement</w:t>
            </w:r>
          </w:p>
        </w:tc>
        <w:tc>
          <w:tcPr>
            <w:tcW w:w="556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r>
      <w:tr>
        <w:trPr>
          <w:trHeight w:val="318"/>
        </w:trPr>
        <w:tc>
          <w:tcPr>
            <w:tcW w:w="320" w:type="dxa"/>
            <w:vAlign w:val="bottom"/>
            <w:tcBorders>
              <w:bottom w:val="single" w:sz="8" w:color="808080"/>
            </w:tcBorders>
          </w:tcPr>
          <w:p>
            <w:pPr>
              <w:spacing w:after="0"/>
              <w:rPr>
                <w:sz w:val="24"/>
                <w:szCs w:val="24"/>
                <w:color w:val="auto"/>
              </w:rPr>
            </w:pPr>
          </w:p>
        </w:tc>
        <w:tc>
          <w:tcPr>
            <w:tcW w:w="1040" w:type="dxa"/>
            <w:vAlign w:val="bottom"/>
            <w:tcBorders>
              <w:bottom w:val="single" w:sz="8" w:color="808080"/>
            </w:tcBorders>
          </w:tcPr>
          <w:p>
            <w:pPr>
              <w:spacing w:after="0"/>
              <w:rPr>
                <w:sz w:val="24"/>
                <w:szCs w:val="24"/>
                <w:color w:val="auto"/>
              </w:rPr>
            </w:pPr>
          </w:p>
        </w:tc>
        <w:tc>
          <w:tcPr>
            <w:tcW w:w="1960" w:type="dxa"/>
            <w:vAlign w:val="bottom"/>
            <w:tcBorders>
              <w:bottom w:val="single" w:sz="8" w:color="808080"/>
            </w:tcBorders>
          </w:tcPr>
          <w:p>
            <w:pPr>
              <w:spacing w:after="0"/>
              <w:rPr>
                <w:sz w:val="24"/>
                <w:szCs w:val="24"/>
                <w:color w:val="auto"/>
              </w:rPr>
            </w:pPr>
          </w:p>
        </w:tc>
        <w:tc>
          <w:tcPr>
            <w:tcW w:w="5560" w:type="dxa"/>
            <w:vAlign w:val="bottom"/>
            <w:tcBorders>
              <w:bottom w:val="single" w:sz="8" w:color="808080"/>
            </w:tcBorders>
          </w:tcPr>
          <w:p>
            <w:pPr>
              <w:spacing w:after="0"/>
              <w:rPr>
                <w:sz w:val="24"/>
                <w:szCs w:val="24"/>
                <w:color w:val="auto"/>
              </w:rPr>
            </w:pPr>
          </w:p>
        </w:tc>
        <w:tc>
          <w:tcPr>
            <w:tcW w:w="106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14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3201035</wp:posOffset>
            </wp:positionH>
            <wp:positionV relativeFrom="paragraph">
              <wp:posOffset>-416560</wp:posOffset>
            </wp:positionV>
            <wp:extent cx="960120" cy="28384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39" w:name="page40"/>
    <w:bookmarkEnd w:id="39"/>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2"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long term incentive targets were established by the Committee to be market competitive with award opportunities for comparable positions in Peer Group companies.</w:t>
      </w:r>
    </w:p>
    <w:p>
      <w:pPr>
        <w:ind w:left="8"/>
        <w:spacing w:after="0"/>
        <w:rPr>
          <w:sz w:val="20"/>
          <w:szCs w:val="20"/>
          <w:color w:val="auto"/>
        </w:rPr>
      </w:pPr>
      <w:r>
        <w:rPr>
          <w:rFonts w:ascii="Arial" w:cs="Arial" w:eastAsia="Arial" w:hAnsi="Arial"/>
          <w:sz w:val="15"/>
          <w:szCs w:val="15"/>
          <w:color w:val="7B7C80"/>
        </w:rPr>
        <w:t>Mr. Houston's award opportunity is greater than those of the other Named Executive Officers because he is CEO and has overall responsibility for the Company.</w:t>
      </w:r>
    </w:p>
    <w:p>
      <w:pPr>
        <w:spacing w:after="0" w:line="183" w:lineRule="exact"/>
        <w:rPr>
          <w:sz w:val="20"/>
          <w:szCs w:val="20"/>
          <w:color w:val="auto"/>
        </w:rPr>
      </w:pPr>
    </w:p>
    <w:p>
      <w:pPr>
        <w:jc w:val="both"/>
        <w:ind w:left="8"/>
        <w:spacing w:after="0" w:line="241" w:lineRule="auto"/>
        <w:rPr>
          <w:sz w:val="20"/>
          <w:szCs w:val="20"/>
          <w:color w:val="auto"/>
        </w:rPr>
      </w:pPr>
      <w:r>
        <w:rPr>
          <w:rFonts w:ascii="Arial" w:cs="Arial" w:eastAsia="Arial" w:hAnsi="Arial"/>
          <w:sz w:val="15"/>
          <w:szCs w:val="15"/>
          <w:color w:val="7B7C80"/>
        </w:rPr>
        <w:t>Executives' long term compensation is provided as non-qualified stock options and PSUs, which each represent 50% of the total grant date fair value. PSUs entitle the Executive to earn shares of Common Stock if certain levels of performance are achieved. The Committee uses stock options as part of the long term incentive program because options are an effective way to link an Executive's compensation to changes in shareholder value. The weighting is not based on a specific formula or algorithm and is intended to create a balance between the achievement of specific operating objectives and changes in shareholder value based on the Committee's judgment, which may change from time to time.</w:t>
      </w:r>
    </w:p>
    <w:p>
      <w:pPr>
        <w:spacing w:after="0" w:line="158" w:lineRule="exact"/>
        <w:rPr>
          <w:sz w:val="20"/>
          <w:szCs w:val="20"/>
          <w:color w:val="auto"/>
        </w:rPr>
      </w:pPr>
    </w:p>
    <w:p>
      <w:pPr>
        <w:jc w:val="both"/>
        <w:ind w:left="8"/>
        <w:spacing w:after="0" w:line="272" w:lineRule="auto"/>
        <w:rPr>
          <w:sz w:val="20"/>
          <w:szCs w:val="20"/>
          <w:color w:val="auto"/>
        </w:rPr>
      </w:pPr>
      <w:r>
        <w:rPr>
          <w:rFonts w:ascii="Arial" w:cs="Arial" w:eastAsia="Arial" w:hAnsi="Arial"/>
          <w:sz w:val="15"/>
          <w:szCs w:val="15"/>
          <w:b w:val="1"/>
          <w:bCs w:val="1"/>
          <w:color w:val="7B7C80"/>
        </w:rPr>
        <w:t xml:space="preserve">Stock options </w:t>
      </w:r>
      <w:r>
        <w:rPr>
          <w:rFonts w:ascii="Arial" w:cs="Arial" w:eastAsia="Arial" w:hAnsi="Arial"/>
          <w:sz w:val="15"/>
          <w:szCs w:val="15"/>
          <w:color w:val="7B7C80"/>
        </w:rPr>
        <w:t>have a ten year term and an exercise price equal to the closing price on the date of grant. Stock options vest in three equal annual installments starting on the</w:t>
      </w:r>
      <w:r>
        <w:rPr>
          <w:rFonts w:ascii="Arial" w:cs="Arial" w:eastAsia="Arial" w:hAnsi="Arial"/>
          <w:sz w:val="15"/>
          <w:szCs w:val="15"/>
          <w:b w:val="1"/>
          <w:bCs w:val="1"/>
          <w:color w:val="7B7C80"/>
        </w:rPr>
        <w:t xml:space="preserve"> </w:t>
      </w:r>
      <w:r>
        <w:rPr>
          <w:rFonts w:ascii="Arial" w:cs="Arial" w:eastAsia="Arial" w:hAnsi="Arial"/>
          <w:sz w:val="15"/>
          <w:szCs w:val="15"/>
          <w:color w:val="7B7C80"/>
        </w:rPr>
        <w:t>first anniversary of the grant date.</w:t>
      </w:r>
    </w:p>
    <w:p>
      <w:pPr>
        <w:spacing w:after="0" w:line="136" w:lineRule="exact"/>
        <w:rPr>
          <w:sz w:val="20"/>
          <w:szCs w:val="20"/>
          <w:color w:val="auto"/>
        </w:rPr>
      </w:pPr>
    </w:p>
    <w:p>
      <w:pPr>
        <w:jc w:val="both"/>
        <w:ind w:left="8" w:right="20"/>
        <w:spacing w:after="0" w:line="272" w:lineRule="auto"/>
        <w:rPr>
          <w:sz w:val="20"/>
          <w:szCs w:val="20"/>
          <w:color w:val="auto"/>
        </w:rPr>
      </w:pPr>
      <w:r>
        <w:rPr>
          <w:rFonts w:ascii="Arial" w:cs="Arial" w:eastAsia="Arial" w:hAnsi="Arial"/>
          <w:sz w:val="15"/>
          <w:szCs w:val="15"/>
          <w:b w:val="1"/>
          <w:bCs w:val="1"/>
          <w:color w:val="7B7C80"/>
        </w:rPr>
        <w:t xml:space="preserve">PSUs </w:t>
      </w:r>
      <w:r>
        <w:rPr>
          <w:rFonts w:ascii="Arial" w:cs="Arial" w:eastAsia="Arial" w:hAnsi="Arial"/>
          <w:sz w:val="15"/>
          <w:szCs w:val="15"/>
          <w:color w:val="7B7C80"/>
        </w:rPr>
        <w:t>vest based on continued service and achieving financial objectives over a three year period (with each three year period treated as a "Performance Cycle"). Executives</w:t>
      </w:r>
      <w:r>
        <w:rPr>
          <w:rFonts w:ascii="Arial" w:cs="Arial" w:eastAsia="Arial" w:hAnsi="Arial"/>
          <w:sz w:val="15"/>
          <w:szCs w:val="15"/>
          <w:b w:val="1"/>
          <w:bCs w:val="1"/>
          <w:color w:val="7B7C80"/>
        </w:rPr>
        <w:t xml:space="preserve"> </w:t>
      </w:r>
      <w:r>
        <w:rPr>
          <w:rFonts w:ascii="Arial" w:cs="Arial" w:eastAsia="Arial" w:hAnsi="Arial"/>
          <w:sz w:val="15"/>
          <w:szCs w:val="15"/>
          <w:color w:val="7B7C80"/>
        </w:rPr>
        <w:t>may defer the receipt of PSUs.</w:t>
      </w:r>
    </w:p>
    <w:p>
      <w:pPr>
        <w:spacing w:after="0" w:line="154" w:lineRule="exact"/>
        <w:rPr>
          <w:sz w:val="20"/>
          <w:szCs w:val="20"/>
          <w:color w:val="auto"/>
        </w:rPr>
      </w:pPr>
    </w:p>
    <w:p>
      <w:pPr>
        <w:ind w:left="8"/>
        <w:spacing w:after="0"/>
        <w:rPr>
          <w:sz w:val="20"/>
          <w:szCs w:val="20"/>
          <w:color w:val="auto"/>
        </w:rPr>
      </w:pPr>
      <w:r>
        <w:rPr>
          <w:rFonts w:ascii="Arial" w:cs="Arial" w:eastAsia="Arial" w:hAnsi="Arial"/>
          <w:sz w:val="15"/>
          <w:szCs w:val="15"/>
          <w:u w:val="single" w:color="auto"/>
          <w:color w:val="7B7C80"/>
        </w:rPr>
        <w:t>For the 2017 PSUs</w:t>
      </w:r>
      <w:r>
        <w:rPr>
          <w:rFonts w:ascii="Arial" w:cs="Arial" w:eastAsia="Arial" w:hAnsi="Arial"/>
          <w:sz w:val="15"/>
          <w:szCs w:val="15"/>
          <w:color w:val="7B7C80"/>
        </w:rPr>
        <w:t>, the performance threshold is met if either of the following goals is met:</w:t>
      </w:r>
    </w:p>
    <w:p>
      <w:pPr>
        <w:spacing w:after="0" w:line="90" w:lineRule="exact"/>
        <w:rPr>
          <w:sz w:val="20"/>
          <w:szCs w:val="20"/>
          <w:color w:val="auto"/>
        </w:rPr>
      </w:pPr>
    </w:p>
    <w:p>
      <w:pPr>
        <w:ind w:left="448" w:hanging="448"/>
        <w:spacing w:after="0"/>
        <w:tabs>
          <w:tab w:leader="none" w:pos="448" w:val="left"/>
        </w:tabs>
        <w:numPr>
          <w:ilvl w:val="0"/>
          <w:numId w:val="37"/>
        </w:numPr>
        <w:rPr>
          <w:rFonts w:ascii="Arial" w:cs="Arial" w:eastAsia="Arial" w:hAnsi="Arial"/>
          <w:sz w:val="30"/>
          <w:szCs w:val="30"/>
          <w:color w:val="7B7C80"/>
          <w:vertAlign w:val="superscript"/>
        </w:rPr>
      </w:pPr>
      <w:r>
        <w:rPr>
          <w:rFonts w:ascii="Arial" w:cs="Arial" w:eastAsia="Arial" w:hAnsi="Arial"/>
          <w:sz w:val="15"/>
          <w:szCs w:val="15"/>
          <w:color w:val="7B7C80"/>
        </w:rPr>
        <w:t>Three year average operating ROE</w:t>
      </w:r>
      <w:r>
        <w:rPr>
          <w:rFonts w:ascii="Arial" w:cs="Arial" w:eastAsia="Arial" w:hAnsi="Arial"/>
          <w:sz w:val="24"/>
          <w:szCs w:val="24"/>
          <w:color w:val="7B7C80"/>
          <w:vertAlign w:val="superscript"/>
        </w:rPr>
        <w:t>(6)</w:t>
      </w:r>
      <w:r>
        <w:rPr>
          <w:rFonts w:ascii="Arial" w:cs="Arial" w:eastAsia="Arial" w:hAnsi="Arial"/>
          <w:sz w:val="15"/>
          <w:szCs w:val="15"/>
          <w:color w:val="7B7C80"/>
        </w:rPr>
        <w:t xml:space="preserve"> of 7.5%; or</w:t>
      </w:r>
    </w:p>
    <w:p>
      <w:pPr>
        <w:ind w:left="448" w:hanging="448"/>
        <w:spacing w:after="0" w:line="196" w:lineRule="auto"/>
        <w:tabs>
          <w:tab w:leader="none" w:pos="448" w:val="left"/>
        </w:tabs>
        <w:numPr>
          <w:ilvl w:val="0"/>
          <w:numId w:val="37"/>
        </w:numPr>
        <w:rPr>
          <w:rFonts w:ascii="Arial" w:cs="Arial" w:eastAsia="Arial" w:hAnsi="Arial"/>
          <w:sz w:val="30"/>
          <w:szCs w:val="30"/>
          <w:color w:val="7B7C80"/>
          <w:vertAlign w:val="superscript"/>
        </w:rPr>
      </w:pPr>
      <w:r>
        <w:rPr>
          <w:rFonts w:ascii="Arial" w:cs="Arial" w:eastAsia="Arial" w:hAnsi="Arial"/>
          <w:sz w:val="15"/>
          <w:szCs w:val="15"/>
          <w:color w:val="7B7C80"/>
        </w:rPr>
        <w:t>$2 billion cumulative pretax operating income ("OI")</w:t>
      </w:r>
      <w:r>
        <w:rPr>
          <w:rFonts w:ascii="Arial" w:cs="Arial" w:eastAsia="Arial" w:hAnsi="Arial"/>
          <w:sz w:val="24"/>
          <w:szCs w:val="24"/>
          <w:color w:val="7B7C80"/>
          <w:vertAlign w:val="superscript"/>
        </w:rPr>
        <w:t>(7)</w:t>
      </w:r>
    </w:p>
    <w:p>
      <w:pPr>
        <w:spacing w:after="0" w:line="73" w:lineRule="exact"/>
        <w:rPr>
          <w:sz w:val="20"/>
          <w:szCs w:val="20"/>
          <w:color w:val="auto"/>
        </w:rPr>
      </w:pPr>
    </w:p>
    <w:p>
      <w:pPr>
        <w:ind w:left="8"/>
        <w:spacing w:after="0" w:line="247" w:lineRule="auto"/>
        <w:rPr>
          <w:sz w:val="20"/>
          <w:szCs w:val="20"/>
          <w:color w:val="auto"/>
        </w:rPr>
      </w:pPr>
      <w:r>
        <w:rPr>
          <w:rFonts w:ascii="Arial" w:cs="Arial" w:eastAsia="Arial" w:hAnsi="Arial"/>
          <w:sz w:val="15"/>
          <w:szCs w:val="15"/>
          <w:color w:val="7B7C80"/>
        </w:rPr>
        <w:t>If either the ROE or OI objective is met or exceeded, the number of units earned is determined using two performance measures, each weighted 50%, to determine the percentage of target PSUs actually earned.</w:t>
      </w:r>
    </w:p>
    <w:p>
      <w:pPr>
        <w:spacing w:after="0" w:line="172" w:lineRule="exact"/>
        <w:rPr>
          <w:sz w:val="20"/>
          <w:szCs w:val="20"/>
          <w:color w:val="auto"/>
        </w:rPr>
      </w:pPr>
    </w:p>
    <w:p>
      <w:pPr>
        <w:ind w:left="448" w:hanging="448"/>
        <w:spacing w:after="0"/>
        <w:tabs>
          <w:tab w:leader="none" w:pos="448" w:val="left"/>
        </w:tabs>
        <w:numPr>
          <w:ilvl w:val="0"/>
          <w:numId w:val="38"/>
        </w:numPr>
        <w:rPr>
          <w:rFonts w:ascii="Arial" w:cs="Arial" w:eastAsia="Arial" w:hAnsi="Arial"/>
          <w:sz w:val="15"/>
          <w:szCs w:val="15"/>
          <w:color w:val="7B7C80"/>
        </w:rPr>
      </w:pPr>
      <w:r>
        <w:rPr>
          <w:rFonts w:ascii="Arial" w:cs="Arial" w:eastAsia="Arial" w:hAnsi="Arial"/>
          <w:sz w:val="15"/>
          <w:szCs w:val="15"/>
          <w:color w:val="7B7C80"/>
        </w:rPr>
        <w:t>Average operating ROE: this measure was selected because it reflects the efficient use of Company capital in generating profits.</w:t>
      </w:r>
    </w:p>
    <w:p>
      <w:pPr>
        <w:spacing w:after="0" w:line="182" w:lineRule="exact"/>
        <w:rPr>
          <w:rFonts w:ascii="Arial" w:cs="Arial" w:eastAsia="Arial" w:hAnsi="Arial"/>
          <w:sz w:val="15"/>
          <w:szCs w:val="15"/>
          <w:color w:val="7B7C80"/>
        </w:rPr>
      </w:pPr>
    </w:p>
    <w:p>
      <w:pPr>
        <w:ind w:left="448"/>
        <w:spacing w:after="0"/>
        <w:rPr>
          <w:rFonts w:ascii="Arial" w:cs="Arial" w:eastAsia="Arial" w:hAnsi="Arial"/>
          <w:sz w:val="15"/>
          <w:szCs w:val="15"/>
          <w:color w:val="7B7C80"/>
        </w:rPr>
      </w:pPr>
      <w:r>
        <w:rPr>
          <w:rFonts w:ascii="Arial" w:cs="Arial" w:eastAsia="Arial" w:hAnsi="Arial"/>
          <w:sz w:val="15"/>
          <w:szCs w:val="15"/>
          <w:color w:val="7B7C80"/>
        </w:rPr>
        <w:t>Book Value per Share</w:t>
      </w:r>
      <w:r>
        <w:rPr>
          <w:rFonts w:ascii="Arial" w:cs="Arial" w:eastAsia="Arial" w:hAnsi="Arial"/>
          <w:sz w:val="24"/>
          <w:szCs w:val="24"/>
          <w:color w:val="7B7C80"/>
          <w:vertAlign w:val="superscript"/>
        </w:rPr>
        <w:t>(8)</w:t>
      </w:r>
      <w:r>
        <w:rPr>
          <w:rFonts w:ascii="Arial" w:cs="Arial" w:eastAsia="Arial" w:hAnsi="Arial"/>
          <w:sz w:val="15"/>
          <w:szCs w:val="15"/>
          <w:color w:val="7B7C80"/>
        </w:rPr>
        <w:t xml:space="preserve"> threshold tied to ROE performance measure:</w:t>
      </w:r>
    </w:p>
    <w:p>
      <w:pPr>
        <w:spacing w:after="0" w:line="113" w:lineRule="exact"/>
        <w:rPr>
          <w:rFonts w:ascii="Arial" w:cs="Arial" w:eastAsia="Arial" w:hAnsi="Arial"/>
          <w:sz w:val="15"/>
          <w:szCs w:val="15"/>
          <w:color w:val="7B7C80"/>
        </w:rPr>
      </w:pPr>
    </w:p>
    <w:p>
      <w:pPr>
        <w:ind w:left="908" w:right="2540"/>
        <w:spacing w:after="0" w:line="493" w:lineRule="auto"/>
        <w:rPr>
          <w:rFonts w:ascii="Arial" w:cs="Arial" w:eastAsia="Arial" w:hAnsi="Arial"/>
          <w:sz w:val="15"/>
          <w:szCs w:val="15"/>
          <w:color w:val="7B7C80"/>
        </w:rPr>
      </w:pPr>
      <w:r>
        <w:rPr>
          <w:rFonts w:ascii="Arial" w:cs="Arial" w:eastAsia="Arial" w:hAnsi="Arial"/>
          <w:sz w:val="15"/>
          <w:szCs w:val="15"/>
          <w:color w:val="7B7C80"/>
        </w:rPr>
        <w:t>If the average Book Value per Share is between $35.85 and $40.80, the ROE performance score will be reduced by 50%. If the average Book Value per Share is below $35.85, the ROE performance score will be reduced to 0%.</w:t>
      </w:r>
    </w:p>
    <w:p>
      <w:pPr>
        <w:spacing w:after="0" w:line="1" w:lineRule="exact"/>
        <w:rPr>
          <w:rFonts w:ascii="Arial" w:cs="Arial" w:eastAsia="Arial" w:hAnsi="Arial"/>
          <w:sz w:val="15"/>
          <w:szCs w:val="15"/>
          <w:color w:val="7B7C80"/>
        </w:rPr>
      </w:pPr>
    </w:p>
    <w:p>
      <w:pPr>
        <w:ind w:left="448" w:hanging="448"/>
        <w:spacing w:after="0" w:line="182" w:lineRule="auto"/>
        <w:tabs>
          <w:tab w:leader="none" w:pos="448" w:val="left"/>
        </w:tabs>
        <w:numPr>
          <w:ilvl w:val="0"/>
          <w:numId w:val="38"/>
        </w:numPr>
        <w:rPr>
          <w:rFonts w:ascii="Arial" w:cs="Arial" w:eastAsia="Arial" w:hAnsi="Arial"/>
          <w:sz w:val="29"/>
          <w:szCs w:val="29"/>
          <w:color w:val="7B7C80"/>
          <w:vertAlign w:val="superscript"/>
        </w:rPr>
      </w:pPr>
      <w:r>
        <w:rPr>
          <w:rFonts w:ascii="Arial" w:cs="Arial" w:eastAsia="Arial" w:hAnsi="Arial"/>
          <w:sz w:val="15"/>
          <w:szCs w:val="15"/>
          <w:color w:val="7B7C80"/>
        </w:rPr>
        <w:t>Average Pre-tax Return on Net Revenue</w:t>
      </w:r>
      <w:r>
        <w:rPr>
          <w:rFonts w:ascii="Arial" w:cs="Arial" w:eastAsia="Arial" w:hAnsi="Arial"/>
          <w:sz w:val="23"/>
          <w:szCs w:val="23"/>
          <w:color w:val="7B7C80"/>
          <w:vertAlign w:val="superscript"/>
        </w:rPr>
        <w:t>(9)</w:t>
      </w:r>
      <w:r>
        <w:rPr>
          <w:rFonts w:ascii="Arial" w:cs="Arial" w:eastAsia="Arial" w:hAnsi="Arial"/>
          <w:sz w:val="15"/>
          <w:szCs w:val="15"/>
          <w:color w:val="7B7C80"/>
        </w:rPr>
        <w:t xml:space="preserve"> was selected as a measure because it is common among asset management peers and reflects the efficient use of Company expenditures in generating profits.</w:t>
      </w:r>
    </w:p>
    <w:p>
      <w:pPr>
        <w:sectPr>
          <w:pgSz w:w="11900" w:h="16838" w:orient="portrait"/>
          <w:cols w:equalWidth="0" w:num="1">
            <w:col w:w="11448"/>
          </w:cols>
          <w:pgMar w:left="232" w:top="142" w:right="219" w:bottom="1440" w:gutter="0" w:footer="0" w:header="0"/>
        </w:sectPr>
      </w:pPr>
    </w:p>
    <w:p>
      <w:pPr>
        <w:spacing w:after="0" w:line="165" w:lineRule="exact"/>
        <w:rPr>
          <w:sz w:val="20"/>
          <w:szCs w:val="20"/>
          <w:color w:val="auto"/>
        </w:rPr>
      </w:pPr>
    </w:p>
    <w:p>
      <w:pPr>
        <w:jc w:val="center"/>
        <w:ind w:left="88"/>
        <w:spacing w:after="0"/>
        <w:rPr>
          <w:sz w:val="20"/>
          <w:szCs w:val="20"/>
          <w:color w:val="auto"/>
        </w:rPr>
      </w:pPr>
      <w:r>
        <w:rPr>
          <w:rFonts w:ascii="Arial" w:cs="Arial" w:eastAsia="Arial" w:hAnsi="Arial"/>
          <w:sz w:val="12"/>
          <w:szCs w:val="12"/>
          <w:b w:val="1"/>
          <w:bCs w:val="1"/>
          <w:color w:val="009CCC"/>
        </w:rPr>
        <w:t>2017-2019 PSU Performance Scale</w:t>
      </w:r>
    </w:p>
    <w:p>
      <w:pPr>
        <w:spacing w:after="0" w:line="9" w:lineRule="exact"/>
        <w:rPr>
          <w:sz w:val="20"/>
          <w:szCs w:val="20"/>
          <w:color w:val="auto"/>
        </w:rPr>
      </w:pPr>
    </w:p>
    <w:tbl>
      <w:tblPr>
        <w:tblLayout w:type="fixed"/>
        <w:tblInd w:w="8" w:type="dxa"/>
        <w:tblCellMar>
          <w:top w:w="0" w:type="dxa"/>
          <w:left w:w="0" w:type="dxa"/>
          <w:bottom w:w="0" w:type="dxa"/>
          <w:right w:w="0" w:type="dxa"/>
        </w:tblCellMar>
      </w:tblPr>
      <w:tr>
        <w:trPr>
          <w:trHeight w:val="119"/>
        </w:trPr>
        <w:tc>
          <w:tcPr>
            <w:tcW w:w="3200" w:type="dxa"/>
            <w:vAlign w:val="bottom"/>
            <w:tcBorders>
              <w:top w:val="single" w:sz="8" w:color="009CCC"/>
            </w:tcBorders>
          </w:tcPr>
          <w:p>
            <w:pPr>
              <w:spacing w:after="0"/>
              <w:rPr>
                <w:sz w:val="10"/>
                <w:szCs w:val="10"/>
                <w:color w:val="auto"/>
              </w:rPr>
            </w:pPr>
          </w:p>
        </w:tc>
        <w:tc>
          <w:tcPr>
            <w:tcW w:w="2340" w:type="dxa"/>
            <w:vAlign w:val="bottom"/>
            <w:tcBorders>
              <w:top w:val="single" w:sz="8" w:color="009CCC"/>
            </w:tcBorders>
          </w:tcPr>
          <w:p>
            <w:pPr>
              <w:spacing w:after="0"/>
              <w:rPr>
                <w:sz w:val="10"/>
                <w:szCs w:val="10"/>
                <w:color w:val="auto"/>
              </w:rPr>
            </w:pPr>
          </w:p>
        </w:tc>
        <w:tc>
          <w:tcPr>
            <w:tcW w:w="620" w:type="dxa"/>
            <w:vAlign w:val="bottom"/>
            <w:tcBorders>
              <w:top w:val="single" w:sz="8" w:color="009CCC"/>
            </w:tcBorders>
          </w:tcPr>
          <w:p>
            <w:pPr>
              <w:spacing w:after="0"/>
              <w:rPr>
                <w:sz w:val="10"/>
                <w:szCs w:val="10"/>
                <w:color w:val="auto"/>
              </w:rPr>
            </w:pPr>
          </w:p>
        </w:tc>
        <w:tc>
          <w:tcPr>
            <w:tcW w:w="1060" w:type="dxa"/>
            <w:vAlign w:val="bottom"/>
            <w:tcBorders>
              <w:top w:val="single" w:sz="8" w:color="009CCC"/>
            </w:tcBorders>
          </w:tcPr>
          <w:p>
            <w:pPr>
              <w:jc w:val="right"/>
              <w:spacing w:after="0" w:line="119" w:lineRule="exact"/>
              <w:rPr>
                <w:sz w:val="20"/>
                <w:szCs w:val="20"/>
                <w:color w:val="auto"/>
              </w:rPr>
            </w:pPr>
            <w:r>
              <w:rPr>
                <w:rFonts w:ascii="Arial" w:cs="Arial" w:eastAsia="Arial" w:hAnsi="Arial"/>
                <w:sz w:val="12"/>
                <w:szCs w:val="12"/>
                <w:b w:val="1"/>
                <w:bCs w:val="1"/>
                <w:color w:val="009CCC"/>
              </w:rPr>
              <w:t>Maximum Award</w:t>
            </w:r>
          </w:p>
        </w:tc>
      </w:tr>
      <w:tr>
        <w:trPr>
          <w:trHeight w:val="137"/>
        </w:trPr>
        <w:tc>
          <w:tcPr>
            <w:tcW w:w="3200" w:type="dxa"/>
            <w:vAlign w:val="bottom"/>
          </w:tcPr>
          <w:p>
            <w:pPr>
              <w:spacing w:after="0"/>
              <w:rPr>
                <w:sz w:val="11"/>
                <w:szCs w:val="11"/>
                <w:color w:val="auto"/>
              </w:rPr>
            </w:pPr>
          </w:p>
        </w:tc>
        <w:tc>
          <w:tcPr>
            <w:tcW w:w="2340" w:type="dxa"/>
            <w:vAlign w:val="bottom"/>
          </w:tcPr>
          <w:p>
            <w:pPr>
              <w:jc w:val="right"/>
              <w:ind w:right="51"/>
              <w:spacing w:after="0"/>
              <w:rPr>
                <w:sz w:val="20"/>
                <w:szCs w:val="20"/>
                <w:color w:val="auto"/>
              </w:rPr>
            </w:pPr>
            <w:r>
              <w:rPr>
                <w:rFonts w:ascii="Arial" w:cs="Arial" w:eastAsia="Arial" w:hAnsi="Arial"/>
                <w:sz w:val="12"/>
                <w:szCs w:val="12"/>
                <w:b w:val="1"/>
                <w:bCs w:val="1"/>
                <w:color w:val="009CCC"/>
              </w:rPr>
              <w:t>Threshold</w:t>
            </w:r>
          </w:p>
        </w:tc>
        <w:tc>
          <w:tcPr>
            <w:tcW w:w="620" w:type="dxa"/>
            <w:vAlign w:val="bottom"/>
          </w:tcPr>
          <w:p>
            <w:pPr>
              <w:jc w:val="right"/>
              <w:ind w:right="31"/>
              <w:spacing w:after="0"/>
              <w:rPr>
                <w:sz w:val="20"/>
                <w:szCs w:val="20"/>
                <w:color w:val="auto"/>
              </w:rPr>
            </w:pPr>
            <w:r>
              <w:rPr>
                <w:rFonts w:ascii="Arial" w:cs="Arial" w:eastAsia="Arial" w:hAnsi="Arial"/>
                <w:sz w:val="12"/>
                <w:szCs w:val="12"/>
                <w:b w:val="1"/>
                <w:bCs w:val="1"/>
                <w:color w:val="009CCC"/>
              </w:rPr>
              <w:t>Target</w:t>
            </w:r>
          </w:p>
        </w:tc>
        <w:tc>
          <w:tcPr>
            <w:tcW w:w="1060" w:type="dxa"/>
            <w:vAlign w:val="bottom"/>
          </w:tcPr>
          <w:p>
            <w:pPr>
              <w:jc w:val="right"/>
              <w:spacing w:after="0"/>
              <w:rPr>
                <w:sz w:val="20"/>
                <w:szCs w:val="20"/>
                <w:color w:val="auto"/>
              </w:rPr>
            </w:pPr>
            <w:r>
              <w:rPr>
                <w:rFonts w:ascii="Arial" w:cs="Arial" w:eastAsia="Arial" w:hAnsi="Arial"/>
                <w:sz w:val="12"/>
                <w:szCs w:val="12"/>
                <w:b w:val="1"/>
                <w:bCs w:val="1"/>
                <w:color w:val="009CCC"/>
              </w:rPr>
              <w:t>(150% of</w:t>
            </w:r>
          </w:p>
        </w:tc>
      </w:tr>
      <w:tr>
        <w:trPr>
          <w:trHeight w:val="147"/>
        </w:trPr>
        <w:tc>
          <w:tcPr>
            <w:tcW w:w="320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Performance Level</w:t>
            </w:r>
          </w:p>
        </w:tc>
        <w:tc>
          <w:tcPr>
            <w:tcW w:w="2340" w:type="dxa"/>
            <w:vAlign w:val="bottom"/>
            <w:tcBorders>
              <w:bottom w:val="single" w:sz="8" w:color="7B7C80"/>
            </w:tcBorders>
          </w:tcPr>
          <w:p>
            <w:pPr>
              <w:jc w:val="right"/>
              <w:ind w:right="51"/>
              <w:spacing w:after="0"/>
              <w:rPr>
                <w:sz w:val="20"/>
                <w:szCs w:val="20"/>
                <w:color w:val="auto"/>
              </w:rPr>
            </w:pPr>
            <w:r>
              <w:rPr>
                <w:rFonts w:ascii="Arial" w:cs="Arial" w:eastAsia="Arial" w:hAnsi="Arial"/>
                <w:sz w:val="12"/>
                <w:szCs w:val="12"/>
                <w:b w:val="1"/>
                <w:bCs w:val="1"/>
                <w:color w:val="009CCC"/>
              </w:rPr>
              <w:t>Award</w:t>
            </w:r>
          </w:p>
        </w:tc>
        <w:tc>
          <w:tcPr>
            <w:tcW w:w="620" w:type="dxa"/>
            <w:vAlign w:val="bottom"/>
            <w:tcBorders>
              <w:bottom w:val="single" w:sz="8" w:color="7B7C80"/>
            </w:tcBorders>
          </w:tcPr>
          <w:p>
            <w:pPr>
              <w:jc w:val="right"/>
              <w:ind w:right="31"/>
              <w:spacing w:after="0"/>
              <w:rPr>
                <w:sz w:val="20"/>
                <w:szCs w:val="20"/>
                <w:color w:val="auto"/>
              </w:rPr>
            </w:pPr>
            <w:r>
              <w:rPr>
                <w:rFonts w:ascii="Arial" w:cs="Arial" w:eastAsia="Arial" w:hAnsi="Arial"/>
                <w:sz w:val="12"/>
                <w:szCs w:val="12"/>
                <w:b w:val="1"/>
                <w:bCs w:val="1"/>
                <w:color w:val="009CCC"/>
              </w:rPr>
              <w:t>Award</w:t>
            </w:r>
          </w:p>
        </w:tc>
        <w:tc>
          <w:tcPr>
            <w:tcW w:w="106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Target)</w:t>
            </w:r>
          </w:p>
        </w:tc>
      </w:tr>
      <w:tr>
        <w:trPr>
          <w:trHeight w:val="198"/>
        </w:trPr>
        <w:tc>
          <w:tcPr>
            <w:tcW w:w="3200" w:type="dxa"/>
            <w:vAlign w:val="bottom"/>
            <w:tcBorders>
              <w:bottom w:val="single" w:sz="8" w:color="7B7C80"/>
            </w:tcBorders>
          </w:tcPr>
          <w:p>
            <w:pPr>
              <w:spacing w:after="0" w:line="198" w:lineRule="exact"/>
              <w:rPr>
                <w:sz w:val="20"/>
                <w:szCs w:val="20"/>
                <w:color w:val="auto"/>
              </w:rPr>
            </w:pPr>
            <w:r>
              <w:rPr>
                <w:rFonts w:ascii="Arial" w:cs="Arial" w:eastAsia="Arial" w:hAnsi="Arial"/>
                <w:sz w:val="14"/>
                <w:szCs w:val="14"/>
                <w:color w:val="7B7C80"/>
              </w:rPr>
              <w:t>Payout (% of Target)</w:t>
            </w:r>
            <w:r>
              <w:rPr>
                <w:rFonts w:ascii="Arial" w:cs="Arial" w:eastAsia="Arial" w:hAnsi="Arial"/>
                <w:sz w:val="22"/>
                <w:szCs w:val="22"/>
                <w:color w:val="7B7C80"/>
                <w:vertAlign w:val="superscript"/>
              </w:rPr>
              <w:t>(1)</w:t>
            </w:r>
          </w:p>
        </w:tc>
        <w:tc>
          <w:tcPr>
            <w:tcW w:w="2340" w:type="dxa"/>
            <w:vAlign w:val="bottom"/>
            <w:tcBorders>
              <w:bottom w:val="single" w:sz="8" w:color="7B7C80"/>
            </w:tcBorders>
          </w:tcPr>
          <w:p>
            <w:pPr>
              <w:jc w:val="right"/>
              <w:ind w:right="51"/>
              <w:spacing w:after="0"/>
              <w:rPr>
                <w:sz w:val="20"/>
                <w:szCs w:val="20"/>
                <w:color w:val="auto"/>
              </w:rPr>
            </w:pPr>
            <w:r>
              <w:rPr>
                <w:rFonts w:ascii="Arial" w:cs="Arial" w:eastAsia="Arial" w:hAnsi="Arial"/>
                <w:sz w:val="15"/>
                <w:szCs w:val="15"/>
                <w:color w:val="7B7C80"/>
              </w:rPr>
              <w:t>50%</w:t>
            </w:r>
          </w:p>
        </w:tc>
        <w:tc>
          <w:tcPr>
            <w:tcW w:w="620" w:type="dxa"/>
            <w:vAlign w:val="bottom"/>
            <w:tcBorders>
              <w:bottom w:val="single" w:sz="8" w:color="7B7C80"/>
            </w:tcBorders>
          </w:tcPr>
          <w:p>
            <w:pPr>
              <w:jc w:val="right"/>
              <w:ind w:right="31"/>
              <w:spacing w:after="0"/>
              <w:rPr>
                <w:sz w:val="20"/>
                <w:szCs w:val="20"/>
                <w:color w:val="auto"/>
              </w:rPr>
            </w:pPr>
            <w:r>
              <w:rPr>
                <w:rFonts w:ascii="Arial" w:cs="Arial" w:eastAsia="Arial" w:hAnsi="Arial"/>
                <w:sz w:val="15"/>
                <w:szCs w:val="15"/>
                <w:color w:val="7B7C80"/>
              </w:rPr>
              <w:t>100%</w:t>
            </w:r>
          </w:p>
        </w:tc>
        <w:tc>
          <w:tcPr>
            <w:tcW w:w="106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150%</w:t>
            </w:r>
          </w:p>
        </w:tc>
      </w:tr>
      <w:tr>
        <w:trPr>
          <w:trHeight w:val="163"/>
        </w:trPr>
        <w:tc>
          <w:tcPr>
            <w:tcW w:w="320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Average ROE</w:t>
            </w:r>
          </w:p>
        </w:tc>
        <w:tc>
          <w:tcPr>
            <w:tcW w:w="2340" w:type="dxa"/>
            <w:vAlign w:val="bottom"/>
            <w:tcBorders>
              <w:bottom w:val="single" w:sz="8" w:color="7B7C80"/>
            </w:tcBorders>
            <w:shd w:val="clear" w:color="auto" w:fill="E7E6E7"/>
          </w:tcPr>
          <w:p>
            <w:pPr>
              <w:jc w:val="right"/>
              <w:ind w:right="51"/>
              <w:spacing w:after="0" w:line="164" w:lineRule="exact"/>
              <w:rPr>
                <w:sz w:val="20"/>
                <w:szCs w:val="20"/>
                <w:color w:val="auto"/>
              </w:rPr>
            </w:pPr>
            <w:r>
              <w:rPr>
                <w:rFonts w:ascii="Arial" w:cs="Arial" w:eastAsia="Arial" w:hAnsi="Arial"/>
                <w:sz w:val="15"/>
                <w:szCs w:val="15"/>
                <w:color w:val="7B7C80"/>
              </w:rPr>
              <w:t>7.2%</w:t>
            </w:r>
          </w:p>
        </w:tc>
        <w:tc>
          <w:tcPr>
            <w:tcW w:w="620" w:type="dxa"/>
            <w:vAlign w:val="bottom"/>
            <w:tcBorders>
              <w:bottom w:val="single" w:sz="8" w:color="7B7C80"/>
            </w:tcBorders>
            <w:shd w:val="clear" w:color="auto" w:fill="E7E6E7"/>
          </w:tcPr>
          <w:p>
            <w:pPr>
              <w:jc w:val="right"/>
              <w:ind w:right="31"/>
              <w:spacing w:after="0" w:line="164" w:lineRule="exact"/>
              <w:rPr>
                <w:sz w:val="20"/>
                <w:szCs w:val="20"/>
                <w:color w:val="auto"/>
              </w:rPr>
            </w:pPr>
            <w:r>
              <w:rPr>
                <w:rFonts w:ascii="Arial" w:cs="Arial" w:eastAsia="Arial" w:hAnsi="Arial"/>
                <w:sz w:val="15"/>
                <w:szCs w:val="15"/>
                <w:color w:val="7B7C80"/>
              </w:rPr>
              <w:t>14.5%</w:t>
            </w:r>
          </w:p>
        </w:tc>
        <w:tc>
          <w:tcPr>
            <w:tcW w:w="10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18.8%</w:t>
            </w:r>
          </w:p>
        </w:tc>
      </w:tr>
      <w:tr>
        <w:trPr>
          <w:trHeight w:val="173"/>
        </w:trPr>
        <w:tc>
          <w:tcPr>
            <w:tcW w:w="3200" w:type="dxa"/>
            <w:vAlign w:val="bottom"/>
          </w:tcPr>
          <w:p>
            <w:pPr>
              <w:spacing w:after="0"/>
              <w:rPr>
                <w:sz w:val="20"/>
                <w:szCs w:val="20"/>
                <w:color w:val="auto"/>
              </w:rPr>
            </w:pPr>
            <w:r>
              <w:rPr>
                <w:rFonts w:ascii="Arial" w:cs="Arial" w:eastAsia="Arial" w:hAnsi="Arial"/>
                <w:sz w:val="15"/>
                <w:szCs w:val="15"/>
                <w:color w:val="7B7C80"/>
              </w:rPr>
              <w:t>Average Pre-tax RONR</w:t>
            </w:r>
          </w:p>
        </w:tc>
        <w:tc>
          <w:tcPr>
            <w:tcW w:w="2340" w:type="dxa"/>
            <w:vAlign w:val="bottom"/>
          </w:tcPr>
          <w:p>
            <w:pPr>
              <w:jc w:val="right"/>
              <w:ind w:right="51"/>
              <w:spacing w:after="0"/>
              <w:rPr>
                <w:sz w:val="20"/>
                <w:szCs w:val="20"/>
                <w:color w:val="auto"/>
              </w:rPr>
            </w:pPr>
            <w:r>
              <w:rPr>
                <w:rFonts w:ascii="Arial" w:cs="Arial" w:eastAsia="Arial" w:hAnsi="Arial"/>
                <w:sz w:val="15"/>
                <w:szCs w:val="15"/>
                <w:color w:val="7B7C80"/>
              </w:rPr>
              <w:t>28.4%</w:t>
            </w:r>
          </w:p>
        </w:tc>
        <w:tc>
          <w:tcPr>
            <w:tcW w:w="620" w:type="dxa"/>
            <w:vAlign w:val="bottom"/>
          </w:tcPr>
          <w:p>
            <w:pPr>
              <w:jc w:val="right"/>
              <w:ind w:right="31"/>
              <w:spacing w:after="0"/>
              <w:rPr>
                <w:sz w:val="20"/>
                <w:szCs w:val="20"/>
                <w:color w:val="auto"/>
              </w:rPr>
            </w:pPr>
            <w:r>
              <w:rPr>
                <w:rFonts w:ascii="Arial" w:cs="Arial" w:eastAsia="Arial" w:hAnsi="Arial"/>
                <w:sz w:val="15"/>
                <w:szCs w:val="15"/>
                <w:color w:val="7B7C80"/>
              </w:rPr>
              <w:t>33.4%</w:t>
            </w:r>
          </w:p>
        </w:tc>
        <w:tc>
          <w:tcPr>
            <w:tcW w:w="1060" w:type="dxa"/>
            <w:vAlign w:val="bottom"/>
          </w:tcPr>
          <w:p>
            <w:pPr>
              <w:jc w:val="right"/>
              <w:spacing w:after="0"/>
              <w:rPr>
                <w:sz w:val="20"/>
                <w:szCs w:val="20"/>
                <w:color w:val="auto"/>
              </w:rPr>
            </w:pPr>
            <w:r>
              <w:rPr>
                <w:rFonts w:ascii="Arial" w:cs="Arial" w:eastAsia="Arial" w:hAnsi="Arial"/>
                <w:sz w:val="15"/>
                <w:szCs w:val="15"/>
                <w:color w:val="7B7C80"/>
              </w:rPr>
              <w:t>38.4%</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-5715</wp:posOffset>
            </wp:positionV>
            <wp:extent cx="4590415" cy="1460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4590415" cy="14605"/>
                    </a:xfrm>
                    <a:prstGeom prst="rect">
                      <a:avLst/>
                    </a:prstGeom>
                    <a:noFill/>
                  </pic:spPr>
                </pic:pic>
              </a:graphicData>
            </a:graphic>
          </wp:anchor>
        </w:drawing>
      </w:r>
    </w:p>
    <w:p>
      <w:pPr>
        <w:ind w:left="448"/>
        <w:spacing w:after="0"/>
        <w:rPr>
          <w:sz w:val="20"/>
          <w:szCs w:val="20"/>
          <w:color w:val="auto"/>
        </w:rPr>
      </w:pPr>
      <w:r>
        <w:rPr>
          <w:rFonts w:ascii="Arial" w:cs="Arial" w:eastAsia="Arial" w:hAnsi="Arial"/>
          <w:sz w:val="12"/>
          <w:szCs w:val="12"/>
          <w:color w:val="7B7C80"/>
        </w:rPr>
        <w:t>between threshold and target and between target and maximum.</w:t>
      </w:r>
    </w:p>
    <w:p>
      <w:pPr>
        <w:spacing w:after="0" w:line="163"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Timing of Stock Option Awards and Other Equity Incentives</w:t>
      </w:r>
    </w:p>
    <w:p>
      <w:pPr>
        <w:spacing w:after="0" w:line="20" w:lineRule="exact"/>
        <w:rPr>
          <w:sz w:val="20"/>
          <w:szCs w:val="20"/>
          <w:color w:val="auto"/>
        </w:rPr>
      </w:pPr>
      <w:r>
        <w:rPr>
          <w:sz w:val="20"/>
          <w:szCs w:val="20"/>
          <w:color w:val="auto"/>
        </w:rPr>
        <w:br w:type="column"/>
      </w:r>
    </w:p>
    <w:p>
      <w:pPr>
        <w:spacing w:after="0" w:line="331" w:lineRule="exact"/>
        <w:rPr>
          <w:sz w:val="20"/>
          <w:szCs w:val="20"/>
          <w:color w:val="auto"/>
        </w:rPr>
      </w:pPr>
    </w:p>
    <w:p>
      <w:pPr>
        <w:jc w:val="center"/>
        <w:ind w:right="800"/>
        <w:spacing w:after="0"/>
        <w:rPr>
          <w:sz w:val="20"/>
          <w:szCs w:val="20"/>
          <w:color w:val="auto"/>
        </w:rPr>
      </w:pPr>
      <w:r>
        <w:rPr>
          <w:rFonts w:ascii="Arial" w:cs="Arial" w:eastAsia="Arial" w:hAnsi="Arial"/>
          <w:sz w:val="12"/>
          <w:szCs w:val="12"/>
          <w:color w:val="7B7C80"/>
        </w:rPr>
        <w:t>If neither the ROE nor the OI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387985</wp:posOffset>
            </wp:positionH>
            <wp:positionV relativeFrom="paragraph">
              <wp:posOffset>-198120</wp:posOffset>
            </wp:positionV>
            <wp:extent cx="1330960" cy="54546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330960" cy="545465"/>
                    </a:xfrm>
                    <a:prstGeom prst="rect">
                      <a:avLst/>
                    </a:prstGeom>
                    <a:noFill/>
                  </pic:spPr>
                </pic:pic>
              </a:graphicData>
            </a:graphic>
          </wp:anchor>
        </w:drawing>
      </w:r>
    </w:p>
    <w:p>
      <w:pPr>
        <w:jc w:val="center"/>
        <w:ind w:right="800"/>
        <w:spacing w:after="0"/>
        <w:rPr>
          <w:sz w:val="20"/>
          <w:szCs w:val="20"/>
          <w:color w:val="auto"/>
        </w:rPr>
      </w:pPr>
      <w:r>
        <w:rPr>
          <w:rFonts w:ascii="Arial" w:cs="Arial" w:eastAsia="Arial" w:hAnsi="Arial"/>
          <w:sz w:val="12"/>
          <w:szCs w:val="12"/>
          <w:color w:val="7B7C80"/>
        </w:rPr>
        <w:t>threshold performance</w:t>
      </w:r>
    </w:p>
    <w:p>
      <w:pPr>
        <w:jc w:val="center"/>
        <w:ind w:right="800"/>
        <w:spacing w:after="0"/>
        <w:rPr>
          <w:sz w:val="20"/>
          <w:szCs w:val="20"/>
          <w:color w:val="auto"/>
        </w:rPr>
      </w:pPr>
      <w:r>
        <w:rPr>
          <w:rFonts w:ascii="Arial" w:cs="Arial" w:eastAsia="Arial" w:hAnsi="Arial"/>
          <w:sz w:val="12"/>
          <w:szCs w:val="12"/>
          <w:color w:val="7B7C80"/>
        </w:rPr>
        <w:t xml:space="preserve">objective is met, </w:t>
      </w:r>
      <w:r>
        <w:rPr>
          <w:rFonts w:ascii="Arial" w:cs="Arial" w:eastAsia="Arial" w:hAnsi="Arial"/>
          <w:sz w:val="12"/>
          <w:szCs w:val="12"/>
          <w:b w:val="1"/>
          <w:bCs w:val="1"/>
          <w:u w:val="single" w:color="auto"/>
          <w:color w:val="7B7C80"/>
        </w:rPr>
        <w:t>no PSUs</w:t>
      </w:r>
      <w:r>
        <w:rPr>
          <w:rFonts w:ascii="Arial" w:cs="Arial" w:eastAsia="Arial" w:hAnsi="Arial"/>
          <w:sz w:val="12"/>
          <w:szCs w:val="12"/>
          <w:color w:val="7B7C80"/>
        </w:rPr>
        <w:t xml:space="preserve"> will</w:t>
      </w:r>
    </w:p>
    <w:p>
      <w:pPr>
        <w:jc w:val="center"/>
        <w:ind w:right="800"/>
        <w:spacing w:after="0"/>
        <w:rPr>
          <w:sz w:val="20"/>
          <w:szCs w:val="20"/>
          <w:color w:val="auto"/>
        </w:rPr>
      </w:pPr>
      <w:r>
        <w:rPr>
          <w:rFonts w:ascii="Arial" w:cs="Arial" w:eastAsia="Arial" w:hAnsi="Arial"/>
          <w:sz w:val="12"/>
          <w:szCs w:val="12"/>
          <w:color w:val="7B7C80"/>
        </w:rPr>
        <w:t>be earned or paid out.</w:t>
      </w:r>
    </w:p>
    <w:p>
      <w:pPr>
        <w:spacing w:after="0" w:line="137" w:lineRule="exact"/>
        <w:rPr>
          <w:sz w:val="20"/>
          <w:szCs w:val="20"/>
          <w:color w:val="auto"/>
        </w:rPr>
      </w:pPr>
    </w:p>
    <w:p>
      <w:pPr>
        <w:spacing w:after="0"/>
        <w:rPr>
          <w:sz w:val="20"/>
          <w:szCs w:val="20"/>
          <w:color w:val="auto"/>
        </w:rPr>
      </w:pPr>
      <w:r>
        <w:rPr>
          <w:rFonts w:ascii="Arial" w:cs="Arial" w:eastAsia="Arial" w:hAnsi="Arial"/>
          <w:sz w:val="12"/>
          <w:szCs w:val="12"/>
          <w:color w:val="7B7C80"/>
        </w:rPr>
        <w:t>Straight(1) line interpolation is used to determine awards for performance</w:t>
      </w:r>
    </w:p>
    <w:p>
      <w:pPr>
        <w:spacing w:after="0" w:line="845" w:lineRule="exact"/>
        <w:rPr>
          <w:sz w:val="20"/>
          <w:szCs w:val="20"/>
          <w:color w:val="auto"/>
        </w:rPr>
      </w:pPr>
    </w:p>
    <w:p>
      <w:pPr>
        <w:sectPr>
          <w:pgSz w:w="11900" w:h="16838" w:orient="portrait"/>
          <w:cols w:equalWidth="0" w:num="2">
            <w:col w:w="7228" w:space="100"/>
            <w:col w:w="4120"/>
          </w:cols>
          <w:pgMar w:left="232" w:top="142" w:right="219" w:bottom="1440" w:gutter="0" w:footer="0" w:header="0"/>
          <w:type w:val="continuous"/>
        </w:sectPr>
      </w:pPr>
    </w:p>
    <w:p>
      <w:pPr>
        <w:spacing w:after="0" w:line="1" w:lineRule="exact"/>
        <w:rPr>
          <w:sz w:val="20"/>
          <w:szCs w:val="20"/>
          <w:color w:val="auto"/>
        </w:rPr>
      </w:pPr>
    </w:p>
    <w:p>
      <w:pPr>
        <w:ind w:left="8"/>
        <w:spacing w:after="0" w:line="282" w:lineRule="auto"/>
        <w:rPr>
          <w:sz w:val="20"/>
          <w:szCs w:val="20"/>
          <w:color w:val="auto"/>
        </w:rPr>
      </w:pPr>
      <w:r>
        <w:rPr>
          <w:rFonts w:ascii="Arial" w:cs="Arial" w:eastAsia="Arial" w:hAnsi="Arial"/>
          <w:sz w:val="14"/>
          <w:szCs w:val="14"/>
          <w:color w:val="7B7C80"/>
        </w:rPr>
        <w:t>Annual grants of stock options and PSUs for Principal Executives are determined by the Committee at its February meeting which occurs following the release of the prior year's results. The Committee formalized its long standing practices by adopting a policy in 2006 regarding granting stock options and other equity awards. Under this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296545</wp:posOffset>
            </wp:positionV>
            <wp:extent cx="1760220" cy="698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1760220" cy="6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448" w:right="20" w:hanging="448"/>
        <w:spacing w:after="0" w:line="253" w:lineRule="auto"/>
        <w:tabs>
          <w:tab w:leader="none" w:pos="448" w:val="left"/>
        </w:tabs>
        <w:numPr>
          <w:ilvl w:val="0"/>
          <w:numId w:val="39"/>
        </w:numPr>
        <w:rPr>
          <w:rFonts w:ascii="Arial" w:cs="Arial" w:eastAsia="Arial" w:hAnsi="Arial"/>
          <w:sz w:val="12"/>
          <w:szCs w:val="12"/>
          <w:color w:val="7B7C80"/>
        </w:rPr>
      </w:pPr>
      <w:r>
        <w:rPr>
          <w:rFonts w:ascii="Arial" w:cs="Arial" w:eastAsia="Arial" w:hAnsi="Arial"/>
          <w:sz w:val="12"/>
          <w:szCs w:val="12"/>
          <w:color w:val="7B7C80"/>
        </w:rPr>
        <w:t>Operating return on equity (ROE) is defined as Non GAAP Operating Earnings divided by common equity excluding accumulated other comprehensive income, other than foreign currency translation adjustment.</w:t>
      </w:r>
    </w:p>
    <w:p>
      <w:pPr>
        <w:spacing w:after="0" w:line="121" w:lineRule="exact"/>
        <w:rPr>
          <w:rFonts w:ascii="Arial" w:cs="Arial" w:eastAsia="Arial" w:hAnsi="Arial"/>
          <w:sz w:val="12"/>
          <w:szCs w:val="12"/>
          <w:color w:val="7B7C80"/>
        </w:rPr>
      </w:pPr>
    </w:p>
    <w:p>
      <w:pPr>
        <w:ind w:left="448" w:hanging="448"/>
        <w:spacing w:after="0" w:line="253" w:lineRule="auto"/>
        <w:tabs>
          <w:tab w:leader="none" w:pos="448" w:val="left"/>
        </w:tabs>
        <w:numPr>
          <w:ilvl w:val="0"/>
          <w:numId w:val="39"/>
        </w:numPr>
        <w:rPr>
          <w:rFonts w:ascii="Arial" w:cs="Arial" w:eastAsia="Arial" w:hAnsi="Arial"/>
          <w:sz w:val="12"/>
          <w:szCs w:val="12"/>
          <w:color w:val="7B7C80"/>
        </w:rPr>
      </w:pPr>
      <w:r>
        <w:rPr>
          <w:rFonts w:ascii="Arial" w:cs="Arial" w:eastAsia="Arial" w:hAnsi="Arial"/>
          <w:sz w:val="12"/>
          <w:szCs w:val="12"/>
          <w:color w:val="7B7C80"/>
        </w:rPr>
        <w:t>Pre tax operating income is defined as income from continuing operations before income taxes per the audited Consolidated Statements of Operations less net realized/unrealized capital gains (losses), less preferred stock dividends declared, less net income attributable to noncontrolling interest.</w:t>
      </w:r>
    </w:p>
    <w:p>
      <w:pPr>
        <w:spacing w:after="0" w:line="121" w:lineRule="exact"/>
        <w:rPr>
          <w:rFonts w:ascii="Arial" w:cs="Arial" w:eastAsia="Arial" w:hAnsi="Arial"/>
          <w:sz w:val="12"/>
          <w:szCs w:val="12"/>
          <w:color w:val="7B7C80"/>
        </w:rPr>
      </w:pPr>
    </w:p>
    <w:p>
      <w:pPr>
        <w:ind w:left="448" w:hanging="448"/>
        <w:spacing w:after="0"/>
        <w:tabs>
          <w:tab w:leader="none" w:pos="448" w:val="left"/>
        </w:tabs>
        <w:numPr>
          <w:ilvl w:val="0"/>
          <w:numId w:val="39"/>
        </w:numPr>
        <w:rPr>
          <w:rFonts w:ascii="Arial" w:cs="Arial" w:eastAsia="Arial" w:hAnsi="Arial"/>
          <w:sz w:val="12"/>
          <w:szCs w:val="12"/>
          <w:color w:val="7B7C80"/>
        </w:rPr>
      </w:pPr>
      <w:r>
        <w:rPr>
          <w:rFonts w:ascii="Arial" w:cs="Arial" w:eastAsia="Arial" w:hAnsi="Arial"/>
          <w:sz w:val="12"/>
          <w:szCs w:val="12"/>
          <w:color w:val="7B7C80"/>
        </w:rPr>
        <w:t>Book value per share is defined as total ending common equity excluding other comprehensive income divided by the number of common shares outstanding end of year.</w:t>
      </w:r>
    </w:p>
    <w:p>
      <w:pPr>
        <w:spacing w:after="0" w:line="136" w:lineRule="exact"/>
        <w:rPr>
          <w:rFonts w:ascii="Arial" w:cs="Arial" w:eastAsia="Arial" w:hAnsi="Arial"/>
          <w:sz w:val="12"/>
          <w:szCs w:val="12"/>
          <w:color w:val="7B7C80"/>
        </w:rPr>
      </w:pPr>
    </w:p>
    <w:p>
      <w:pPr>
        <w:ind w:left="448" w:hanging="448"/>
        <w:spacing w:after="0" w:line="253" w:lineRule="auto"/>
        <w:tabs>
          <w:tab w:leader="none" w:pos="448" w:val="left"/>
        </w:tabs>
        <w:numPr>
          <w:ilvl w:val="0"/>
          <w:numId w:val="39"/>
        </w:numPr>
        <w:rPr>
          <w:rFonts w:ascii="Arial" w:cs="Arial" w:eastAsia="Arial" w:hAnsi="Arial"/>
          <w:sz w:val="12"/>
          <w:szCs w:val="12"/>
          <w:color w:val="7B7C80"/>
        </w:rPr>
      </w:pPr>
      <w:r>
        <w:rPr>
          <w:rFonts w:ascii="Arial" w:cs="Arial" w:eastAsia="Arial" w:hAnsi="Arial"/>
          <w:sz w:val="12"/>
          <w:szCs w:val="12"/>
          <w:color w:val="7B7C80"/>
        </w:rPr>
        <w:t>Pre tax return on net revenue is defined as pre tax Non GAAP Operating Earnings is divided by net revenue. Net revenue is defined as total operating revenue less benefits, claims, and settlement expenses less dividends to policyholders.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103505</wp:posOffset>
            </wp:positionV>
            <wp:extent cx="960120" cy="28384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3"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37</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type w:val="continuous"/>
        </w:sectPr>
      </w:pPr>
    </w:p>
    <w:bookmarkStart w:id="40" w:name="page41"/>
    <w:bookmarkEnd w:id="40"/>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grant date for all stock options and other stock based awards shall never be earlier than the date of approval, and shall be:</w:t>
      </w:r>
    </w:p>
    <w:p>
      <w:pPr>
        <w:spacing w:after="0" w:line="183" w:lineRule="exact"/>
        <w:rPr>
          <w:sz w:val="20"/>
          <w:szCs w:val="20"/>
          <w:color w:val="auto"/>
        </w:rPr>
      </w:pPr>
    </w:p>
    <w:p>
      <w:pPr>
        <w:ind w:left="448" w:hanging="448"/>
        <w:spacing w:after="0"/>
        <w:tabs>
          <w:tab w:leader="none" w:pos="448" w:val="left"/>
        </w:tabs>
        <w:numPr>
          <w:ilvl w:val="0"/>
          <w:numId w:val="40"/>
        </w:numPr>
        <w:rPr>
          <w:rFonts w:ascii="Arial" w:cs="Arial" w:eastAsia="Arial" w:hAnsi="Arial"/>
          <w:sz w:val="15"/>
          <w:szCs w:val="15"/>
          <w:color w:val="7B7C80"/>
        </w:rPr>
      </w:pPr>
      <w:r>
        <w:rPr>
          <w:rFonts w:ascii="Arial" w:cs="Arial" w:eastAsia="Arial" w:hAnsi="Arial"/>
          <w:sz w:val="15"/>
          <w:szCs w:val="15"/>
          <w:color w:val="7B7C80"/>
        </w:rPr>
        <w:t>For all annual awards to Executives, the date of approval by the Committee;</w:t>
      </w:r>
    </w:p>
    <w:p>
      <w:pPr>
        <w:spacing w:after="0" w:line="10" w:lineRule="exact"/>
        <w:rPr>
          <w:rFonts w:ascii="Arial" w:cs="Arial" w:eastAsia="Arial" w:hAnsi="Arial"/>
          <w:sz w:val="15"/>
          <w:szCs w:val="15"/>
          <w:color w:val="7B7C80"/>
        </w:rPr>
      </w:pPr>
    </w:p>
    <w:p>
      <w:pPr>
        <w:ind w:left="448" w:hanging="448"/>
        <w:spacing w:after="0"/>
        <w:tabs>
          <w:tab w:leader="none" w:pos="448" w:val="left"/>
        </w:tabs>
        <w:numPr>
          <w:ilvl w:val="0"/>
          <w:numId w:val="40"/>
        </w:numPr>
        <w:rPr>
          <w:rFonts w:ascii="Arial" w:cs="Arial" w:eastAsia="Arial" w:hAnsi="Arial"/>
          <w:sz w:val="15"/>
          <w:szCs w:val="15"/>
          <w:color w:val="7B7C80"/>
        </w:rPr>
      </w:pPr>
      <w:r>
        <w:rPr>
          <w:rFonts w:ascii="Arial" w:cs="Arial" w:eastAsia="Arial" w:hAnsi="Arial"/>
          <w:sz w:val="15"/>
          <w:szCs w:val="15"/>
          <w:color w:val="7B7C80"/>
        </w:rPr>
        <w:t>For new employees and promotions, the later of the date of approval or the employee's hire/promotion date;</w:t>
      </w:r>
    </w:p>
    <w:p>
      <w:pPr>
        <w:ind w:left="448" w:right="20" w:hanging="448"/>
        <w:spacing w:after="0" w:line="239" w:lineRule="auto"/>
        <w:tabs>
          <w:tab w:leader="none" w:pos="448" w:val="left"/>
        </w:tabs>
        <w:numPr>
          <w:ilvl w:val="0"/>
          <w:numId w:val="40"/>
        </w:numPr>
        <w:rPr>
          <w:rFonts w:ascii="Arial" w:cs="Arial" w:eastAsia="Arial" w:hAnsi="Arial"/>
          <w:sz w:val="15"/>
          <w:szCs w:val="15"/>
          <w:color w:val="7B7C80"/>
        </w:rPr>
      </w:pPr>
      <w:r>
        <w:rPr>
          <w:rFonts w:ascii="Arial" w:cs="Arial" w:eastAsia="Arial" w:hAnsi="Arial"/>
          <w:sz w:val="15"/>
          <w:szCs w:val="15"/>
          <w:color w:val="7B7C80"/>
        </w:rPr>
        <w:t>In the event of an award connected with an established stock program for non Executives, the later of the date of approval or the grant date established by the stock program; and</w:t>
      </w:r>
    </w:p>
    <w:p>
      <w:pPr>
        <w:ind w:left="448" w:hanging="448"/>
        <w:spacing w:after="0"/>
        <w:tabs>
          <w:tab w:leader="none" w:pos="448" w:val="left"/>
        </w:tabs>
        <w:numPr>
          <w:ilvl w:val="0"/>
          <w:numId w:val="40"/>
        </w:numPr>
        <w:rPr>
          <w:rFonts w:ascii="Arial" w:cs="Arial" w:eastAsia="Arial" w:hAnsi="Arial"/>
          <w:sz w:val="15"/>
          <w:szCs w:val="15"/>
          <w:color w:val="7B7C80"/>
        </w:rPr>
      </w:pPr>
      <w:r>
        <w:rPr>
          <w:rFonts w:ascii="Arial" w:cs="Arial" w:eastAsia="Arial" w:hAnsi="Arial"/>
          <w:sz w:val="15"/>
          <w:szCs w:val="15"/>
          <w:color w:val="7B7C80"/>
        </w:rPr>
        <w:t>For any other awards, the date of approval.</w:t>
      </w:r>
    </w:p>
    <w:p>
      <w:pPr>
        <w:spacing w:after="0" w:line="16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Authority of the CEO to Grant Equity Awards:</w:t>
      </w:r>
    </w:p>
    <w:p>
      <w:pPr>
        <w:spacing w:after="0" w:line="201"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Under the 2014 Stock Incentive Plan, the Committee has delegated authority to the CEO to make equity awards to sales agents and non Executive employees for new hires, promotions, retention and recognizing superior performance. The Committee receives a report on these grants at the next regular Committee meeting. The total awards granted by the CEO may not exceed 250,000 shares per year.</w:t>
      </w:r>
    </w:p>
    <w:p>
      <w:pPr>
        <w:spacing w:after="0" w:line="15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Benefits</w:t>
      </w:r>
    </w:p>
    <w:p>
      <w:pPr>
        <w:spacing w:after="0" w:line="201"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Named Executive Officers participate in Principal Life's broad based employee benefits program, including:</w:t>
      </w:r>
    </w:p>
    <w:p>
      <w:pPr>
        <w:spacing w:after="0" w:line="55" w:lineRule="exact"/>
        <w:rPr>
          <w:sz w:val="20"/>
          <w:szCs w:val="20"/>
          <w:color w:val="auto"/>
        </w:rPr>
      </w:pPr>
    </w:p>
    <w:p>
      <w:pPr>
        <w:ind w:left="448" w:hanging="448"/>
        <w:spacing w:after="0"/>
        <w:tabs>
          <w:tab w:leader="none" w:pos="448" w:val="left"/>
        </w:tabs>
        <w:numPr>
          <w:ilvl w:val="0"/>
          <w:numId w:val="41"/>
        </w:numPr>
        <w:rPr>
          <w:rFonts w:ascii="Arial" w:cs="Arial" w:eastAsia="Arial" w:hAnsi="Arial"/>
          <w:sz w:val="30"/>
          <w:szCs w:val="30"/>
          <w:color w:val="7B7C80"/>
          <w:vertAlign w:val="superscript"/>
        </w:rPr>
      </w:pPr>
      <w:r>
        <w:rPr>
          <w:rFonts w:ascii="Arial" w:cs="Arial" w:eastAsia="Arial" w:hAnsi="Arial"/>
          <w:sz w:val="15"/>
          <w:szCs w:val="15"/>
          <w:color w:val="7B7C80"/>
        </w:rPr>
        <w:t>A qualified pension plan (except Mr. McCaughan</w:t>
      </w:r>
      <w:r>
        <w:rPr>
          <w:rFonts w:ascii="Arial" w:cs="Arial" w:eastAsia="Arial" w:hAnsi="Arial"/>
          <w:sz w:val="24"/>
          <w:szCs w:val="24"/>
          <w:color w:val="7B7C80"/>
          <w:vertAlign w:val="superscript"/>
        </w:rPr>
        <w:t>(10)</w:t>
      </w:r>
      <w:r>
        <w:rPr>
          <w:rFonts w:ascii="Arial" w:cs="Arial" w:eastAsia="Arial" w:hAnsi="Arial"/>
          <w:sz w:val="15"/>
          <w:szCs w:val="15"/>
          <w:color w:val="7B7C80"/>
        </w:rPr>
        <w:t>);</w:t>
      </w:r>
    </w:p>
    <w:p>
      <w:pPr>
        <w:ind w:left="448" w:hanging="448"/>
        <w:spacing w:after="0"/>
        <w:tabs>
          <w:tab w:leader="none" w:pos="448" w:val="left"/>
        </w:tabs>
        <w:numPr>
          <w:ilvl w:val="0"/>
          <w:numId w:val="41"/>
        </w:numPr>
        <w:rPr>
          <w:rFonts w:ascii="Arial" w:cs="Arial" w:eastAsia="Arial" w:hAnsi="Arial"/>
          <w:sz w:val="15"/>
          <w:szCs w:val="15"/>
          <w:color w:val="7B7C80"/>
        </w:rPr>
      </w:pPr>
      <w:r>
        <w:rPr>
          <w:rFonts w:ascii="Arial" w:cs="Arial" w:eastAsia="Arial" w:hAnsi="Arial"/>
          <w:sz w:val="15"/>
          <w:szCs w:val="15"/>
          <w:color w:val="7B7C80"/>
        </w:rPr>
        <w:t>A 401(k) plan;</w:t>
      </w:r>
    </w:p>
    <w:p>
      <w:pPr>
        <w:ind w:left="448" w:hanging="448"/>
        <w:spacing w:after="0"/>
        <w:tabs>
          <w:tab w:leader="none" w:pos="448" w:val="left"/>
        </w:tabs>
        <w:numPr>
          <w:ilvl w:val="0"/>
          <w:numId w:val="41"/>
        </w:numPr>
        <w:rPr>
          <w:rFonts w:ascii="Arial" w:cs="Arial" w:eastAsia="Arial" w:hAnsi="Arial"/>
          <w:sz w:val="15"/>
          <w:szCs w:val="15"/>
          <w:color w:val="7B7C80"/>
        </w:rPr>
      </w:pPr>
      <w:r>
        <w:rPr>
          <w:rFonts w:ascii="Arial" w:cs="Arial" w:eastAsia="Arial" w:hAnsi="Arial"/>
          <w:sz w:val="15"/>
          <w:szCs w:val="15"/>
          <w:color w:val="7B7C80"/>
        </w:rPr>
        <w:t>Group health, dental, vision and disability coverage and life insurance;</w:t>
      </w:r>
    </w:p>
    <w:p>
      <w:pPr>
        <w:spacing w:after="0" w:line="10" w:lineRule="exact"/>
        <w:rPr>
          <w:rFonts w:ascii="Arial" w:cs="Arial" w:eastAsia="Arial" w:hAnsi="Arial"/>
          <w:sz w:val="15"/>
          <w:szCs w:val="15"/>
          <w:color w:val="7B7C80"/>
        </w:rPr>
      </w:pPr>
    </w:p>
    <w:p>
      <w:pPr>
        <w:ind w:left="448" w:hanging="448"/>
        <w:spacing w:after="0"/>
        <w:tabs>
          <w:tab w:leader="none" w:pos="448" w:val="left"/>
        </w:tabs>
        <w:numPr>
          <w:ilvl w:val="0"/>
          <w:numId w:val="41"/>
        </w:numPr>
        <w:rPr>
          <w:rFonts w:ascii="Arial" w:cs="Arial" w:eastAsia="Arial" w:hAnsi="Arial"/>
          <w:sz w:val="15"/>
          <w:szCs w:val="15"/>
          <w:color w:val="7B7C80"/>
        </w:rPr>
      </w:pPr>
      <w:r>
        <w:rPr>
          <w:rFonts w:ascii="Arial" w:cs="Arial" w:eastAsia="Arial" w:hAnsi="Arial"/>
          <w:sz w:val="15"/>
          <w:szCs w:val="15"/>
          <w:color w:val="7B7C80"/>
        </w:rPr>
        <w:t>A discounted employee stock purchase plan;</w:t>
      </w:r>
    </w:p>
    <w:p>
      <w:pPr>
        <w:ind w:left="448" w:hanging="448"/>
        <w:spacing w:after="0"/>
        <w:tabs>
          <w:tab w:leader="none" w:pos="448" w:val="left"/>
        </w:tabs>
        <w:numPr>
          <w:ilvl w:val="0"/>
          <w:numId w:val="41"/>
        </w:numPr>
        <w:rPr>
          <w:rFonts w:ascii="Arial" w:cs="Arial" w:eastAsia="Arial" w:hAnsi="Arial"/>
          <w:sz w:val="15"/>
          <w:szCs w:val="15"/>
          <w:color w:val="7B7C80"/>
        </w:rPr>
      </w:pPr>
      <w:r>
        <w:rPr>
          <w:rFonts w:ascii="Arial" w:cs="Arial" w:eastAsia="Arial" w:hAnsi="Arial"/>
          <w:sz w:val="15"/>
          <w:szCs w:val="15"/>
          <w:color w:val="7B7C80"/>
        </w:rPr>
        <w:t>Paid time off; and</w:t>
      </w:r>
    </w:p>
    <w:p>
      <w:pPr>
        <w:ind w:left="448" w:hanging="448"/>
        <w:spacing w:after="0"/>
        <w:tabs>
          <w:tab w:leader="none" w:pos="448" w:val="left"/>
        </w:tabs>
        <w:numPr>
          <w:ilvl w:val="0"/>
          <w:numId w:val="41"/>
        </w:numPr>
        <w:rPr>
          <w:rFonts w:ascii="Arial" w:cs="Arial" w:eastAsia="Arial" w:hAnsi="Arial"/>
          <w:sz w:val="15"/>
          <w:szCs w:val="15"/>
          <w:color w:val="7B7C80"/>
        </w:rPr>
      </w:pPr>
      <w:r>
        <w:rPr>
          <w:rFonts w:ascii="Arial" w:cs="Arial" w:eastAsia="Arial" w:hAnsi="Arial"/>
          <w:sz w:val="15"/>
          <w:szCs w:val="15"/>
          <w:color w:val="7B7C80"/>
        </w:rPr>
        <w:t>Flexible spending account plans.</w:t>
      </w:r>
    </w:p>
    <w:p>
      <w:pPr>
        <w:spacing w:after="0" w:line="183" w:lineRule="exact"/>
        <w:rPr>
          <w:sz w:val="20"/>
          <w:szCs w:val="20"/>
          <w:color w:val="auto"/>
        </w:rPr>
      </w:pPr>
    </w:p>
    <w:p>
      <w:pPr>
        <w:jc w:val="both"/>
        <w:ind w:left="8"/>
        <w:spacing w:after="0"/>
        <w:rPr>
          <w:sz w:val="20"/>
          <w:szCs w:val="20"/>
          <w:color w:val="auto"/>
        </w:rPr>
      </w:pPr>
      <w:r>
        <w:rPr>
          <w:rFonts w:ascii="Arial" w:cs="Arial" w:eastAsia="Arial" w:hAnsi="Arial"/>
          <w:sz w:val="15"/>
          <w:szCs w:val="15"/>
          <w:color w:val="7B7C80"/>
        </w:rPr>
        <w:t>Principal Life also offers all Named Executive Officers (except Mr. McCaughan) a nonqualified defined contribution plan ("Excess Plan") and a defined benefit nonqualified retirement plan ("NQDB"). These benefits are offered to attract and retain talent and provide long term financial security to employees. The NQDB helps the Company attract midcareer Executives and retain Executives by providing competitive retirement benefits. The NQDB is coordinated with the qualified pension plan and is designed to restore benefits that otherwise would accrue to Executives in the absence of Tax Code limitations on the qualified pension plan. The narrative to the Pension Benefits Table on pages 47-49 provides additional information about the NQDB and the qualified pension plan. Principal Life maintains the Excess Plan to help attract and retain Executives by allowing Executives to save for retirement and to provide matching contributions on those savings, without regard to the limitations imposed by the Tax Code on 401(k) plans. The narrative to the Non Qualified Deferred Compensation Table on pages 51-52 provides additional information about the Excess Plan.</w:t>
      </w:r>
    </w:p>
    <w:p>
      <w:pPr>
        <w:spacing w:after="0" w:line="179" w:lineRule="exact"/>
        <w:rPr>
          <w:sz w:val="20"/>
          <w:szCs w:val="20"/>
          <w:color w:val="auto"/>
        </w:rPr>
      </w:pPr>
    </w:p>
    <w:p>
      <w:pPr>
        <w:jc w:val="both"/>
        <w:ind w:left="8" w:right="20"/>
        <w:spacing w:after="0" w:line="242" w:lineRule="auto"/>
        <w:rPr>
          <w:sz w:val="20"/>
          <w:szCs w:val="20"/>
          <w:color w:val="auto"/>
        </w:rPr>
      </w:pPr>
      <w:r>
        <w:rPr>
          <w:rFonts w:ascii="Arial" w:cs="Arial" w:eastAsia="Arial" w:hAnsi="Arial"/>
          <w:sz w:val="15"/>
          <w:szCs w:val="15"/>
          <w:color w:val="7B7C80"/>
        </w:rPr>
        <w:t>The value of the retirement and savings plans for NonGrandfathered Participants (see page 48) is targeted to be, in the aggregate, slightly above the median of diversified financial services companies because a large portion of the Company's business centers on the sale of retirement products. The defined benefit pension plan for Grandfathered Choice Participants (see page 47) has a market value above the median and the 401(k) plan match for Grandfathered Choice Participants is below market median. These benefits were also originally designed to be slightly above market median to attract and retain employees.</w:t>
      </w:r>
    </w:p>
    <w:p>
      <w:pPr>
        <w:spacing w:after="0" w:line="175" w:lineRule="exact"/>
        <w:rPr>
          <w:sz w:val="20"/>
          <w:szCs w:val="20"/>
          <w:color w:val="auto"/>
        </w:rPr>
      </w:pPr>
    </w:p>
    <w:p>
      <w:pPr>
        <w:ind w:left="8"/>
        <w:spacing w:after="0"/>
        <w:rPr>
          <w:sz w:val="20"/>
          <w:szCs w:val="20"/>
          <w:color w:val="auto"/>
        </w:rPr>
      </w:pPr>
      <w:r>
        <w:rPr>
          <w:rFonts w:ascii="Arial" w:cs="Arial" w:eastAsia="Arial" w:hAnsi="Arial"/>
          <w:sz w:val="15"/>
          <w:szCs w:val="15"/>
          <w:color w:val="7B7C80"/>
        </w:rPr>
        <w:t>All other benefits are targeted at market median in the aggregate, which supports the Company's benefit strategy and aids in attracting and retaining talent.</w:t>
      </w:r>
    </w:p>
    <w:p>
      <w:pPr>
        <w:spacing w:after="0" w:line="16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Change of Control and Separation Pay</w:t>
      </w:r>
    </w:p>
    <w:p>
      <w:pPr>
        <w:spacing w:after="0" w:line="201"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Committee believes it is in the best interests of Principal and its shareholders to:</w:t>
      </w:r>
    </w:p>
    <w:p>
      <w:pPr>
        <w:spacing w:after="0" w:line="193" w:lineRule="exact"/>
        <w:rPr>
          <w:sz w:val="20"/>
          <w:szCs w:val="20"/>
          <w:color w:val="auto"/>
        </w:rPr>
      </w:pPr>
    </w:p>
    <w:p>
      <w:pPr>
        <w:ind w:left="448" w:hanging="448"/>
        <w:spacing w:after="0"/>
        <w:tabs>
          <w:tab w:leader="none" w:pos="448" w:val="left"/>
        </w:tabs>
        <w:numPr>
          <w:ilvl w:val="0"/>
          <w:numId w:val="42"/>
        </w:numPr>
        <w:rPr>
          <w:rFonts w:ascii="Arial" w:cs="Arial" w:eastAsia="Arial" w:hAnsi="Arial"/>
          <w:sz w:val="15"/>
          <w:szCs w:val="15"/>
          <w:color w:val="7B7C80"/>
        </w:rPr>
      </w:pPr>
      <w:r>
        <w:rPr>
          <w:rFonts w:ascii="Arial" w:cs="Arial" w:eastAsia="Arial" w:hAnsi="Arial"/>
          <w:sz w:val="15"/>
          <w:szCs w:val="15"/>
          <w:color w:val="7B7C80"/>
        </w:rPr>
        <w:t>Assure that Principal will have the continued service of its Executives;</w:t>
      </w:r>
    </w:p>
    <w:p>
      <w:pPr>
        <w:ind w:left="448" w:hanging="448"/>
        <w:spacing w:after="0"/>
        <w:tabs>
          <w:tab w:leader="none" w:pos="448" w:val="left"/>
        </w:tabs>
        <w:numPr>
          <w:ilvl w:val="0"/>
          <w:numId w:val="42"/>
        </w:numPr>
        <w:rPr>
          <w:rFonts w:ascii="Arial" w:cs="Arial" w:eastAsia="Arial" w:hAnsi="Arial"/>
          <w:sz w:val="15"/>
          <w:szCs w:val="15"/>
          <w:color w:val="7B7C80"/>
        </w:rPr>
      </w:pPr>
      <w:r>
        <w:rPr>
          <w:rFonts w:ascii="Arial" w:cs="Arial" w:eastAsia="Arial" w:hAnsi="Arial"/>
          <w:sz w:val="15"/>
          <w:szCs w:val="15"/>
          <w:color w:val="7B7C80"/>
        </w:rPr>
        <w:t>Reduce the distraction of these Executives that would result from the personal uncertainties caused by a pending or threatened Change of Control;</w:t>
      </w:r>
    </w:p>
    <w:p>
      <w:pPr>
        <w:ind w:left="448" w:hanging="448"/>
        <w:spacing w:after="0"/>
        <w:tabs>
          <w:tab w:leader="none" w:pos="448" w:val="left"/>
        </w:tabs>
        <w:numPr>
          <w:ilvl w:val="0"/>
          <w:numId w:val="42"/>
        </w:numPr>
        <w:rPr>
          <w:rFonts w:ascii="Arial" w:cs="Arial" w:eastAsia="Arial" w:hAnsi="Arial"/>
          <w:sz w:val="15"/>
          <w:szCs w:val="15"/>
          <w:color w:val="7B7C80"/>
        </w:rPr>
      </w:pPr>
      <w:r>
        <w:rPr>
          <w:rFonts w:ascii="Arial" w:cs="Arial" w:eastAsia="Arial" w:hAnsi="Arial"/>
          <w:sz w:val="15"/>
          <w:szCs w:val="15"/>
          <w:color w:val="7B7C80"/>
        </w:rPr>
        <w:t>Encourage the Executives' full attention and dedication to Principal; and</w:t>
      </w:r>
    </w:p>
    <w:p>
      <w:pPr>
        <w:spacing w:after="0" w:line="10" w:lineRule="exact"/>
        <w:rPr>
          <w:rFonts w:ascii="Arial" w:cs="Arial" w:eastAsia="Arial" w:hAnsi="Arial"/>
          <w:sz w:val="15"/>
          <w:szCs w:val="15"/>
          <w:color w:val="7B7C80"/>
        </w:rPr>
      </w:pPr>
    </w:p>
    <w:p>
      <w:pPr>
        <w:ind w:left="448" w:hanging="448"/>
        <w:spacing w:after="0"/>
        <w:tabs>
          <w:tab w:leader="none" w:pos="448" w:val="left"/>
        </w:tabs>
        <w:numPr>
          <w:ilvl w:val="0"/>
          <w:numId w:val="42"/>
        </w:numPr>
        <w:rPr>
          <w:rFonts w:ascii="Arial" w:cs="Arial" w:eastAsia="Arial" w:hAnsi="Arial"/>
          <w:sz w:val="15"/>
          <w:szCs w:val="15"/>
          <w:color w:val="7B7C80"/>
        </w:rPr>
      </w:pPr>
      <w:r>
        <w:rPr>
          <w:rFonts w:ascii="Arial" w:cs="Arial" w:eastAsia="Arial" w:hAnsi="Arial"/>
          <w:sz w:val="15"/>
          <w:szCs w:val="15"/>
          <w:color w:val="7B7C80"/>
        </w:rPr>
        <w:t>Provide the Executives with compensation and benefits upon a termination related to a Change of Control that are competitive with those of similar businesses.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318135</wp:posOffset>
            </wp:positionV>
            <wp:extent cx="1760220" cy="698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760220" cy="6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448" w:right="20" w:hanging="448"/>
        <w:spacing w:after="0" w:line="197" w:lineRule="auto"/>
        <w:tabs>
          <w:tab w:leader="none" w:pos="448" w:val="left"/>
        </w:tabs>
        <w:numPr>
          <w:ilvl w:val="0"/>
          <w:numId w:val="43"/>
        </w:numPr>
        <w:rPr>
          <w:rFonts w:ascii="Arial" w:cs="Arial" w:eastAsia="Arial" w:hAnsi="Arial"/>
          <w:sz w:val="18"/>
          <w:szCs w:val="18"/>
          <w:color w:val="7B7C80"/>
          <w:vertAlign w:val="superscript"/>
        </w:rPr>
      </w:pPr>
      <w:r>
        <w:rPr>
          <w:rFonts w:ascii="Arial" w:cs="Arial" w:eastAsia="Arial" w:hAnsi="Arial"/>
          <w:sz w:val="12"/>
          <w:szCs w:val="12"/>
          <w:color w:val="7B7C80"/>
        </w:rPr>
        <w:t>Mr. McCaughan has not participated in the qualified pension plan, NQDB Plan or Excess Plan since January 1, 2010, due to a compensation and benefit review of asset management companies that showed that these are not common benefits for executives in that industry. This change also applied to other investment professionals.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108585</wp:posOffset>
            </wp:positionV>
            <wp:extent cx="960120" cy="28384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1"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38</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41" w:name="page42"/>
    <w:bookmarkEnd w:id="41"/>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jc w:val="both"/>
        <w:ind w:left="8"/>
        <w:spacing w:after="0" w:line="241" w:lineRule="auto"/>
        <w:rPr>
          <w:sz w:val="20"/>
          <w:szCs w:val="20"/>
          <w:color w:val="auto"/>
        </w:rPr>
      </w:pPr>
      <w:r>
        <w:rPr>
          <w:rFonts w:ascii="Arial" w:cs="Arial" w:eastAsia="Arial" w:hAnsi="Arial"/>
          <w:sz w:val="15"/>
          <w:szCs w:val="15"/>
          <w:color w:val="7B7C80"/>
        </w:rPr>
        <w:t>For these reasons, Principal has entered into Change of Control Employment Agreements with each of the Executives. These agreements would help the Executives more fairly evaluate a potential acquisition of Principal, particularly when the acquisition would result in termination of the Executive's employment. These Change of Control Employment Agreements are based on market practice and do not affect other components of the Executives' compensation. When entering into these agreements, the Committee reviewed survey data and practices of other public insurance and financial services companies. The Committee continues to review market practices in this area for potential changes in these agreements.</w:t>
      </w:r>
    </w:p>
    <w:p>
      <w:pPr>
        <w:spacing w:after="0" w:line="177"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All benefits provided to the Executives upon a Change of Control are paid after both a Change of Control and qualifying termination of employment have occurred (sometimes referred to as a double trigger), except that the then current value of the Executive's Excess Plan and NQDB will be paid upon a Change of Control to ensure that the value of those plans is not reduced if the Company is sold. These agreements do not provide excise tax gross ups. See pages 53-55 for details.</w:t>
      </w:r>
    </w:p>
    <w:p>
      <w:pPr>
        <w:spacing w:after="0" w:line="175"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The Company has a severance plan to provide benefits to employees whose employment is terminated by the Company due to a reorganization or reduction in the workforce. Additional payments may be permitted in some circumstances as a result of negotiations with Executives, particularly when Principal requests additional covenants from the Executives.</w:t>
      </w:r>
    </w:p>
    <w:p>
      <w:pPr>
        <w:spacing w:after="0" w:line="15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Stock Ownership Guidelines</w:t>
      </w:r>
    </w:p>
    <w:p>
      <w:pPr>
        <w:spacing w:after="0" w:line="201"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Executives are required to own stock in Principal to ensure their interests are aligned with the shareholders' interests and with the long term performance of Principal. Once the Executive achieves the required stock ownership level based on market value, the ownership requirement remains at the number of shares owned at the time, regardless of subsequent changes in stock price or salary. Upon promotion, the Executive is required to meet the next level of stock ownership.</w:t>
      </w:r>
    </w:p>
    <w:p>
      <w:pPr>
        <w:spacing w:after="0" w:line="175"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Until the ownership guideline is met, Executives are required to retain a portion of the "net profit shares" resulting from equity based long term incentive plan grants. Net profit shares are the shares remaining after payment of the option exercise price and taxes owed at time of exercise, vesting of RSUs or earn out of performance shares. The percentage of net profit shares that must be retained until the multiple of salary guidelines are met are shown below:</w:t>
      </w:r>
    </w:p>
    <w:p>
      <w:pPr>
        <w:spacing w:after="0" w:line="152" w:lineRule="exact"/>
        <w:rPr>
          <w:sz w:val="20"/>
          <w:szCs w:val="20"/>
          <w:color w:val="auto"/>
        </w:rPr>
      </w:pPr>
    </w:p>
    <w:tbl>
      <w:tblPr>
        <w:tblLayout w:type="fixed"/>
        <w:tblInd w:w="8" w:type="dxa"/>
        <w:tblCellMar>
          <w:top w:w="0" w:type="dxa"/>
          <w:left w:w="0" w:type="dxa"/>
          <w:bottom w:w="0" w:type="dxa"/>
          <w:right w:w="0" w:type="dxa"/>
        </w:tblCellMar>
      </w:tblPr>
      <w:tr>
        <w:trPr>
          <w:trHeight w:val="139"/>
        </w:trPr>
        <w:tc>
          <w:tcPr>
            <w:tcW w:w="1360" w:type="dxa"/>
            <w:vAlign w:val="bottom"/>
          </w:tcPr>
          <w:p>
            <w:pPr>
              <w:spacing w:after="0"/>
              <w:rPr>
                <w:sz w:val="12"/>
                <w:szCs w:val="12"/>
                <w:color w:val="auto"/>
              </w:rPr>
            </w:pPr>
          </w:p>
        </w:tc>
        <w:tc>
          <w:tcPr>
            <w:tcW w:w="6680" w:type="dxa"/>
            <w:vAlign w:val="bottom"/>
            <w:tcBorders>
              <w:top w:val="single" w:sz="8" w:color="009CCC"/>
            </w:tcBorders>
          </w:tcPr>
          <w:p>
            <w:pPr>
              <w:spacing w:after="0"/>
              <w:rPr>
                <w:sz w:val="12"/>
                <w:szCs w:val="12"/>
                <w:color w:val="auto"/>
              </w:rPr>
            </w:pPr>
          </w:p>
        </w:tc>
        <w:tc>
          <w:tcPr>
            <w:tcW w:w="1120" w:type="dxa"/>
            <w:vAlign w:val="bottom"/>
            <w:tcBorders>
              <w:top w:val="single" w:sz="8" w:color="009CCC"/>
            </w:tcBorders>
          </w:tcPr>
          <w:p>
            <w:pPr>
              <w:jc w:val="right"/>
              <w:ind w:right="32"/>
              <w:spacing w:after="0"/>
              <w:rPr>
                <w:sz w:val="20"/>
                <w:szCs w:val="20"/>
                <w:color w:val="auto"/>
              </w:rPr>
            </w:pPr>
            <w:r>
              <w:rPr>
                <w:rFonts w:ascii="Arial" w:cs="Arial" w:eastAsia="Arial" w:hAnsi="Arial"/>
                <w:sz w:val="12"/>
                <w:szCs w:val="12"/>
                <w:b w:val="1"/>
                <w:bCs w:val="1"/>
                <w:color w:val="009CCC"/>
              </w:rPr>
              <w:t>Retention</w:t>
            </w:r>
          </w:p>
        </w:tc>
        <w:tc>
          <w:tcPr>
            <w:tcW w:w="780" w:type="dxa"/>
            <w:vAlign w:val="bottom"/>
            <w:tcBorders>
              <w:top w:val="single" w:sz="8" w:color="009CCC"/>
            </w:tcBorders>
          </w:tcPr>
          <w:p>
            <w:pPr>
              <w:jc w:val="right"/>
              <w:spacing w:after="0"/>
              <w:rPr>
                <w:sz w:val="20"/>
                <w:szCs w:val="20"/>
                <w:color w:val="auto"/>
              </w:rPr>
            </w:pPr>
            <w:r>
              <w:rPr>
                <w:rFonts w:ascii="Arial" w:cs="Arial" w:eastAsia="Arial" w:hAnsi="Arial"/>
                <w:sz w:val="12"/>
                <w:szCs w:val="12"/>
                <w:b w:val="1"/>
                <w:bCs w:val="1"/>
                <w:color w:val="009CCC"/>
              </w:rPr>
              <w:t>Multiple of</w:t>
            </w:r>
          </w:p>
        </w:tc>
      </w:tr>
      <w:tr>
        <w:trPr>
          <w:trHeight w:val="147"/>
        </w:trPr>
        <w:tc>
          <w:tcPr>
            <w:tcW w:w="1360" w:type="dxa"/>
            <w:vAlign w:val="bottom"/>
          </w:tcPr>
          <w:p>
            <w:pPr>
              <w:spacing w:after="0"/>
              <w:rPr>
                <w:sz w:val="12"/>
                <w:szCs w:val="12"/>
                <w:color w:val="auto"/>
              </w:rPr>
            </w:pPr>
          </w:p>
        </w:tc>
        <w:tc>
          <w:tcPr>
            <w:tcW w:w="668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Executive Level</w:t>
            </w:r>
          </w:p>
        </w:tc>
        <w:tc>
          <w:tcPr>
            <w:tcW w:w="1120" w:type="dxa"/>
            <w:vAlign w:val="bottom"/>
            <w:tcBorders>
              <w:bottom w:val="single" w:sz="8" w:color="7B7C80"/>
            </w:tcBorders>
          </w:tcPr>
          <w:p>
            <w:pPr>
              <w:jc w:val="right"/>
              <w:ind w:right="32"/>
              <w:spacing w:after="0"/>
              <w:rPr>
                <w:sz w:val="20"/>
                <w:szCs w:val="20"/>
                <w:color w:val="auto"/>
              </w:rPr>
            </w:pPr>
            <w:r>
              <w:rPr>
                <w:rFonts w:ascii="Arial" w:cs="Arial" w:eastAsia="Arial" w:hAnsi="Arial"/>
                <w:sz w:val="12"/>
                <w:szCs w:val="12"/>
                <w:b w:val="1"/>
                <w:bCs w:val="1"/>
                <w:color w:val="009CCC"/>
              </w:rPr>
              <w:t>Ratio</w:t>
            </w:r>
          </w:p>
        </w:tc>
        <w:tc>
          <w:tcPr>
            <w:tcW w:w="78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Base Salary</w:t>
            </w:r>
          </w:p>
        </w:tc>
      </w:tr>
      <w:tr>
        <w:trPr>
          <w:trHeight w:val="163"/>
        </w:trPr>
        <w:tc>
          <w:tcPr>
            <w:tcW w:w="1360" w:type="dxa"/>
            <w:vAlign w:val="bottom"/>
          </w:tcPr>
          <w:p>
            <w:pPr>
              <w:spacing w:after="0"/>
              <w:rPr>
                <w:sz w:val="14"/>
                <w:szCs w:val="14"/>
                <w:color w:val="auto"/>
              </w:rPr>
            </w:pPr>
          </w:p>
        </w:tc>
        <w:tc>
          <w:tcPr>
            <w:tcW w:w="66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Chairman (Houston)</w:t>
            </w:r>
          </w:p>
        </w:tc>
        <w:tc>
          <w:tcPr>
            <w:tcW w:w="1120" w:type="dxa"/>
            <w:vAlign w:val="bottom"/>
            <w:tcBorders>
              <w:bottom w:val="single" w:sz="8" w:color="7B7C80"/>
            </w:tcBorders>
          </w:tcPr>
          <w:p>
            <w:pPr>
              <w:jc w:val="right"/>
              <w:ind w:right="32"/>
              <w:spacing w:after="0" w:line="164" w:lineRule="exact"/>
              <w:rPr>
                <w:sz w:val="20"/>
                <w:szCs w:val="20"/>
                <w:color w:val="auto"/>
              </w:rPr>
            </w:pPr>
            <w:r>
              <w:rPr>
                <w:rFonts w:ascii="Arial" w:cs="Arial" w:eastAsia="Arial" w:hAnsi="Arial"/>
                <w:sz w:val="15"/>
                <w:szCs w:val="15"/>
                <w:color w:val="7B7C80"/>
              </w:rPr>
              <w:t>75%</w:t>
            </w:r>
          </w:p>
        </w:tc>
        <w:tc>
          <w:tcPr>
            <w:tcW w:w="7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5 times</w:t>
            </w:r>
          </w:p>
        </w:tc>
      </w:tr>
      <w:tr>
        <w:trPr>
          <w:trHeight w:val="166"/>
        </w:trPr>
        <w:tc>
          <w:tcPr>
            <w:tcW w:w="1360" w:type="dxa"/>
            <w:vAlign w:val="bottom"/>
          </w:tcPr>
          <w:p>
            <w:pPr>
              <w:spacing w:after="0"/>
              <w:rPr>
                <w:sz w:val="14"/>
                <w:szCs w:val="14"/>
                <w:color w:val="auto"/>
              </w:rPr>
            </w:pPr>
          </w:p>
        </w:tc>
        <w:tc>
          <w:tcPr>
            <w:tcW w:w="6680" w:type="dxa"/>
            <w:vAlign w:val="bottom"/>
            <w:tcBorders>
              <w:bottom w:val="single" w:sz="8" w:color="009CCC"/>
            </w:tcBorders>
            <w:shd w:val="clear" w:color="auto" w:fill="E7E6E7"/>
          </w:tcPr>
          <w:p>
            <w:pPr>
              <w:spacing w:after="0" w:line="164" w:lineRule="exact"/>
              <w:rPr>
                <w:sz w:val="20"/>
                <w:szCs w:val="20"/>
                <w:color w:val="auto"/>
              </w:rPr>
            </w:pPr>
            <w:r>
              <w:rPr>
                <w:rFonts w:ascii="Arial" w:cs="Arial" w:eastAsia="Arial" w:hAnsi="Arial"/>
                <w:sz w:val="15"/>
                <w:szCs w:val="15"/>
                <w:color w:val="7B7C80"/>
              </w:rPr>
              <w:t>Division Presidents &amp; Executive Vice Presidents (Everett, Lillis, McCaughan, Strable &amp; Valdés)</w:t>
            </w:r>
          </w:p>
        </w:tc>
        <w:tc>
          <w:tcPr>
            <w:tcW w:w="1120" w:type="dxa"/>
            <w:vAlign w:val="bottom"/>
            <w:tcBorders>
              <w:bottom w:val="single" w:sz="8" w:color="009CCC"/>
            </w:tcBorders>
            <w:shd w:val="clear" w:color="auto" w:fill="E7E6E7"/>
          </w:tcPr>
          <w:p>
            <w:pPr>
              <w:jc w:val="right"/>
              <w:ind w:right="32"/>
              <w:spacing w:after="0" w:line="164" w:lineRule="exact"/>
              <w:rPr>
                <w:sz w:val="20"/>
                <w:szCs w:val="20"/>
                <w:color w:val="auto"/>
              </w:rPr>
            </w:pPr>
            <w:r>
              <w:rPr>
                <w:rFonts w:ascii="Arial" w:cs="Arial" w:eastAsia="Arial" w:hAnsi="Arial"/>
                <w:sz w:val="15"/>
                <w:szCs w:val="15"/>
                <w:color w:val="7B7C80"/>
              </w:rPr>
              <w:t>50%</w:t>
            </w:r>
          </w:p>
        </w:tc>
        <w:tc>
          <w:tcPr>
            <w:tcW w:w="780" w:type="dxa"/>
            <w:vAlign w:val="bottom"/>
            <w:tcBorders>
              <w:bottom w:val="single" w:sz="8" w:color="009CCC"/>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3 times</w:t>
            </w:r>
          </w:p>
        </w:tc>
      </w:tr>
      <w:tr>
        <w:trPr>
          <w:trHeight w:val="365"/>
        </w:trPr>
        <w:tc>
          <w:tcPr>
            <w:tcW w:w="8040" w:type="dxa"/>
            <w:vAlign w:val="bottom"/>
            <w:gridSpan w:val="2"/>
          </w:tcPr>
          <w:p>
            <w:pPr>
              <w:spacing w:after="0"/>
              <w:rPr>
                <w:sz w:val="20"/>
                <w:szCs w:val="20"/>
                <w:color w:val="auto"/>
              </w:rPr>
            </w:pPr>
            <w:r>
              <w:rPr>
                <w:rFonts w:ascii="Arial" w:cs="Arial" w:eastAsia="Arial" w:hAnsi="Arial"/>
                <w:sz w:val="15"/>
                <w:szCs w:val="15"/>
                <w:color w:val="7B7C80"/>
              </w:rPr>
              <w:t>All Named Executive Officers comply with these guidelines.</w:t>
            </w:r>
          </w:p>
        </w:tc>
        <w:tc>
          <w:tcPr>
            <w:tcW w:w="1120" w:type="dxa"/>
            <w:vAlign w:val="bottom"/>
          </w:tcPr>
          <w:p>
            <w:pPr>
              <w:spacing w:after="0"/>
              <w:rPr>
                <w:sz w:val="24"/>
                <w:szCs w:val="24"/>
                <w:color w:val="auto"/>
              </w:rPr>
            </w:pPr>
          </w:p>
        </w:tc>
        <w:tc>
          <w:tcPr>
            <w:tcW w:w="780" w:type="dxa"/>
            <w:vAlign w:val="bottom"/>
          </w:tcPr>
          <w:p>
            <w:pPr>
              <w:spacing w:after="0"/>
              <w:rPr>
                <w:sz w:val="24"/>
                <w:szCs w:val="24"/>
                <w:color w:val="auto"/>
              </w:rPr>
            </w:pPr>
          </w:p>
        </w:tc>
      </w:tr>
    </w:tbl>
    <w:p>
      <w:pPr>
        <w:spacing w:after="0" w:line="15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Claw Back Policy</w:t>
      </w:r>
    </w:p>
    <w:p>
      <w:pPr>
        <w:spacing w:after="0" w:line="201"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The Committee has also adopted a compensation recovery policy that applies to Executives. Principal can recover incentive compensation if the amount of the compensation was based on achievement of financial results that were subsequently restated if the Committee decides that the Executive engaged in fraud or intentional misconduct that caused the restatement of the Company's financial statements, and if the amount of the Executive's incentive compensation or equity award would have been lower had the financial results been properly reported.</w:t>
      </w:r>
    </w:p>
    <w:p>
      <w:pPr>
        <w:spacing w:after="0" w:line="15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Trading Policy</w:t>
      </w:r>
    </w:p>
    <w:p>
      <w:pPr>
        <w:spacing w:after="0" w:line="201" w:lineRule="exact"/>
        <w:rPr>
          <w:sz w:val="20"/>
          <w:szCs w:val="20"/>
          <w:color w:val="auto"/>
        </w:rPr>
      </w:pPr>
    </w:p>
    <w:p>
      <w:pPr>
        <w:ind w:left="8"/>
        <w:spacing w:after="0"/>
        <w:rPr>
          <w:sz w:val="20"/>
          <w:szCs w:val="20"/>
          <w:color w:val="auto"/>
        </w:rPr>
      </w:pPr>
      <w:r>
        <w:rPr>
          <w:rFonts w:ascii="Arial" w:cs="Arial" w:eastAsia="Arial" w:hAnsi="Arial"/>
          <w:sz w:val="15"/>
          <w:szCs w:val="15"/>
          <w:color w:val="7B7C80"/>
        </w:rPr>
        <w:t>Principal prohibits Directors and employees, including Executives, from:</w:t>
      </w:r>
    </w:p>
    <w:p>
      <w:pPr>
        <w:spacing w:after="0" w:line="183" w:lineRule="exact"/>
        <w:rPr>
          <w:sz w:val="20"/>
          <w:szCs w:val="20"/>
          <w:color w:val="auto"/>
        </w:rPr>
      </w:pPr>
    </w:p>
    <w:p>
      <w:pPr>
        <w:ind w:left="448" w:hanging="448"/>
        <w:spacing w:after="0" w:line="243" w:lineRule="auto"/>
        <w:tabs>
          <w:tab w:leader="none" w:pos="448" w:val="left"/>
        </w:tabs>
        <w:numPr>
          <w:ilvl w:val="0"/>
          <w:numId w:val="44"/>
        </w:numPr>
        <w:rPr>
          <w:rFonts w:ascii="Arial" w:cs="Arial" w:eastAsia="Arial" w:hAnsi="Arial"/>
          <w:sz w:val="15"/>
          <w:szCs w:val="15"/>
          <w:color w:val="7B7C80"/>
        </w:rPr>
      </w:pPr>
      <w:r>
        <w:rPr>
          <w:rFonts w:ascii="Arial" w:cs="Arial" w:eastAsia="Arial" w:hAnsi="Arial"/>
          <w:sz w:val="15"/>
          <w:szCs w:val="15"/>
          <w:color w:val="7B7C80"/>
        </w:rPr>
        <w:t>Purchasing Principal securities "on margin" (i.e., with the proceeds of a loan from a brokerage firm when the loan is secured by Principal securities), except for the exercise of employee stock options.</w:t>
      </w:r>
    </w:p>
    <w:p>
      <w:pPr>
        <w:spacing w:after="0" w:line="5" w:lineRule="exact"/>
        <w:rPr>
          <w:rFonts w:ascii="Arial" w:cs="Arial" w:eastAsia="Arial" w:hAnsi="Arial"/>
          <w:sz w:val="15"/>
          <w:szCs w:val="15"/>
          <w:color w:val="7B7C80"/>
        </w:rPr>
      </w:pPr>
    </w:p>
    <w:p>
      <w:pPr>
        <w:ind w:left="448" w:hanging="448"/>
        <w:spacing w:after="0"/>
        <w:tabs>
          <w:tab w:leader="none" w:pos="448" w:val="left"/>
        </w:tabs>
        <w:numPr>
          <w:ilvl w:val="0"/>
          <w:numId w:val="44"/>
        </w:numPr>
        <w:rPr>
          <w:rFonts w:ascii="Arial" w:cs="Arial" w:eastAsia="Arial" w:hAnsi="Arial"/>
          <w:sz w:val="15"/>
          <w:szCs w:val="15"/>
          <w:color w:val="7B7C80"/>
        </w:rPr>
      </w:pPr>
      <w:r>
        <w:rPr>
          <w:rFonts w:ascii="Arial" w:cs="Arial" w:eastAsia="Arial" w:hAnsi="Arial"/>
          <w:sz w:val="15"/>
          <w:szCs w:val="15"/>
          <w:color w:val="7B7C80"/>
        </w:rPr>
        <w:t>Short sales;</w:t>
      </w:r>
    </w:p>
    <w:p>
      <w:pPr>
        <w:ind w:left="448" w:hanging="448"/>
        <w:spacing w:after="0"/>
        <w:tabs>
          <w:tab w:leader="none" w:pos="448" w:val="left"/>
        </w:tabs>
        <w:numPr>
          <w:ilvl w:val="0"/>
          <w:numId w:val="44"/>
        </w:numPr>
        <w:rPr>
          <w:rFonts w:ascii="Arial" w:cs="Arial" w:eastAsia="Arial" w:hAnsi="Arial"/>
          <w:sz w:val="15"/>
          <w:szCs w:val="15"/>
          <w:color w:val="7B7C80"/>
        </w:rPr>
      </w:pPr>
      <w:r>
        <w:rPr>
          <w:rFonts w:ascii="Arial" w:cs="Arial" w:eastAsia="Arial" w:hAnsi="Arial"/>
          <w:sz w:val="15"/>
          <w:szCs w:val="15"/>
          <w:color w:val="7B7C80"/>
        </w:rPr>
        <w:t>Trading in put or call options; and</w:t>
      </w:r>
    </w:p>
    <w:p>
      <w:pPr>
        <w:ind w:left="448" w:hanging="448"/>
        <w:spacing w:after="0" w:line="247" w:lineRule="auto"/>
        <w:tabs>
          <w:tab w:leader="none" w:pos="448" w:val="left"/>
        </w:tabs>
        <w:numPr>
          <w:ilvl w:val="0"/>
          <w:numId w:val="44"/>
        </w:numPr>
        <w:rPr>
          <w:rFonts w:ascii="Arial" w:cs="Arial" w:eastAsia="Arial" w:hAnsi="Arial"/>
          <w:sz w:val="15"/>
          <w:szCs w:val="15"/>
          <w:color w:val="7B7C80"/>
        </w:rPr>
      </w:pPr>
      <w:r>
        <w:rPr>
          <w:rFonts w:ascii="Arial" w:cs="Arial" w:eastAsia="Arial" w:hAnsi="Arial"/>
          <w:sz w:val="15"/>
          <w:szCs w:val="15"/>
          <w:color w:val="7B7C80"/>
        </w:rPr>
        <w:t>Purchasing, directly or through a designee, any financial instrument (including prepaid variable forward contracts, equity swaps, collars and exchange funds) that is designed to hedge or offset any decrease in the market value of Principal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107315</wp:posOffset>
            </wp:positionV>
            <wp:extent cx="960120" cy="28384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9"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39</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42" w:name="page43"/>
    <w:bookmarkEnd w:id="42"/>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Succession Planning</w:t>
      </w:r>
    </w:p>
    <w:p>
      <w:pPr>
        <w:spacing w:after="0" w:line="201" w:lineRule="exact"/>
        <w:rPr>
          <w:sz w:val="20"/>
          <w:szCs w:val="20"/>
          <w:color w:val="auto"/>
        </w:rPr>
      </w:pPr>
    </w:p>
    <w:p>
      <w:pPr>
        <w:jc w:val="both"/>
        <w:ind w:left="8"/>
        <w:spacing w:after="0"/>
        <w:rPr>
          <w:sz w:val="20"/>
          <w:szCs w:val="20"/>
          <w:color w:val="auto"/>
        </w:rPr>
      </w:pPr>
      <w:r>
        <w:rPr>
          <w:rFonts w:ascii="Arial" w:cs="Arial" w:eastAsia="Arial" w:hAnsi="Arial"/>
          <w:sz w:val="15"/>
          <w:szCs w:val="15"/>
          <w:color w:val="7B7C80"/>
        </w:rPr>
        <w:t>The Human Resources Committee, the CEO and the head of Human Resources have an ongoing focus on executive development and succession planning to prepare Principal for future success. In addition to preparing for CEO succession, the succession planning process includes all key executive positions. A comprehensive review of executive talent, including assessments by an independent consulting firm, has determined participants' readiness to take on additional leadership roles and identified the developmental and coaching opportunities needed to prepare them for greater responsibilities. The CEO makes a formal succession planning presentation to the Board of Directors annually. CEO succession planning is a responsibility of the entire Board and all members participate. In addition, the Company has an emergency succession plan for the CEO that is reviewed by the Board annually.</w:t>
      </w:r>
    </w:p>
    <w:p>
      <w:pPr>
        <w:spacing w:after="0" w:line="161"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Human Resources Committee Report</w:t>
      </w:r>
    </w:p>
    <w:p>
      <w:pPr>
        <w:spacing w:after="0" w:line="201"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The Human Resources Committee of the Company has reviewed and discussed the foregoing Compensation Discussion and Analysis required by Item 402(b) of Regulation S-K with management, and based on such review and discussion, the Committee recommended to the Board that the Compensation Discussion and Analysis be included in this Proxy Statement.</w:t>
      </w:r>
    </w:p>
    <w:p>
      <w:pPr>
        <w:spacing w:after="0" w:line="174" w:lineRule="exact"/>
        <w:rPr>
          <w:sz w:val="20"/>
          <w:szCs w:val="20"/>
          <w:color w:val="auto"/>
        </w:rPr>
      </w:pPr>
    </w:p>
    <w:p>
      <w:pPr>
        <w:ind w:left="8"/>
        <w:spacing w:after="0"/>
        <w:rPr>
          <w:sz w:val="20"/>
          <w:szCs w:val="20"/>
          <w:color w:val="auto"/>
        </w:rPr>
      </w:pPr>
      <w:r>
        <w:rPr>
          <w:rFonts w:ascii="Arial" w:cs="Arial" w:eastAsia="Arial" w:hAnsi="Arial"/>
          <w:sz w:val="15"/>
          <w:szCs w:val="15"/>
          <w:color w:val="7B7C80"/>
        </w:rPr>
        <w:t>Michael T. Dan, Chair</w:t>
      </w:r>
    </w:p>
    <w:p>
      <w:pPr>
        <w:ind w:left="8"/>
        <w:spacing w:after="0"/>
        <w:rPr>
          <w:sz w:val="20"/>
          <w:szCs w:val="20"/>
          <w:color w:val="auto"/>
        </w:rPr>
      </w:pPr>
      <w:r>
        <w:rPr>
          <w:rFonts w:ascii="Arial" w:cs="Arial" w:eastAsia="Arial" w:hAnsi="Arial"/>
          <w:sz w:val="15"/>
          <w:szCs w:val="15"/>
          <w:color w:val="7B7C80"/>
        </w:rPr>
        <w:t>C. Daniel Gelatt</w:t>
      </w:r>
    </w:p>
    <w:p>
      <w:pPr>
        <w:ind w:left="8"/>
        <w:spacing w:after="0"/>
        <w:rPr>
          <w:sz w:val="20"/>
          <w:szCs w:val="20"/>
          <w:color w:val="auto"/>
        </w:rPr>
      </w:pPr>
      <w:r>
        <w:rPr>
          <w:rFonts w:ascii="Arial" w:cs="Arial" w:eastAsia="Arial" w:hAnsi="Arial"/>
          <w:sz w:val="15"/>
          <w:szCs w:val="15"/>
          <w:color w:val="7B7C80"/>
        </w:rPr>
        <w:t>Roger C. Hochschild</w:t>
      </w:r>
    </w:p>
    <w:p>
      <w:pPr>
        <w:ind w:left="8"/>
        <w:spacing w:after="0"/>
        <w:rPr>
          <w:sz w:val="20"/>
          <w:szCs w:val="20"/>
          <w:color w:val="auto"/>
        </w:rPr>
      </w:pPr>
      <w:r>
        <w:rPr>
          <w:rFonts w:ascii="Arial" w:cs="Arial" w:eastAsia="Arial" w:hAnsi="Arial"/>
          <w:sz w:val="15"/>
          <w:szCs w:val="15"/>
          <w:color w:val="7B7C80"/>
        </w:rPr>
        <w:t>Scott M. Mills</w:t>
      </w:r>
    </w:p>
    <w:p>
      <w:pPr>
        <w:ind w:left="8"/>
        <w:spacing w:after="0"/>
        <w:rPr>
          <w:sz w:val="20"/>
          <w:szCs w:val="20"/>
          <w:color w:val="auto"/>
        </w:rPr>
      </w:pPr>
      <w:r>
        <w:rPr>
          <w:rFonts w:ascii="Arial" w:cs="Arial" w:eastAsia="Arial" w:hAnsi="Arial"/>
          <w:sz w:val="15"/>
          <w:szCs w:val="15"/>
          <w:color w:val="7B7C80"/>
        </w:rPr>
        <w:t>Diane C. Nordin</w:t>
      </w:r>
    </w:p>
    <w:p>
      <w:pPr>
        <w:ind w:left="8"/>
        <w:spacing w:after="0"/>
        <w:rPr>
          <w:sz w:val="20"/>
          <w:szCs w:val="20"/>
          <w:color w:val="auto"/>
        </w:rPr>
      </w:pPr>
      <w:r>
        <w:rPr>
          <w:rFonts w:ascii="Arial" w:cs="Arial" w:eastAsia="Arial" w:hAnsi="Arial"/>
          <w:sz w:val="15"/>
          <w:szCs w:val="15"/>
          <w:color w:val="7B7C80"/>
        </w:rPr>
        <w:t>Elizabeth E. Tallett</w:t>
      </w:r>
    </w:p>
    <w:p>
      <w:pPr>
        <w:spacing w:after="0" w:line="16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Risk Assessment of Employee Incentive Plans</w:t>
      </w:r>
    </w:p>
    <w:p>
      <w:pPr>
        <w:spacing w:after="0" w:line="201"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The Human Resources Compensation Department and the chief risk officers in the business units conducted a review and analysis of the Company's employee incentive compensation plans to determine whether the plans are reasonably likely to have a material adverse effect on the Company, and reviewed their processes and conclusions with the Chief Risk Officer. The following factors, among others, were assessed:</w:t>
      </w:r>
    </w:p>
    <w:p>
      <w:pPr>
        <w:spacing w:after="0" w:line="175" w:lineRule="exact"/>
        <w:rPr>
          <w:sz w:val="20"/>
          <w:szCs w:val="20"/>
          <w:color w:val="auto"/>
        </w:rPr>
      </w:pPr>
    </w:p>
    <w:p>
      <w:pPr>
        <w:ind w:left="448" w:hanging="448"/>
        <w:spacing w:after="0"/>
        <w:tabs>
          <w:tab w:leader="none" w:pos="448" w:val="left"/>
        </w:tabs>
        <w:numPr>
          <w:ilvl w:val="0"/>
          <w:numId w:val="45"/>
        </w:numPr>
        <w:rPr>
          <w:rFonts w:ascii="Arial" w:cs="Arial" w:eastAsia="Arial" w:hAnsi="Arial"/>
          <w:sz w:val="15"/>
          <w:szCs w:val="15"/>
          <w:color w:val="7B7C80"/>
        </w:rPr>
      </w:pPr>
      <w:r>
        <w:rPr>
          <w:rFonts w:ascii="Arial" w:cs="Arial" w:eastAsia="Arial" w:hAnsi="Arial"/>
          <w:sz w:val="15"/>
          <w:szCs w:val="15"/>
          <w:color w:val="7B7C80"/>
        </w:rPr>
        <w:t>Plan design;</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45"/>
        </w:numPr>
        <w:rPr>
          <w:rFonts w:ascii="Arial" w:cs="Arial" w:eastAsia="Arial" w:hAnsi="Arial"/>
          <w:sz w:val="15"/>
          <w:szCs w:val="15"/>
          <w:color w:val="7B7C80"/>
        </w:rPr>
      </w:pPr>
      <w:r>
        <w:rPr>
          <w:rFonts w:ascii="Arial" w:cs="Arial" w:eastAsia="Arial" w:hAnsi="Arial"/>
          <w:sz w:val="15"/>
          <w:szCs w:val="15"/>
          <w:color w:val="7B7C80"/>
        </w:rPr>
        <w:t>Performance metrics and quality of goal setting;</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45"/>
        </w:numPr>
        <w:rPr>
          <w:rFonts w:ascii="Arial" w:cs="Arial" w:eastAsia="Arial" w:hAnsi="Arial"/>
          <w:sz w:val="15"/>
          <w:szCs w:val="15"/>
          <w:color w:val="7B7C80"/>
        </w:rPr>
      </w:pPr>
      <w:r>
        <w:rPr>
          <w:rFonts w:ascii="Arial" w:cs="Arial" w:eastAsia="Arial" w:hAnsi="Arial"/>
          <w:sz w:val="15"/>
          <w:szCs w:val="15"/>
          <w:color w:val="7B7C80"/>
        </w:rPr>
        <w:t>Administrative procedures, including governance practices and plan compliance;</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45"/>
        </w:numPr>
        <w:rPr>
          <w:rFonts w:ascii="Arial" w:cs="Arial" w:eastAsia="Arial" w:hAnsi="Arial"/>
          <w:sz w:val="15"/>
          <w:szCs w:val="15"/>
          <w:color w:val="7B7C80"/>
        </w:rPr>
      </w:pPr>
      <w:r>
        <w:rPr>
          <w:rFonts w:ascii="Arial" w:cs="Arial" w:eastAsia="Arial" w:hAnsi="Arial"/>
          <w:sz w:val="15"/>
          <w:szCs w:val="15"/>
          <w:color w:val="7B7C80"/>
        </w:rPr>
        <w:t>Plan compliance, communications and disclosures;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45"/>
        </w:numPr>
        <w:rPr>
          <w:rFonts w:ascii="Arial" w:cs="Arial" w:eastAsia="Arial" w:hAnsi="Arial"/>
          <w:sz w:val="15"/>
          <w:szCs w:val="15"/>
          <w:color w:val="7B7C80"/>
        </w:rPr>
      </w:pPr>
      <w:r>
        <w:rPr>
          <w:rFonts w:ascii="Arial" w:cs="Arial" w:eastAsia="Arial" w:hAnsi="Arial"/>
          <w:sz w:val="15"/>
          <w:szCs w:val="15"/>
          <w:color w:val="7B7C80"/>
        </w:rPr>
        <w:t>Potential risks created by the plans;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45"/>
        </w:numPr>
        <w:rPr>
          <w:rFonts w:ascii="Arial" w:cs="Arial" w:eastAsia="Arial" w:hAnsi="Arial"/>
          <w:sz w:val="15"/>
          <w:szCs w:val="15"/>
          <w:color w:val="7B7C80"/>
        </w:rPr>
      </w:pPr>
      <w:r>
        <w:rPr>
          <w:rFonts w:ascii="Arial" w:cs="Arial" w:eastAsia="Arial" w:hAnsi="Arial"/>
          <w:sz w:val="15"/>
          <w:szCs w:val="15"/>
          <w:color w:val="7B7C80"/>
        </w:rPr>
        <w:t>Risk control factors and their effectiveness; and</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45"/>
        </w:numPr>
        <w:rPr>
          <w:rFonts w:ascii="Arial" w:cs="Arial" w:eastAsia="Arial" w:hAnsi="Arial"/>
          <w:sz w:val="15"/>
          <w:szCs w:val="15"/>
          <w:color w:val="7B7C80"/>
        </w:rPr>
      </w:pPr>
      <w:r>
        <w:rPr>
          <w:rFonts w:ascii="Arial" w:cs="Arial" w:eastAsia="Arial" w:hAnsi="Arial"/>
          <w:sz w:val="15"/>
          <w:szCs w:val="15"/>
          <w:color w:val="7B7C80"/>
        </w:rPr>
        <w:t>Inherent and residual risk ratings.</w:t>
      </w:r>
    </w:p>
    <w:p>
      <w:pPr>
        <w:spacing w:after="0" w:line="183" w:lineRule="exact"/>
        <w:rPr>
          <w:sz w:val="20"/>
          <w:szCs w:val="20"/>
          <w:color w:val="auto"/>
        </w:rPr>
      </w:pPr>
    </w:p>
    <w:p>
      <w:pPr>
        <w:jc w:val="both"/>
        <w:ind w:left="8"/>
        <w:spacing w:after="0" w:line="241" w:lineRule="auto"/>
        <w:rPr>
          <w:sz w:val="20"/>
          <w:szCs w:val="20"/>
          <w:color w:val="auto"/>
        </w:rPr>
      </w:pPr>
      <w:r>
        <w:rPr>
          <w:rFonts w:ascii="Arial" w:cs="Arial" w:eastAsia="Arial" w:hAnsi="Arial"/>
          <w:sz w:val="15"/>
          <w:szCs w:val="15"/>
          <w:color w:val="7B7C80"/>
        </w:rPr>
        <w:t>Some key factors that mitigate risks of the Company's incentive plans are the Company's stock ownership guidelines for Executives, the compensation recovery policy and the Human Resources Committee's ability to exercise its judgment in evaluating the quality of performance achievements when determining earned compensation. Employees are prohibited from purchasing the Company's securities on margin (except for the exercise of stock options), engaging in short sales or trading in any put or call options; and purchasing, directly or through a designee, any financial instrument (including prepaid variable forward contracts, equity swaps, collars and exchange funds) designed to hedge or offset any decrease in the market value of Company securities.</w:t>
      </w:r>
    </w:p>
    <w:p>
      <w:pPr>
        <w:spacing w:after="0" w:line="177"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A summary of the assessment process and conclusions was reviewed with the Human Resources Committee. Based on this analysis, the Company has determined that its employee incentive compensation plans are designed to encourage behaviors that create and maintain shareholder value, do not encourage excessive risk, and are not reasonably likely to have a material adverse effect on Principal.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109220</wp:posOffset>
            </wp:positionV>
            <wp:extent cx="960120" cy="28384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2"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40</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43" w:name="page44"/>
    <w:bookmarkEnd w:id="43"/>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Summary Compensation Table</w:t>
      </w:r>
    </w:p>
    <w:p>
      <w:pPr>
        <w:spacing w:after="0" w:line="201" w:lineRule="exact"/>
        <w:rPr>
          <w:sz w:val="20"/>
          <w:szCs w:val="20"/>
          <w:color w:val="auto"/>
        </w:rPr>
      </w:pPr>
    </w:p>
    <w:p>
      <w:pPr>
        <w:spacing w:after="0"/>
        <w:rPr>
          <w:sz w:val="20"/>
          <w:szCs w:val="20"/>
          <w:color w:val="auto"/>
        </w:rPr>
      </w:pPr>
      <w:r>
        <w:rPr>
          <w:rFonts w:ascii="Arial" w:cs="Arial" w:eastAsia="Arial" w:hAnsi="Arial"/>
          <w:sz w:val="14"/>
          <w:szCs w:val="14"/>
          <w:color w:val="7B7C80"/>
        </w:rPr>
        <w:t>The following table sets forth the compensation paid to the Named Executive Officers for services provided to the Company and its subsidiaries during 2015, 2016 and 2017.</w:t>
      </w:r>
    </w:p>
    <w:p>
      <w:pPr>
        <w:spacing w:after="0" w:line="171" w:lineRule="exact"/>
        <w:rPr>
          <w:sz w:val="20"/>
          <w:szCs w:val="20"/>
          <w:color w:val="auto"/>
        </w:rPr>
      </w:pPr>
    </w:p>
    <w:tbl>
      <w:tblPr>
        <w:tblLayout w:type="fixed"/>
        <w:tblInd w:w="1360" w:type="dxa"/>
        <w:tblCellMar>
          <w:top w:w="0" w:type="dxa"/>
          <w:left w:w="0" w:type="dxa"/>
          <w:bottom w:w="0" w:type="dxa"/>
          <w:right w:w="0" w:type="dxa"/>
        </w:tblCellMar>
      </w:tblPr>
      <w:tr>
        <w:trPr>
          <w:trHeight w:val="139"/>
        </w:trPr>
        <w:tc>
          <w:tcPr>
            <w:tcW w:w="1080" w:type="dxa"/>
            <w:vAlign w:val="bottom"/>
            <w:tcBorders>
              <w:top w:val="single" w:sz="8" w:color="009CCC"/>
            </w:tcBorders>
          </w:tcPr>
          <w:p>
            <w:pPr>
              <w:spacing w:after="0"/>
              <w:rPr>
                <w:sz w:val="12"/>
                <w:szCs w:val="12"/>
                <w:color w:val="auto"/>
              </w:rPr>
            </w:pPr>
          </w:p>
        </w:tc>
        <w:tc>
          <w:tcPr>
            <w:tcW w:w="440" w:type="dxa"/>
            <w:vAlign w:val="bottom"/>
            <w:tcBorders>
              <w:top w:val="single" w:sz="8" w:color="009CCC"/>
            </w:tcBorders>
          </w:tcPr>
          <w:p>
            <w:pPr>
              <w:spacing w:after="0"/>
              <w:rPr>
                <w:sz w:val="12"/>
                <w:szCs w:val="12"/>
                <w:color w:val="auto"/>
              </w:rPr>
            </w:pPr>
          </w:p>
        </w:tc>
        <w:tc>
          <w:tcPr>
            <w:tcW w:w="160" w:type="dxa"/>
            <w:vAlign w:val="bottom"/>
            <w:tcBorders>
              <w:top w:val="single" w:sz="8" w:color="009CCC"/>
            </w:tcBorders>
          </w:tcPr>
          <w:p>
            <w:pPr>
              <w:spacing w:after="0"/>
              <w:rPr>
                <w:sz w:val="12"/>
                <w:szCs w:val="12"/>
                <w:color w:val="auto"/>
              </w:rPr>
            </w:pPr>
          </w:p>
        </w:tc>
        <w:tc>
          <w:tcPr>
            <w:tcW w:w="580" w:type="dxa"/>
            <w:vAlign w:val="bottom"/>
            <w:tcBorders>
              <w:top w:val="single" w:sz="8" w:color="009CCC"/>
            </w:tcBorders>
          </w:tcPr>
          <w:p>
            <w:pPr>
              <w:spacing w:after="0"/>
              <w:rPr>
                <w:sz w:val="12"/>
                <w:szCs w:val="12"/>
                <w:color w:val="auto"/>
              </w:rPr>
            </w:pPr>
          </w:p>
        </w:tc>
        <w:tc>
          <w:tcPr>
            <w:tcW w:w="260" w:type="dxa"/>
            <w:vAlign w:val="bottom"/>
            <w:tcBorders>
              <w:top w:val="single" w:sz="8" w:color="009CCC"/>
            </w:tcBorders>
          </w:tcPr>
          <w:p>
            <w:pPr>
              <w:spacing w:after="0"/>
              <w:rPr>
                <w:sz w:val="12"/>
                <w:szCs w:val="12"/>
                <w:color w:val="auto"/>
              </w:rPr>
            </w:pPr>
          </w:p>
        </w:tc>
        <w:tc>
          <w:tcPr>
            <w:tcW w:w="260" w:type="dxa"/>
            <w:vAlign w:val="bottom"/>
            <w:tcBorders>
              <w:top w:val="single" w:sz="8" w:color="009CCC"/>
            </w:tcBorders>
          </w:tcPr>
          <w:p>
            <w:pPr>
              <w:spacing w:after="0"/>
              <w:rPr>
                <w:sz w:val="12"/>
                <w:szCs w:val="12"/>
                <w:color w:val="auto"/>
              </w:rPr>
            </w:pPr>
          </w:p>
        </w:tc>
        <w:tc>
          <w:tcPr>
            <w:tcW w:w="180" w:type="dxa"/>
            <w:vAlign w:val="bottom"/>
            <w:tcBorders>
              <w:top w:val="single" w:sz="8" w:color="009CCC"/>
            </w:tcBorders>
          </w:tcPr>
          <w:p>
            <w:pPr>
              <w:spacing w:after="0"/>
              <w:rPr>
                <w:sz w:val="12"/>
                <w:szCs w:val="12"/>
                <w:color w:val="auto"/>
              </w:rPr>
            </w:pPr>
          </w:p>
        </w:tc>
        <w:tc>
          <w:tcPr>
            <w:tcW w:w="640" w:type="dxa"/>
            <w:vAlign w:val="bottom"/>
            <w:tcBorders>
              <w:top w:val="single" w:sz="8" w:color="009CCC"/>
            </w:tcBorders>
          </w:tcPr>
          <w:p>
            <w:pPr>
              <w:spacing w:after="0"/>
              <w:rPr>
                <w:sz w:val="12"/>
                <w:szCs w:val="12"/>
                <w:color w:val="auto"/>
              </w:rPr>
            </w:pPr>
          </w:p>
        </w:tc>
        <w:tc>
          <w:tcPr>
            <w:tcW w:w="180" w:type="dxa"/>
            <w:vAlign w:val="bottom"/>
            <w:tcBorders>
              <w:top w:val="single" w:sz="8" w:color="009CCC"/>
            </w:tcBorders>
          </w:tcPr>
          <w:p>
            <w:pPr>
              <w:spacing w:after="0"/>
              <w:rPr>
                <w:sz w:val="12"/>
                <w:szCs w:val="12"/>
                <w:color w:val="auto"/>
              </w:rPr>
            </w:pPr>
          </w:p>
        </w:tc>
        <w:tc>
          <w:tcPr>
            <w:tcW w:w="640" w:type="dxa"/>
            <w:vAlign w:val="bottom"/>
            <w:tcBorders>
              <w:top w:val="single" w:sz="8" w:color="009CCC"/>
            </w:tcBorders>
          </w:tcPr>
          <w:p>
            <w:pPr>
              <w:spacing w:after="0"/>
              <w:rPr>
                <w:sz w:val="12"/>
                <w:szCs w:val="12"/>
                <w:color w:val="auto"/>
              </w:rPr>
            </w:pPr>
          </w:p>
        </w:tc>
        <w:tc>
          <w:tcPr>
            <w:tcW w:w="280" w:type="dxa"/>
            <w:vAlign w:val="bottom"/>
            <w:tcBorders>
              <w:top w:val="single" w:sz="8" w:color="009CCC"/>
            </w:tcBorders>
          </w:tcPr>
          <w:p>
            <w:pPr>
              <w:spacing w:after="0"/>
              <w:rPr>
                <w:sz w:val="12"/>
                <w:szCs w:val="12"/>
                <w:color w:val="auto"/>
              </w:rPr>
            </w:pPr>
          </w:p>
        </w:tc>
        <w:tc>
          <w:tcPr>
            <w:tcW w:w="820" w:type="dxa"/>
            <w:vAlign w:val="bottom"/>
            <w:tcBorders>
              <w:top w:val="single" w:sz="8" w:color="009CCC"/>
            </w:tcBorders>
          </w:tcPr>
          <w:p>
            <w:pPr>
              <w:spacing w:after="0"/>
              <w:rPr>
                <w:sz w:val="12"/>
                <w:szCs w:val="12"/>
                <w:color w:val="auto"/>
              </w:rPr>
            </w:pPr>
          </w:p>
        </w:tc>
        <w:tc>
          <w:tcPr>
            <w:tcW w:w="220" w:type="dxa"/>
            <w:vAlign w:val="bottom"/>
            <w:tcBorders>
              <w:top w:val="single" w:sz="8" w:color="009CCC"/>
            </w:tcBorders>
          </w:tcPr>
          <w:p>
            <w:pPr>
              <w:spacing w:after="0"/>
              <w:rPr>
                <w:sz w:val="12"/>
                <w:szCs w:val="12"/>
                <w:color w:val="auto"/>
              </w:rPr>
            </w:pPr>
          </w:p>
        </w:tc>
        <w:tc>
          <w:tcPr>
            <w:tcW w:w="780" w:type="dxa"/>
            <w:vAlign w:val="bottom"/>
            <w:tcBorders>
              <w:top w:val="single" w:sz="8" w:color="009CCC"/>
            </w:tcBorders>
          </w:tcPr>
          <w:p>
            <w:pPr>
              <w:jc w:val="right"/>
              <w:spacing w:after="0"/>
              <w:rPr>
                <w:sz w:val="20"/>
                <w:szCs w:val="20"/>
                <w:color w:val="auto"/>
              </w:rPr>
            </w:pPr>
            <w:r>
              <w:rPr>
                <w:rFonts w:ascii="Arial" w:cs="Arial" w:eastAsia="Arial" w:hAnsi="Arial"/>
                <w:sz w:val="12"/>
                <w:szCs w:val="12"/>
                <w:b w:val="1"/>
                <w:bCs w:val="1"/>
                <w:color w:val="009CCC"/>
              </w:rPr>
              <w:t>Change in</w:t>
            </w:r>
          </w:p>
        </w:tc>
        <w:tc>
          <w:tcPr>
            <w:tcW w:w="340" w:type="dxa"/>
            <w:vAlign w:val="bottom"/>
            <w:tcBorders>
              <w:top w:val="single" w:sz="8" w:color="009CCC"/>
            </w:tcBorders>
          </w:tcPr>
          <w:p>
            <w:pPr>
              <w:spacing w:after="0"/>
              <w:rPr>
                <w:sz w:val="12"/>
                <w:szCs w:val="12"/>
                <w:color w:val="auto"/>
              </w:rPr>
            </w:pPr>
          </w:p>
        </w:tc>
        <w:tc>
          <w:tcPr>
            <w:tcW w:w="760" w:type="dxa"/>
            <w:vAlign w:val="bottom"/>
            <w:tcBorders>
              <w:top w:val="single" w:sz="8" w:color="009CCC"/>
            </w:tcBorders>
          </w:tcPr>
          <w:p>
            <w:pPr>
              <w:spacing w:after="0"/>
              <w:rPr>
                <w:sz w:val="12"/>
                <w:szCs w:val="12"/>
                <w:color w:val="auto"/>
              </w:rPr>
            </w:pPr>
          </w:p>
        </w:tc>
        <w:tc>
          <w:tcPr>
            <w:tcW w:w="180" w:type="dxa"/>
            <w:vAlign w:val="bottom"/>
            <w:tcBorders>
              <w:top w:val="single" w:sz="8" w:color="009CCC"/>
            </w:tcBorders>
          </w:tcPr>
          <w:p>
            <w:pPr>
              <w:spacing w:after="0"/>
              <w:rPr>
                <w:sz w:val="12"/>
                <w:szCs w:val="12"/>
                <w:color w:val="auto"/>
              </w:rPr>
            </w:pPr>
          </w:p>
        </w:tc>
        <w:tc>
          <w:tcPr>
            <w:tcW w:w="640" w:type="dxa"/>
            <w:vAlign w:val="bottom"/>
            <w:tcBorders>
              <w:top w:val="single" w:sz="8" w:color="009CCC"/>
            </w:tcBorders>
          </w:tcPr>
          <w:p>
            <w:pPr>
              <w:spacing w:after="0"/>
              <w:rPr>
                <w:sz w:val="12"/>
                <w:szCs w:val="12"/>
                <w:color w:val="auto"/>
              </w:rPr>
            </w:pPr>
          </w:p>
        </w:tc>
      </w:tr>
      <w:tr>
        <w:trPr>
          <w:trHeight w:val="137"/>
        </w:trPr>
        <w:tc>
          <w:tcPr>
            <w:tcW w:w="10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jc w:val="right"/>
              <w:spacing w:after="0"/>
              <w:rPr>
                <w:sz w:val="20"/>
                <w:szCs w:val="20"/>
                <w:color w:val="auto"/>
              </w:rPr>
            </w:pPr>
            <w:r>
              <w:rPr>
                <w:rFonts w:ascii="Arial" w:cs="Arial" w:eastAsia="Arial" w:hAnsi="Arial"/>
                <w:sz w:val="12"/>
                <w:szCs w:val="12"/>
                <w:b w:val="1"/>
                <w:bCs w:val="1"/>
                <w:color w:val="009CCC"/>
              </w:rPr>
              <w:t>Pension</w:t>
            </w:r>
          </w:p>
        </w:tc>
        <w:tc>
          <w:tcPr>
            <w:tcW w:w="3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37"/>
        </w:trPr>
        <w:tc>
          <w:tcPr>
            <w:tcW w:w="10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jc w:val="right"/>
              <w:spacing w:after="0"/>
              <w:rPr>
                <w:sz w:val="20"/>
                <w:szCs w:val="20"/>
                <w:color w:val="auto"/>
              </w:rPr>
            </w:pPr>
            <w:r>
              <w:rPr>
                <w:rFonts w:ascii="Arial" w:cs="Arial" w:eastAsia="Arial" w:hAnsi="Arial"/>
                <w:sz w:val="12"/>
                <w:szCs w:val="12"/>
                <w:b w:val="1"/>
                <w:bCs w:val="1"/>
                <w:color w:val="009CCC"/>
              </w:rPr>
              <w:t>Value</w:t>
            </w:r>
          </w:p>
        </w:tc>
        <w:tc>
          <w:tcPr>
            <w:tcW w:w="3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37"/>
        </w:trPr>
        <w:tc>
          <w:tcPr>
            <w:tcW w:w="10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jc w:val="right"/>
              <w:spacing w:after="0"/>
              <w:rPr>
                <w:sz w:val="20"/>
                <w:szCs w:val="20"/>
                <w:color w:val="auto"/>
              </w:rPr>
            </w:pPr>
            <w:r>
              <w:rPr>
                <w:rFonts w:ascii="Arial" w:cs="Arial" w:eastAsia="Arial" w:hAnsi="Arial"/>
                <w:sz w:val="12"/>
                <w:szCs w:val="12"/>
                <w:b w:val="1"/>
                <w:bCs w:val="1"/>
                <w:color w:val="009CCC"/>
              </w:rPr>
              <w:t>and Non</w:t>
            </w:r>
          </w:p>
        </w:tc>
        <w:tc>
          <w:tcPr>
            <w:tcW w:w="3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37"/>
        </w:trPr>
        <w:tc>
          <w:tcPr>
            <w:tcW w:w="10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jc w:val="right"/>
              <w:spacing w:after="0"/>
              <w:rPr>
                <w:sz w:val="20"/>
                <w:szCs w:val="20"/>
                <w:color w:val="auto"/>
              </w:rPr>
            </w:pPr>
            <w:r>
              <w:rPr>
                <w:rFonts w:ascii="Arial" w:cs="Arial" w:eastAsia="Arial" w:hAnsi="Arial"/>
                <w:sz w:val="12"/>
                <w:szCs w:val="12"/>
                <w:b w:val="1"/>
                <w:bCs w:val="1"/>
                <w:color w:val="009CCC"/>
              </w:rPr>
              <w:t>Qualified</w:t>
            </w:r>
          </w:p>
        </w:tc>
        <w:tc>
          <w:tcPr>
            <w:tcW w:w="3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37"/>
        </w:trPr>
        <w:tc>
          <w:tcPr>
            <w:tcW w:w="10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20" w:type="dxa"/>
            <w:vAlign w:val="bottom"/>
          </w:tcPr>
          <w:p>
            <w:pPr>
              <w:jc w:val="right"/>
              <w:spacing w:after="0"/>
              <w:rPr>
                <w:sz w:val="20"/>
                <w:szCs w:val="20"/>
                <w:color w:val="auto"/>
              </w:rPr>
            </w:pPr>
            <w:r>
              <w:rPr>
                <w:rFonts w:ascii="Arial" w:cs="Arial" w:eastAsia="Arial" w:hAnsi="Arial"/>
                <w:sz w:val="12"/>
                <w:szCs w:val="12"/>
                <w:b w:val="1"/>
                <w:bCs w:val="1"/>
                <w:color w:val="009CCC"/>
              </w:rPr>
              <w:t>Non Equity</w:t>
            </w:r>
          </w:p>
        </w:tc>
        <w:tc>
          <w:tcPr>
            <w:tcW w:w="220" w:type="dxa"/>
            <w:vAlign w:val="bottom"/>
          </w:tcPr>
          <w:p>
            <w:pPr>
              <w:spacing w:after="0"/>
              <w:rPr>
                <w:sz w:val="11"/>
                <w:szCs w:val="11"/>
                <w:color w:val="auto"/>
              </w:rPr>
            </w:pPr>
          </w:p>
        </w:tc>
        <w:tc>
          <w:tcPr>
            <w:tcW w:w="780" w:type="dxa"/>
            <w:vAlign w:val="bottom"/>
          </w:tcPr>
          <w:p>
            <w:pPr>
              <w:jc w:val="right"/>
              <w:spacing w:after="0"/>
              <w:rPr>
                <w:sz w:val="20"/>
                <w:szCs w:val="20"/>
                <w:color w:val="auto"/>
              </w:rPr>
            </w:pPr>
            <w:r>
              <w:rPr>
                <w:rFonts w:ascii="Arial" w:cs="Arial" w:eastAsia="Arial" w:hAnsi="Arial"/>
                <w:sz w:val="12"/>
                <w:szCs w:val="12"/>
                <w:b w:val="1"/>
                <w:bCs w:val="1"/>
                <w:color w:val="009CCC"/>
              </w:rPr>
              <w:t>Deferred</w:t>
            </w:r>
          </w:p>
        </w:tc>
        <w:tc>
          <w:tcPr>
            <w:tcW w:w="3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35"/>
        </w:trPr>
        <w:tc>
          <w:tcPr>
            <w:tcW w:w="10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jc w:val="right"/>
              <w:spacing w:after="0" w:line="135" w:lineRule="exact"/>
              <w:rPr>
                <w:sz w:val="20"/>
                <w:szCs w:val="20"/>
                <w:color w:val="auto"/>
              </w:rPr>
            </w:pPr>
            <w:r>
              <w:rPr>
                <w:rFonts w:ascii="Arial" w:cs="Arial" w:eastAsia="Arial" w:hAnsi="Arial"/>
                <w:sz w:val="12"/>
                <w:szCs w:val="12"/>
                <w:b w:val="1"/>
                <w:bCs w:val="1"/>
                <w:color w:val="009CCC"/>
              </w:rPr>
              <w:t>Stock</w:t>
            </w:r>
          </w:p>
        </w:tc>
        <w:tc>
          <w:tcPr>
            <w:tcW w:w="180" w:type="dxa"/>
            <w:vAlign w:val="bottom"/>
          </w:tcPr>
          <w:p>
            <w:pPr>
              <w:spacing w:after="0"/>
              <w:rPr>
                <w:sz w:val="11"/>
                <w:szCs w:val="11"/>
                <w:color w:val="auto"/>
              </w:rPr>
            </w:pPr>
          </w:p>
        </w:tc>
        <w:tc>
          <w:tcPr>
            <w:tcW w:w="640" w:type="dxa"/>
            <w:vAlign w:val="bottom"/>
          </w:tcPr>
          <w:p>
            <w:pPr>
              <w:jc w:val="right"/>
              <w:spacing w:after="0" w:line="135" w:lineRule="exact"/>
              <w:rPr>
                <w:sz w:val="20"/>
                <w:szCs w:val="20"/>
                <w:color w:val="auto"/>
              </w:rPr>
            </w:pPr>
            <w:r>
              <w:rPr>
                <w:rFonts w:ascii="Arial" w:cs="Arial" w:eastAsia="Arial" w:hAnsi="Arial"/>
                <w:sz w:val="12"/>
                <w:szCs w:val="12"/>
                <w:b w:val="1"/>
                <w:bCs w:val="1"/>
                <w:color w:val="009CCC"/>
              </w:rPr>
              <w:t>Option</w:t>
            </w:r>
          </w:p>
        </w:tc>
        <w:tc>
          <w:tcPr>
            <w:tcW w:w="280" w:type="dxa"/>
            <w:vAlign w:val="bottom"/>
          </w:tcPr>
          <w:p>
            <w:pPr>
              <w:spacing w:after="0"/>
              <w:rPr>
                <w:sz w:val="11"/>
                <w:szCs w:val="11"/>
                <w:color w:val="auto"/>
              </w:rPr>
            </w:pPr>
          </w:p>
        </w:tc>
        <w:tc>
          <w:tcPr>
            <w:tcW w:w="820" w:type="dxa"/>
            <w:vAlign w:val="bottom"/>
          </w:tcPr>
          <w:p>
            <w:pPr>
              <w:jc w:val="right"/>
              <w:spacing w:after="0" w:line="135" w:lineRule="exact"/>
              <w:rPr>
                <w:sz w:val="20"/>
                <w:szCs w:val="20"/>
                <w:color w:val="auto"/>
              </w:rPr>
            </w:pPr>
            <w:r>
              <w:rPr>
                <w:rFonts w:ascii="Arial" w:cs="Arial" w:eastAsia="Arial" w:hAnsi="Arial"/>
                <w:sz w:val="12"/>
                <w:szCs w:val="12"/>
                <w:b w:val="1"/>
                <w:bCs w:val="1"/>
                <w:color w:val="009CCC"/>
              </w:rPr>
              <w:t>Incentive</w:t>
            </w:r>
          </w:p>
        </w:tc>
        <w:tc>
          <w:tcPr>
            <w:tcW w:w="1000" w:type="dxa"/>
            <w:vAlign w:val="bottom"/>
            <w:gridSpan w:val="2"/>
          </w:tcPr>
          <w:p>
            <w:pPr>
              <w:ind w:left="80"/>
              <w:spacing w:after="0" w:line="135" w:lineRule="exact"/>
              <w:rPr>
                <w:sz w:val="20"/>
                <w:szCs w:val="20"/>
                <w:color w:val="auto"/>
              </w:rPr>
            </w:pPr>
            <w:r>
              <w:rPr>
                <w:rFonts w:ascii="Arial" w:cs="Arial" w:eastAsia="Arial" w:hAnsi="Arial"/>
                <w:sz w:val="12"/>
                <w:szCs w:val="12"/>
                <w:b w:val="1"/>
                <w:bCs w:val="1"/>
                <w:color w:val="009CCC"/>
              </w:rPr>
              <w:t>Compensation</w:t>
            </w:r>
          </w:p>
        </w:tc>
        <w:tc>
          <w:tcPr>
            <w:tcW w:w="340" w:type="dxa"/>
            <w:vAlign w:val="bottom"/>
          </w:tcPr>
          <w:p>
            <w:pPr>
              <w:spacing w:after="0"/>
              <w:rPr>
                <w:sz w:val="11"/>
                <w:szCs w:val="11"/>
                <w:color w:val="auto"/>
              </w:rPr>
            </w:pPr>
          </w:p>
        </w:tc>
        <w:tc>
          <w:tcPr>
            <w:tcW w:w="760" w:type="dxa"/>
            <w:vAlign w:val="bottom"/>
          </w:tcPr>
          <w:p>
            <w:pPr>
              <w:jc w:val="right"/>
              <w:spacing w:after="0" w:line="135" w:lineRule="exact"/>
              <w:rPr>
                <w:sz w:val="20"/>
                <w:szCs w:val="20"/>
                <w:color w:val="auto"/>
              </w:rPr>
            </w:pPr>
            <w:r>
              <w:rPr>
                <w:rFonts w:ascii="Arial" w:cs="Arial" w:eastAsia="Arial" w:hAnsi="Arial"/>
                <w:sz w:val="12"/>
                <w:szCs w:val="12"/>
                <w:b w:val="1"/>
                <w:bCs w:val="1"/>
                <w:color w:val="009CCC"/>
              </w:rPr>
              <w:t>All Other</w:t>
            </w:r>
          </w:p>
        </w:tc>
        <w:tc>
          <w:tcPr>
            <w:tcW w:w="180" w:type="dxa"/>
            <w:vAlign w:val="bottom"/>
          </w:tcPr>
          <w:p>
            <w:pPr>
              <w:spacing w:after="0"/>
              <w:rPr>
                <w:sz w:val="11"/>
                <w:szCs w:val="11"/>
                <w:color w:val="auto"/>
              </w:rPr>
            </w:pPr>
          </w:p>
        </w:tc>
        <w:tc>
          <w:tcPr>
            <w:tcW w:w="640" w:type="dxa"/>
            <w:vAlign w:val="bottom"/>
          </w:tcPr>
          <w:p>
            <w:pPr>
              <w:spacing w:after="0"/>
              <w:rPr>
                <w:sz w:val="11"/>
                <w:szCs w:val="11"/>
                <w:color w:val="auto"/>
              </w:rPr>
            </w:pPr>
          </w:p>
        </w:tc>
      </w:tr>
      <w:tr>
        <w:trPr>
          <w:trHeight w:val="173"/>
        </w:trPr>
        <w:tc>
          <w:tcPr>
            <w:tcW w:w="108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44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Year</w:t>
            </w:r>
          </w:p>
        </w:tc>
        <w:tc>
          <w:tcPr>
            <w:tcW w:w="160" w:type="dxa"/>
            <w:vAlign w:val="bottom"/>
            <w:tcBorders>
              <w:bottom w:val="single" w:sz="8" w:color="7B7C80"/>
            </w:tcBorders>
          </w:tcPr>
          <w:p>
            <w:pPr>
              <w:spacing w:after="0"/>
              <w:rPr>
                <w:sz w:val="15"/>
                <w:szCs w:val="15"/>
                <w:color w:val="auto"/>
              </w:rPr>
            </w:pPr>
          </w:p>
        </w:tc>
        <w:tc>
          <w:tcPr>
            <w:tcW w:w="580" w:type="dxa"/>
            <w:vAlign w:val="bottom"/>
            <w:tcBorders>
              <w:bottom w:val="single" w:sz="8" w:color="7B7C80"/>
            </w:tcBorders>
          </w:tcPr>
          <w:p>
            <w:pPr>
              <w:jc w:val="right"/>
              <w:ind w:right="19"/>
              <w:spacing w:after="0" w:line="173" w:lineRule="exact"/>
              <w:rPr>
                <w:sz w:val="20"/>
                <w:szCs w:val="20"/>
                <w:color w:val="auto"/>
              </w:rPr>
            </w:pPr>
            <w:r>
              <w:rPr>
                <w:rFonts w:ascii="Arial" w:cs="Arial" w:eastAsia="Arial" w:hAnsi="Arial"/>
                <w:sz w:val="12"/>
                <w:szCs w:val="12"/>
                <w:b w:val="1"/>
                <w:bCs w:val="1"/>
                <w:color w:val="009CCC"/>
                <w:w w:val="94"/>
              </w:rPr>
              <w:t>Salary</w:t>
            </w:r>
            <w:r>
              <w:rPr>
                <w:rFonts w:ascii="Arial" w:cs="Arial" w:eastAsia="Arial" w:hAnsi="Arial"/>
                <w:sz w:val="18"/>
                <w:szCs w:val="18"/>
                <w:b w:val="1"/>
                <w:bCs w:val="1"/>
                <w:color w:val="009CCC"/>
                <w:w w:val="94"/>
                <w:vertAlign w:val="superscript"/>
              </w:rPr>
              <w:t>(1)</w:t>
            </w:r>
          </w:p>
        </w:tc>
        <w:tc>
          <w:tcPr>
            <w:tcW w:w="520" w:type="dxa"/>
            <w:vAlign w:val="bottom"/>
            <w:tcBorders>
              <w:bottom w:val="single" w:sz="8" w:color="7B7C80"/>
            </w:tcBorders>
            <w:gridSpan w:val="2"/>
          </w:tcPr>
          <w:p>
            <w:pPr>
              <w:ind w:left="80"/>
              <w:spacing w:after="0"/>
              <w:rPr>
                <w:sz w:val="20"/>
                <w:szCs w:val="20"/>
                <w:color w:val="auto"/>
              </w:rPr>
            </w:pPr>
            <w:r>
              <w:rPr>
                <w:rFonts w:ascii="Arial" w:cs="Arial" w:eastAsia="Arial" w:hAnsi="Arial"/>
                <w:sz w:val="12"/>
                <w:szCs w:val="12"/>
                <w:b w:val="1"/>
                <w:bCs w:val="1"/>
                <w:color w:val="009CCC"/>
              </w:rPr>
              <w:t>Bonus</w:t>
            </w:r>
          </w:p>
        </w:tc>
        <w:tc>
          <w:tcPr>
            <w:tcW w:w="820" w:type="dxa"/>
            <w:vAlign w:val="bottom"/>
            <w:tcBorders>
              <w:bottom w:val="single" w:sz="8" w:color="7B7C80"/>
            </w:tcBorders>
            <w:gridSpan w:val="2"/>
          </w:tcPr>
          <w:p>
            <w:pPr>
              <w:jc w:val="right"/>
              <w:spacing w:after="0" w:line="173" w:lineRule="exact"/>
              <w:rPr>
                <w:sz w:val="20"/>
                <w:szCs w:val="20"/>
                <w:color w:val="auto"/>
              </w:rPr>
            </w:pPr>
            <w:r>
              <w:rPr>
                <w:rFonts w:ascii="Arial" w:cs="Arial" w:eastAsia="Arial" w:hAnsi="Arial"/>
                <w:sz w:val="20"/>
                <w:szCs w:val="20"/>
                <w:b w:val="1"/>
                <w:bCs w:val="1"/>
                <w:color w:val="009CCC"/>
                <w:vertAlign w:val="subscript"/>
              </w:rPr>
              <w:t>Awards</w:t>
            </w:r>
            <w:r>
              <w:rPr>
                <w:rFonts w:ascii="Arial" w:cs="Arial" w:eastAsia="Arial" w:hAnsi="Arial"/>
                <w:sz w:val="8"/>
                <w:szCs w:val="8"/>
                <w:b w:val="1"/>
                <w:bCs w:val="1"/>
                <w:color w:val="009CCC"/>
              </w:rPr>
              <w:t>(2)(3)</w:t>
            </w:r>
          </w:p>
        </w:tc>
        <w:tc>
          <w:tcPr>
            <w:tcW w:w="180" w:type="dxa"/>
            <w:vAlign w:val="bottom"/>
            <w:tcBorders>
              <w:bottom w:val="single" w:sz="8" w:color="7B7C80"/>
            </w:tcBorders>
          </w:tcPr>
          <w:p>
            <w:pPr>
              <w:spacing w:after="0"/>
              <w:rPr>
                <w:sz w:val="15"/>
                <w:szCs w:val="15"/>
                <w:color w:val="auto"/>
              </w:rPr>
            </w:pPr>
          </w:p>
        </w:tc>
        <w:tc>
          <w:tcPr>
            <w:tcW w:w="640" w:type="dxa"/>
            <w:vAlign w:val="bottom"/>
            <w:tcBorders>
              <w:bottom w:val="single" w:sz="8" w:color="7B7C80"/>
            </w:tcBorders>
          </w:tcPr>
          <w:p>
            <w:pPr>
              <w:jc w:val="right"/>
              <w:spacing w:after="0" w:line="173" w:lineRule="exact"/>
              <w:rPr>
                <w:sz w:val="20"/>
                <w:szCs w:val="20"/>
                <w:color w:val="auto"/>
              </w:rPr>
            </w:pPr>
            <w:r>
              <w:rPr>
                <w:rFonts w:ascii="Arial" w:cs="Arial" w:eastAsia="Arial" w:hAnsi="Arial"/>
                <w:sz w:val="12"/>
                <w:szCs w:val="12"/>
                <w:b w:val="1"/>
                <w:bCs w:val="1"/>
                <w:color w:val="009CCC"/>
                <w:w w:val="96"/>
              </w:rPr>
              <w:t>Awards</w:t>
            </w:r>
            <w:r>
              <w:rPr>
                <w:rFonts w:ascii="Arial" w:cs="Arial" w:eastAsia="Arial" w:hAnsi="Arial"/>
                <w:sz w:val="18"/>
                <w:szCs w:val="18"/>
                <w:b w:val="1"/>
                <w:bCs w:val="1"/>
                <w:color w:val="009CCC"/>
                <w:w w:val="96"/>
                <w:vertAlign w:val="superscript"/>
              </w:rPr>
              <w:t>(2)</w:t>
            </w:r>
          </w:p>
        </w:tc>
        <w:tc>
          <w:tcPr>
            <w:tcW w:w="1100" w:type="dxa"/>
            <w:vAlign w:val="bottom"/>
            <w:tcBorders>
              <w:bottom w:val="single" w:sz="8" w:color="7B7C80"/>
            </w:tcBorders>
            <w:gridSpan w:val="2"/>
          </w:tcPr>
          <w:p>
            <w:pPr>
              <w:ind w:left="80"/>
              <w:spacing w:after="0" w:line="173" w:lineRule="exact"/>
              <w:rPr>
                <w:sz w:val="20"/>
                <w:szCs w:val="20"/>
                <w:color w:val="auto"/>
              </w:rPr>
            </w:pPr>
            <w:r>
              <w:rPr>
                <w:rFonts w:ascii="Arial" w:cs="Arial" w:eastAsia="Arial" w:hAnsi="Arial"/>
                <w:sz w:val="12"/>
                <w:szCs w:val="12"/>
                <w:b w:val="1"/>
                <w:bCs w:val="1"/>
                <w:color w:val="009CCC"/>
              </w:rPr>
              <w:t>Compensation</w:t>
            </w:r>
            <w:r>
              <w:rPr>
                <w:rFonts w:ascii="Arial" w:cs="Arial" w:eastAsia="Arial" w:hAnsi="Arial"/>
                <w:sz w:val="18"/>
                <w:szCs w:val="18"/>
                <w:b w:val="1"/>
                <w:bCs w:val="1"/>
                <w:color w:val="009CCC"/>
                <w:vertAlign w:val="superscript"/>
              </w:rPr>
              <w:t>(4)</w:t>
            </w:r>
          </w:p>
        </w:tc>
        <w:tc>
          <w:tcPr>
            <w:tcW w:w="220" w:type="dxa"/>
            <w:vAlign w:val="bottom"/>
            <w:tcBorders>
              <w:bottom w:val="single" w:sz="8" w:color="7B7C80"/>
            </w:tcBorders>
          </w:tcPr>
          <w:p>
            <w:pPr>
              <w:spacing w:after="0"/>
              <w:rPr>
                <w:sz w:val="15"/>
                <w:szCs w:val="15"/>
                <w:color w:val="auto"/>
              </w:rPr>
            </w:pPr>
          </w:p>
        </w:tc>
        <w:tc>
          <w:tcPr>
            <w:tcW w:w="780" w:type="dxa"/>
            <w:vAlign w:val="bottom"/>
            <w:tcBorders>
              <w:bottom w:val="single" w:sz="8" w:color="7B7C80"/>
            </w:tcBorders>
          </w:tcPr>
          <w:p>
            <w:pPr>
              <w:jc w:val="right"/>
              <w:spacing w:after="0" w:line="173" w:lineRule="exact"/>
              <w:rPr>
                <w:sz w:val="20"/>
                <w:szCs w:val="20"/>
                <w:color w:val="auto"/>
              </w:rPr>
            </w:pPr>
            <w:r>
              <w:rPr>
                <w:rFonts w:ascii="Arial" w:cs="Arial" w:eastAsia="Arial" w:hAnsi="Arial"/>
                <w:sz w:val="12"/>
                <w:szCs w:val="12"/>
                <w:b w:val="1"/>
                <w:bCs w:val="1"/>
                <w:color w:val="009CCC"/>
              </w:rPr>
              <w:t>Earnings</w:t>
            </w:r>
            <w:r>
              <w:rPr>
                <w:rFonts w:ascii="Arial" w:cs="Arial" w:eastAsia="Arial" w:hAnsi="Arial"/>
                <w:sz w:val="18"/>
                <w:szCs w:val="18"/>
                <w:b w:val="1"/>
                <w:bCs w:val="1"/>
                <w:color w:val="009CCC"/>
                <w:vertAlign w:val="superscript"/>
              </w:rPr>
              <w:t>(5)</w:t>
            </w:r>
          </w:p>
        </w:tc>
        <w:tc>
          <w:tcPr>
            <w:tcW w:w="1100" w:type="dxa"/>
            <w:vAlign w:val="bottom"/>
            <w:tcBorders>
              <w:bottom w:val="single" w:sz="8" w:color="7B7C80"/>
            </w:tcBorders>
            <w:gridSpan w:val="2"/>
          </w:tcPr>
          <w:p>
            <w:pPr>
              <w:ind w:left="80"/>
              <w:spacing w:after="0" w:line="173" w:lineRule="exact"/>
              <w:rPr>
                <w:sz w:val="20"/>
                <w:szCs w:val="20"/>
                <w:color w:val="auto"/>
              </w:rPr>
            </w:pPr>
            <w:r>
              <w:rPr>
                <w:rFonts w:ascii="Arial" w:cs="Arial" w:eastAsia="Arial" w:hAnsi="Arial"/>
                <w:sz w:val="12"/>
                <w:szCs w:val="12"/>
                <w:b w:val="1"/>
                <w:bCs w:val="1"/>
                <w:color w:val="009CCC"/>
              </w:rPr>
              <w:t>Compensation</w:t>
            </w:r>
            <w:r>
              <w:rPr>
                <w:rFonts w:ascii="Arial" w:cs="Arial" w:eastAsia="Arial" w:hAnsi="Arial"/>
                <w:sz w:val="18"/>
                <w:szCs w:val="18"/>
                <w:b w:val="1"/>
                <w:bCs w:val="1"/>
                <w:color w:val="009CCC"/>
                <w:vertAlign w:val="superscript"/>
              </w:rPr>
              <w:t>(6)</w:t>
            </w:r>
          </w:p>
        </w:tc>
        <w:tc>
          <w:tcPr>
            <w:tcW w:w="180" w:type="dxa"/>
            <w:vAlign w:val="bottom"/>
            <w:tcBorders>
              <w:bottom w:val="single" w:sz="8" w:color="7B7C80"/>
            </w:tcBorders>
          </w:tcPr>
          <w:p>
            <w:pPr>
              <w:spacing w:after="0"/>
              <w:rPr>
                <w:sz w:val="15"/>
                <w:szCs w:val="15"/>
                <w:color w:val="auto"/>
              </w:rPr>
            </w:pPr>
          </w:p>
        </w:tc>
        <w:tc>
          <w:tcPr>
            <w:tcW w:w="640" w:type="dxa"/>
            <w:vAlign w:val="bottom"/>
            <w:tcBorders>
              <w:bottom w:val="single" w:sz="8" w:color="7B7C80"/>
            </w:tcBorders>
          </w:tcPr>
          <w:p>
            <w:pPr>
              <w:jc w:val="right"/>
              <w:spacing w:after="0" w:line="173" w:lineRule="exact"/>
              <w:rPr>
                <w:sz w:val="20"/>
                <w:szCs w:val="20"/>
                <w:color w:val="auto"/>
              </w:rPr>
            </w:pPr>
            <w:r>
              <w:rPr>
                <w:rFonts w:ascii="Arial" w:cs="Arial" w:eastAsia="Arial" w:hAnsi="Arial"/>
                <w:sz w:val="12"/>
                <w:szCs w:val="12"/>
                <w:b w:val="1"/>
                <w:bCs w:val="1"/>
                <w:color w:val="009CCC"/>
              </w:rPr>
              <w:t>Total</w:t>
            </w:r>
            <w:r>
              <w:rPr>
                <w:rFonts w:ascii="Arial" w:cs="Arial" w:eastAsia="Arial" w:hAnsi="Arial"/>
                <w:sz w:val="18"/>
                <w:szCs w:val="18"/>
                <w:b w:val="1"/>
                <w:bCs w:val="1"/>
                <w:color w:val="009CCC"/>
                <w:vertAlign w:val="superscript"/>
              </w:rPr>
              <w:t>(7)</w:t>
            </w:r>
          </w:p>
        </w:tc>
      </w:tr>
      <w:tr>
        <w:trPr>
          <w:trHeight w:val="129"/>
        </w:trPr>
        <w:tc>
          <w:tcPr>
            <w:tcW w:w="1080" w:type="dxa"/>
            <w:vAlign w:val="bottom"/>
          </w:tcPr>
          <w:p>
            <w:pPr>
              <w:spacing w:after="0" w:line="129" w:lineRule="exact"/>
              <w:rPr>
                <w:sz w:val="20"/>
                <w:szCs w:val="20"/>
                <w:color w:val="auto"/>
              </w:rPr>
            </w:pPr>
            <w:r>
              <w:rPr>
                <w:rFonts w:ascii="Arial" w:cs="Arial" w:eastAsia="Arial" w:hAnsi="Arial"/>
                <w:sz w:val="12"/>
                <w:szCs w:val="12"/>
                <w:color w:val="7B7C80"/>
              </w:rPr>
              <w:t>Houston</w:t>
            </w:r>
          </w:p>
        </w:tc>
        <w:tc>
          <w:tcPr>
            <w:tcW w:w="4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2017</w:t>
            </w:r>
          </w:p>
        </w:tc>
        <w:tc>
          <w:tcPr>
            <w:tcW w:w="1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880,769</w:t>
            </w:r>
          </w:p>
        </w:tc>
        <w:tc>
          <w:tcPr>
            <w:tcW w:w="260" w:type="dxa"/>
            <w:vAlign w:val="bottom"/>
            <w:shd w:val="clear" w:color="auto" w:fill="E7E6E7"/>
          </w:tcPr>
          <w:p>
            <w:pPr>
              <w:ind w:left="60"/>
              <w:spacing w:after="0" w:line="129" w:lineRule="exact"/>
              <w:rPr>
                <w:sz w:val="20"/>
                <w:szCs w:val="20"/>
                <w:color w:val="auto"/>
              </w:rPr>
            </w:pPr>
            <w:r>
              <w:rPr>
                <w:rFonts w:ascii="Arial" w:cs="Arial" w:eastAsia="Arial" w:hAnsi="Arial"/>
                <w:sz w:val="12"/>
                <w:szCs w:val="12"/>
                <w:color w:val="7B7C80"/>
              </w:rPr>
              <w:t>$</w:t>
            </w:r>
          </w:p>
        </w:tc>
        <w:tc>
          <w:tcPr>
            <w:tcW w:w="2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2,474,976</w:t>
            </w:r>
          </w:p>
        </w:tc>
        <w:tc>
          <w:tcPr>
            <w:tcW w:w="1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2,475,016</w:t>
            </w:r>
          </w:p>
        </w:tc>
        <w:tc>
          <w:tcPr>
            <w:tcW w:w="280" w:type="dxa"/>
            <w:vAlign w:val="bottom"/>
            <w:shd w:val="clear" w:color="auto" w:fill="E7E6E7"/>
          </w:tcPr>
          <w:p>
            <w:pPr>
              <w:ind w:left="80"/>
              <w:spacing w:after="0" w:line="129" w:lineRule="exact"/>
              <w:rPr>
                <w:sz w:val="20"/>
                <w:szCs w:val="20"/>
                <w:color w:val="auto"/>
              </w:rPr>
            </w:pPr>
            <w:r>
              <w:rPr>
                <w:rFonts w:ascii="Arial" w:cs="Arial" w:eastAsia="Arial" w:hAnsi="Arial"/>
                <w:sz w:val="12"/>
                <w:szCs w:val="12"/>
                <w:color w:val="7B7C80"/>
              </w:rPr>
              <w:t>$</w:t>
            </w:r>
          </w:p>
        </w:tc>
        <w:tc>
          <w:tcPr>
            <w:tcW w:w="8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3,339,000</w:t>
            </w:r>
          </w:p>
        </w:tc>
        <w:tc>
          <w:tcPr>
            <w:tcW w:w="220" w:type="dxa"/>
            <w:vAlign w:val="bottom"/>
            <w:shd w:val="clear" w:color="auto" w:fill="E7E6E7"/>
          </w:tcPr>
          <w:p>
            <w:pPr>
              <w:ind w:left="80"/>
              <w:spacing w:after="0" w:line="129" w:lineRule="exact"/>
              <w:rPr>
                <w:sz w:val="20"/>
                <w:szCs w:val="20"/>
                <w:color w:val="auto"/>
              </w:rPr>
            </w:pPr>
            <w:r>
              <w:rPr>
                <w:rFonts w:ascii="Arial" w:cs="Arial" w:eastAsia="Arial" w:hAnsi="Arial"/>
                <w:sz w:val="12"/>
                <w:szCs w:val="12"/>
                <w:color w:val="7B7C80"/>
              </w:rPr>
              <w:t>$</w:t>
            </w:r>
          </w:p>
        </w:tc>
        <w:tc>
          <w:tcPr>
            <w:tcW w:w="7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2,552,608</w:t>
            </w:r>
          </w:p>
        </w:tc>
        <w:tc>
          <w:tcPr>
            <w:tcW w:w="340" w:type="dxa"/>
            <w:vAlign w:val="bottom"/>
            <w:shd w:val="clear" w:color="auto" w:fill="E7E6E7"/>
          </w:tcPr>
          <w:p>
            <w:pPr>
              <w:ind w:left="80"/>
              <w:spacing w:after="0" w:line="129" w:lineRule="exact"/>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236,367</w:t>
            </w:r>
          </w:p>
        </w:tc>
        <w:tc>
          <w:tcPr>
            <w:tcW w:w="1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11,958,736</w:t>
            </w:r>
          </w:p>
        </w:tc>
      </w:tr>
      <w:tr>
        <w:trPr>
          <w:trHeight w:val="183"/>
        </w:trPr>
        <w:tc>
          <w:tcPr>
            <w:tcW w:w="1080" w:type="dxa"/>
            <w:vAlign w:val="bottom"/>
          </w:tcPr>
          <w:p>
            <w:pPr>
              <w:spacing w:after="0"/>
              <w:rPr>
                <w:sz w:val="15"/>
                <w:szCs w:val="15"/>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7B7C80"/>
              </w:rPr>
              <w:t>2016</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580" w:type="dxa"/>
            <w:vAlign w:val="bottom"/>
          </w:tcPr>
          <w:p>
            <w:pPr>
              <w:jc w:val="right"/>
              <w:ind w:right="19"/>
              <w:spacing w:after="0"/>
              <w:rPr>
                <w:sz w:val="20"/>
                <w:szCs w:val="20"/>
                <w:color w:val="auto"/>
              </w:rPr>
            </w:pPr>
            <w:r>
              <w:rPr>
                <w:rFonts w:ascii="Arial" w:cs="Arial" w:eastAsia="Arial" w:hAnsi="Arial"/>
                <w:sz w:val="12"/>
                <w:szCs w:val="12"/>
                <w:color w:val="7B7C80"/>
              </w:rPr>
              <w:t>795,192</w:t>
            </w:r>
          </w:p>
        </w:tc>
        <w:tc>
          <w:tcPr>
            <w:tcW w:w="260" w:type="dxa"/>
            <w:vAlign w:val="bottom"/>
          </w:tcPr>
          <w:p>
            <w:pPr>
              <w:ind w:left="60"/>
              <w:spacing w:after="0"/>
              <w:rPr>
                <w:sz w:val="20"/>
                <w:szCs w:val="20"/>
                <w:color w:val="auto"/>
              </w:rPr>
            </w:pPr>
            <w:r>
              <w:rPr>
                <w:rFonts w:ascii="Arial" w:cs="Arial" w:eastAsia="Arial" w:hAnsi="Arial"/>
                <w:sz w:val="12"/>
                <w:szCs w:val="12"/>
                <w:color w:val="7B7C80"/>
              </w:rPr>
              <w:t>$</w:t>
            </w:r>
          </w:p>
        </w:tc>
        <w:tc>
          <w:tcPr>
            <w:tcW w:w="260" w:type="dxa"/>
            <w:vAlign w:val="bottom"/>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2,000,017</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1,999,983</w:t>
            </w:r>
          </w:p>
        </w:tc>
        <w:tc>
          <w:tcPr>
            <w:tcW w:w="280" w:type="dxa"/>
            <w:vAlign w:val="bottom"/>
          </w:tcPr>
          <w:p>
            <w:pPr>
              <w:ind w:left="80"/>
              <w:spacing w:after="0"/>
              <w:rPr>
                <w:sz w:val="20"/>
                <w:szCs w:val="20"/>
                <w:color w:val="auto"/>
              </w:rPr>
            </w:pPr>
            <w:r>
              <w:rPr>
                <w:rFonts w:ascii="Arial" w:cs="Arial" w:eastAsia="Arial" w:hAnsi="Arial"/>
                <w:sz w:val="12"/>
                <w:szCs w:val="12"/>
                <w:color w:val="7B7C80"/>
              </w:rPr>
              <w:t>$</w:t>
            </w:r>
          </w:p>
        </w:tc>
        <w:tc>
          <w:tcPr>
            <w:tcW w:w="820" w:type="dxa"/>
            <w:vAlign w:val="bottom"/>
          </w:tcPr>
          <w:p>
            <w:pPr>
              <w:jc w:val="right"/>
              <w:spacing w:after="0"/>
              <w:rPr>
                <w:sz w:val="20"/>
                <w:szCs w:val="20"/>
                <w:color w:val="auto"/>
              </w:rPr>
            </w:pPr>
            <w:r>
              <w:rPr>
                <w:rFonts w:ascii="Arial" w:cs="Arial" w:eastAsia="Arial" w:hAnsi="Arial"/>
                <w:sz w:val="12"/>
                <w:szCs w:val="12"/>
                <w:color w:val="7B7C80"/>
              </w:rPr>
              <w:t>2,744,000</w:t>
            </w:r>
          </w:p>
        </w:tc>
        <w:tc>
          <w:tcPr>
            <w:tcW w:w="220" w:type="dxa"/>
            <w:vAlign w:val="bottom"/>
          </w:tcPr>
          <w:p>
            <w:pPr>
              <w:ind w:left="80"/>
              <w:spacing w:after="0"/>
              <w:rPr>
                <w:sz w:val="20"/>
                <w:szCs w:val="20"/>
                <w:color w:val="auto"/>
              </w:rPr>
            </w:pPr>
            <w:r>
              <w:rPr>
                <w:rFonts w:ascii="Arial" w:cs="Arial" w:eastAsia="Arial" w:hAnsi="Arial"/>
                <w:sz w:val="12"/>
                <w:szCs w:val="12"/>
                <w:color w:val="7B7C80"/>
              </w:rPr>
              <w:t>$</w:t>
            </w:r>
          </w:p>
        </w:tc>
        <w:tc>
          <w:tcPr>
            <w:tcW w:w="780" w:type="dxa"/>
            <w:vAlign w:val="bottom"/>
          </w:tcPr>
          <w:p>
            <w:pPr>
              <w:jc w:val="right"/>
              <w:spacing w:after="0"/>
              <w:rPr>
                <w:sz w:val="20"/>
                <w:szCs w:val="20"/>
                <w:color w:val="auto"/>
              </w:rPr>
            </w:pPr>
            <w:r>
              <w:rPr>
                <w:rFonts w:ascii="Arial" w:cs="Arial" w:eastAsia="Arial" w:hAnsi="Arial"/>
                <w:sz w:val="12"/>
                <w:szCs w:val="12"/>
                <w:color w:val="7B7C80"/>
              </w:rPr>
              <w:t>1,269,557</w:t>
            </w:r>
          </w:p>
        </w:tc>
        <w:tc>
          <w:tcPr>
            <w:tcW w:w="340" w:type="dxa"/>
            <w:vAlign w:val="bottom"/>
          </w:tcPr>
          <w:p>
            <w:pPr>
              <w:ind w:left="80"/>
              <w:spacing w:after="0"/>
              <w:rPr>
                <w:sz w:val="20"/>
                <w:szCs w:val="20"/>
                <w:color w:val="auto"/>
              </w:rPr>
            </w:pPr>
            <w:r>
              <w:rPr>
                <w:rFonts w:ascii="Arial" w:cs="Arial" w:eastAsia="Arial" w:hAnsi="Arial"/>
                <w:sz w:val="12"/>
                <w:szCs w:val="12"/>
                <w:color w:val="7B7C80"/>
              </w:rPr>
              <w:t>$</w:t>
            </w:r>
          </w:p>
        </w:tc>
        <w:tc>
          <w:tcPr>
            <w:tcW w:w="760" w:type="dxa"/>
            <w:vAlign w:val="bottom"/>
          </w:tcPr>
          <w:p>
            <w:pPr>
              <w:jc w:val="right"/>
              <w:spacing w:after="0"/>
              <w:rPr>
                <w:sz w:val="20"/>
                <w:szCs w:val="20"/>
                <w:color w:val="auto"/>
              </w:rPr>
            </w:pPr>
            <w:r>
              <w:rPr>
                <w:rFonts w:ascii="Arial" w:cs="Arial" w:eastAsia="Arial" w:hAnsi="Arial"/>
                <w:sz w:val="12"/>
                <w:szCs w:val="12"/>
                <w:color w:val="7B7C80"/>
              </w:rPr>
              <w:t>161,959</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8,970,708</w:t>
            </w:r>
          </w:p>
        </w:tc>
      </w:tr>
      <w:tr>
        <w:trPr>
          <w:trHeight w:val="183"/>
        </w:trPr>
        <w:tc>
          <w:tcPr>
            <w:tcW w:w="1080" w:type="dxa"/>
            <w:vAlign w:val="bottom"/>
            <w:tcBorders>
              <w:bottom w:val="single" w:sz="8" w:color="7B7C80"/>
            </w:tcBorders>
          </w:tcPr>
          <w:p>
            <w:pPr>
              <w:spacing w:after="0"/>
              <w:rPr>
                <w:sz w:val="15"/>
                <w:szCs w:val="15"/>
                <w:color w:val="auto"/>
              </w:rPr>
            </w:pPr>
          </w:p>
        </w:tc>
        <w:tc>
          <w:tcPr>
            <w:tcW w:w="4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2015</w:t>
            </w:r>
          </w:p>
        </w:tc>
        <w:tc>
          <w:tcPr>
            <w:tcW w:w="1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19"/>
              <w:spacing w:after="0"/>
              <w:rPr>
                <w:sz w:val="20"/>
                <w:szCs w:val="20"/>
                <w:color w:val="auto"/>
              </w:rPr>
            </w:pPr>
            <w:r>
              <w:rPr>
                <w:rFonts w:ascii="Arial" w:cs="Arial" w:eastAsia="Arial" w:hAnsi="Arial"/>
                <w:sz w:val="12"/>
                <w:szCs w:val="12"/>
                <w:color w:val="7B7C80"/>
              </w:rPr>
              <w:t>735,577</w:t>
            </w:r>
          </w:p>
        </w:tc>
        <w:tc>
          <w:tcPr>
            <w:tcW w:w="260" w:type="dxa"/>
            <w:vAlign w:val="bottom"/>
            <w:tcBorders>
              <w:bottom w:val="single" w:sz="8" w:color="7B7C80"/>
            </w:tcBorders>
            <w:shd w:val="clear" w:color="auto" w:fill="E7E6E7"/>
          </w:tcPr>
          <w:p>
            <w:pPr>
              <w:ind w:left="60"/>
              <w:spacing w:after="0"/>
              <w:rPr>
                <w:sz w:val="20"/>
                <w:szCs w:val="20"/>
                <w:color w:val="auto"/>
              </w:rPr>
            </w:pPr>
            <w:r>
              <w:rPr>
                <w:rFonts w:ascii="Arial" w:cs="Arial" w:eastAsia="Arial" w:hAnsi="Arial"/>
                <w:sz w:val="12"/>
                <w:szCs w:val="12"/>
                <w:color w:val="7B7C80"/>
              </w:rPr>
              <w:t>$</w:t>
            </w:r>
          </w:p>
        </w:tc>
        <w:tc>
          <w:tcPr>
            <w:tcW w:w="2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1,434,366</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1,434,390</w:t>
            </w:r>
          </w:p>
        </w:tc>
        <w:tc>
          <w:tcPr>
            <w:tcW w:w="28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8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1,482,000</w:t>
            </w:r>
          </w:p>
        </w:tc>
        <w:tc>
          <w:tcPr>
            <w:tcW w:w="22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34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118,193</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5,204,526</w:t>
            </w:r>
          </w:p>
        </w:tc>
      </w:tr>
      <w:tr>
        <w:trPr>
          <w:trHeight w:val="129"/>
        </w:trPr>
        <w:tc>
          <w:tcPr>
            <w:tcW w:w="1080" w:type="dxa"/>
            <w:vAlign w:val="bottom"/>
          </w:tcPr>
          <w:p>
            <w:pPr>
              <w:spacing w:after="0" w:line="129" w:lineRule="exact"/>
              <w:rPr>
                <w:sz w:val="20"/>
                <w:szCs w:val="20"/>
                <w:color w:val="auto"/>
              </w:rPr>
            </w:pPr>
            <w:r>
              <w:rPr>
                <w:rFonts w:ascii="Arial" w:cs="Arial" w:eastAsia="Arial" w:hAnsi="Arial"/>
                <w:sz w:val="12"/>
                <w:szCs w:val="12"/>
                <w:color w:val="7B7C80"/>
              </w:rPr>
              <w:t>Strable</w:t>
            </w:r>
          </w:p>
        </w:tc>
        <w:tc>
          <w:tcPr>
            <w:tcW w:w="440" w:type="dxa"/>
            <w:vAlign w:val="bottom"/>
          </w:tcPr>
          <w:p>
            <w:pPr>
              <w:jc w:val="right"/>
              <w:spacing w:after="0" w:line="129" w:lineRule="exact"/>
              <w:rPr>
                <w:sz w:val="20"/>
                <w:szCs w:val="20"/>
                <w:color w:val="auto"/>
              </w:rPr>
            </w:pPr>
            <w:r>
              <w:rPr>
                <w:rFonts w:ascii="Arial" w:cs="Arial" w:eastAsia="Arial" w:hAnsi="Arial"/>
                <w:sz w:val="12"/>
                <w:szCs w:val="12"/>
                <w:color w:val="7B7C80"/>
              </w:rPr>
              <w:t>2017</w:t>
            </w:r>
          </w:p>
        </w:tc>
        <w:tc>
          <w:tcPr>
            <w:tcW w:w="16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Pr>
          <w:p>
            <w:pPr>
              <w:jc w:val="right"/>
              <w:ind w:right="19"/>
              <w:spacing w:after="0" w:line="129" w:lineRule="exact"/>
              <w:rPr>
                <w:sz w:val="20"/>
                <w:szCs w:val="20"/>
                <w:color w:val="auto"/>
              </w:rPr>
            </w:pPr>
            <w:r>
              <w:rPr>
                <w:rFonts w:ascii="Arial" w:cs="Arial" w:eastAsia="Arial" w:hAnsi="Arial"/>
                <w:sz w:val="12"/>
                <w:szCs w:val="12"/>
                <w:color w:val="7B7C80"/>
              </w:rPr>
              <w:t>556,808</w:t>
            </w:r>
          </w:p>
        </w:tc>
        <w:tc>
          <w:tcPr>
            <w:tcW w:w="260" w:type="dxa"/>
            <w:vAlign w:val="bottom"/>
          </w:tcPr>
          <w:p>
            <w:pPr>
              <w:ind w:left="60"/>
              <w:spacing w:after="0" w:line="129" w:lineRule="exact"/>
              <w:rPr>
                <w:sz w:val="20"/>
                <w:szCs w:val="20"/>
                <w:color w:val="auto"/>
              </w:rPr>
            </w:pPr>
            <w:r>
              <w:rPr>
                <w:rFonts w:ascii="Arial" w:cs="Arial" w:eastAsia="Arial" w:hAnsi="Arial"/>
                <w:sz w:val="12"/>
                <w:szCs w:val="12"/>
                <w:color w:val="7B7C80"/>
              </w:rPr>
              <w:t>$</w:t>
            </w:r>
          </w:p>
        </w:tc>
        <w:tc>
          <w:tcPr>
            <w:tcW w:w="260" w:type="dxa"/>
            <w:vAlign w:val="bottom"/>
          </w:tcPr>
          <w:p>
            <w:pPr>
              <w:jc w:val="right"/>
              <w:spacing w:after="0" w:line="129" w:lineRule="exact"/>
              <w:rPr>
                <w:sz w:val="20"/>
                <w:szCs w:val="20"/>
                <w:color w:val="auto"/>
              </w:rPr>
            </w:pPr>
            <w:r>
              <w:rPr>
                <w:rFonts w:ascii="Arial" w:cs="Arial" w:eastAsia="Arial" w:hAnsi="Arial"/>
                <w:sz w:val="12"/>
                <w:szCs w:val="12"/>
                <w:color w:val="7B7C80"/>
              </w:rPr>
              <w:t>0</w:t>
            </w:r>
          </w:p>
        </w:tc>
        <w:tc>
          <w:tcPr>
            <w:tcW w:w="18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9" w:lineRule="exact"/>
              <w:rPr>
                <w:sz w:val="20"/>
                <w:szCs w:val="20"/>
                <w:color w:val="auto"/>
              </w:rPr>
            </w:pPr>
            <w:r>
              <w:rPr>
                <w:rFonts w:ascii="Arial" w:cs="Arial" w:eastAsia="Arial" w:hAnsi="Arial"/>
                <w:sz w:val="12"/>
                <w:szCs w:val="12"/>
                <w:color w:val="7B7C80"/>
              </w:rPr>
              <w:t>772,759</w:t>
            </w:r>
          </w:p>
        </w:tc>
        <w:tc>
          <w:tcPr>
            <w:tcW w:w="18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9" w:lineRule="exact"/>
              <w:rPr>
                <w:sz w:val="20"/>
                <w:szCs w:val="20"/>
                <w:color w:val="auto"/>
              </w:rPr>
            </w:pPr>
            <w:r>
              <w:rPr>
                <w:rFonts w:ascii="Arial" w:cs="Arial" w:eastAsia="Arial" w:hAnsi="Arial"/>
                <w:sz w:val="12"/>
                <w:szCs w:val="12"/>
                <w:color w:val="7B7C80"/>
              </w:rPr>
              <w:t>772,772</w:t>
            </w:r>
          </w:p>
        </w:tc>
        <w:tc>
          <w:tcPr>
            <w:tcW w:w="280" w:type="dxa"/>
            <w:vAlign w:val="bottom"/>
          </w:tcPr>
          <w:p>
            <w:pPr>
              <w:ind w:left="80"/>
              <w:spacing w:after="0" w:line="129" w:lineRule="exact"/>
              <w:rPr>
                <w:sz w:val="20"/>
                <w:szCs w:val="20"/>
                <w:color w:val="auto"/>
              </w:rPr>
            </w:pPr>
            <w:r>
              <w:rPr>
                <w:rFonts w:ascii="Arial" w:cs="Arial" w:eastAsia="Arial" w:hAnsi="Arial"/>
                <w:sz w:val="12"/>
                <w:szCs w:val="12"/>
                <w:color w:val="7B7C80"/>
              </w:rPr>
              <w:t>$</w:t>
            </w:r>
          </w:p>
        </w:tc>
        <w:tc>
          <w:tcPr>
            <w:tcW w:w="820" w:type="dxa"/>
            <w:vAlign w:val="bottom"/>
          </w:tcPr>
          <w:p>
            <w:pPr>
              <w:jc w:val="right"/>
              <w:spacing w:after="0" w:line="129" w:lineRule="exact"/>
              <w:rPr>
                <w:sz w:val="20"/>
                <w:szCs w:val="20"/>
                <w:color w:val="auto"/>
              </w:rPr>
            </w:pPr>
            <w:r>
              <w:rPr>
                <w:rFonts w:ascii="Arial" w:cs="Arial" w:eastAsia="Arial" w:hAnsi="Arial"/>
                <w:sz w:val="12"/>
                <w:szCs w:val="12"/>
                <w:color w:val="7B7C80"/>
              </w:rPr>
              <w:t>938,000</w:t>
            </w:r>
          </w:p>
        </w:tc>
        <w:tc>
          <w:tcPr>
            <w:tcW w:w="220" w:type="dxa"/>
            <w:vAlign w:val="bottom"/>
          </w:tcPr>
          <w:p>
            <w:pPr>
              <w:ind w:left="80"/>
              <w:spacing w:after="0" w:line="129" w:lineRule="exact"/>
              <w:rPr>
                <w:sz w:val="20"/>
                <w:szCs w:val="20"/>
                <w:color w:val="auto"/>
              </w:rPr>
            </w:pPr>
            <w:r>
              <w:rPr>
                <w:rFonts w:ascii="Arial" w:cs="Arial" w:eastAsia="Arial" w:hAnsi="Arial"/>
                <w:sz w:val="12"/>
                <w:szCs w:val="12"/>
                <w:color w:val="7B7C80"/>
              </w:rPr>
              <w:t>$</w:t>
            </w:r>
          </w:p>
        </w:tc>
        <w:tc>
          <w:tcPr>
            <w:tcW w:w="780" w:type="dxa"/>
            <w:vAlign w:val="bottom"/>
          </w:tcPr>
          <w:p>
            <w:pPr>
              <w:jc w:val="right"/>
              <w:spacing w:after="0" w:line="129" w:lineRule="exact"/>
              <w:rPr>
                <w:sz w:val="20"/>
                <w:szCs w:val="20"/>
                <w:color w:val="auto"/>
              </w:rPr>
            </w:pPr>
            <w:r>
              <w:rPr>
                <w:rFonts w:ascii="Arial" w:cs="Arial" w:eastAsia="Arial" w:hAnsi="Arial"/>
                <w:sz w:val="12"/>
                <w:szCs w:val="12"/>
                <w:color w:val="7B7C80"/>
              </w:rPr>
              <w:t>689,264</w:t>
            </w:r>
          </w:p>
        </w:tc>
        <w:tc>
          <w:tcPr>
            <w:tcW w:w="340" w:type="dxa"/>
            <w:vAlign w:val="bottom"/>
          </w:tcPr>
          <w:p>
            <w:pPr>
              <w:ind w:left="80"/>
              <w:spacing w:after="0" w:line="129" w:lineRule="exact"/>
              <w:rPr>
                <w:sz w:val="20"/>
                <w:szCs w:val="20"/>
                <w:color w:val="auto"/>
              </w:rPr>
            </w:pPr>
            <w:r>
              <w:rPr>
                <w:rFonts w:ascii="Arial" w:cs="Arial" w:eastAsia="Arial" w:hAnsi="Arial"/>
                <w:sz w:val="12"/>
                <w:szCs w:val="12"/>
                <w:color w:val="7B7C80"/>
              </w:rPr>
              <w:t>$</w:t>
            </w:r>
          </w:p>
        </w:tc>
        <w:tc>
          <w:tcPr>
            <w:tcW w:w="760" w:type="dxa"/>
            <w:vAlign w:val="bottom"/>
          </w:tcPr>
          <w:p>
            <w:pPr>
              <w:jc w:val="right"/>
              <w:spacing w:after="0" w:line="129" w:lineRule="exact"/>
              <w:rPr>
                <w:sz w:val="20"/>
                <w:szCs w:val="20"/>
                <w:color w:val="auto"/>
              </w:rPr>
            </w:pPr>
            <w:r>
              <w:rPr>
                <w:rFonts w:ascii="Arial" w:cs="Arial" w:eastAsia="Arial" w:hAnsi="Arial"/>
                <w:sz w:val="12"/>
                <w:szCs w:val="12"/>
                <w:color w:val="7B7C80"/>
              </w:rPr>
              <w:t>62,971</w:t>
            </w:r>
          </w:p>
        </w:tc>
        <w:tc>
          <w:tcPr>
            <w:tcW w:w="18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9" w:lineRule="exact"/>
              <w:rPr>
                <w:sz w:val="20"/>
                <w:szCs w:val="20"/>
                <w:color w:val="auto"/>
              </w:rPr>
            </w:pPr>
            <w:r>
              <w:rPr>
                <w:rFonts w:ascii="Arial" w:cs="Arial" w:eastAsia="Arial" w:hAnsi="Arial"/>
                <w:sz w:val="12"/>
                <w:szCs w:val="12"/>
                <w:color w:val="7B7C80"/>
              </w:rPr>
              <w:t>3,792,574</w:t>
            </w:r>
          </w:p>
        </w:tc>
      </w:tr>
      <w:tr>
        <w:trPr>
          <w:trHeight w:val="183"/>
        </w:trPr>
        <w:tc>
          <w:tcPr>
            <w:tcW w:w="1080" w:type="dxa"/>
            <w:vAlign w:val="bottom"/>
            <w:tcBorders>
              <w:bottom w:val="single" w:sz="8" w:color="7B7C80"/>
            </w:tcBorders>
          </w:tcPr>
          <w:p>
            <w:pPr>
              <w:spacing w:after="0"/>
              <w:rPr>
                <w:sz w:val="15"/>
                <w:szCs w:val="15"/>
                <w:color w:val="auto"/>
              </w:rPr>
            </w:pPr>
          </w:p>
        </w:tc>
        <w:tc>
          <w:tcPr>
            <w:tcW w:w="4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2016</w:t>
            </w:r>
          </w:p>
        </w:tc>
        <w:tc>
          <w:tcPr>
            <w:tcW w:w="1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19"/>
              <w:spacing w:after="0"/>
              <w:rPr>
                <w:sz w:val="20"/>
                <w:szCs w:val="20"/>
                <w:color w:val="auto"/>
              </w:rPr>
            </w:pPr>
            <w:r>
              <w:rPr>
                <w:rFonts w:ascii="Arial" w:cs="Arial" w:eastAsia="Arial" w:hAnsi="Arial"/>
                <w:sz w:val="12"/>
                <w:szCs w:val="12"/>
                <w:color w:val="7B7C80"/>
              </w:rPr>
              <w:t>488,846</w:t>
            </w:r>
          </w:p>
        </w:tc>
        <w:tc>
          <w:tcPr>
            <w:tcW w:w="260" w:type="dxa"/>
            <w:vAlign w:val="bottom"/>
            <w:tcBorders>
              <w:bottom w:val="single" w:sz="8" w:color="7B7C80"/>
            </w:tcBorders>
            <w:shd w:val="clear" w:color="auto" w:fill="E7E6E7"/>
          </w:tcPr>
          <w:p>
            <w:pPr>
              <w:ind w:left="60"/>
              <w:spacing w:after="0"/>
              <w:rPr>
                <w:sz w:val="20"/>
                <w:szCs w:val="20"/>
                <w:color w:val="auto"/>
              </w:rPr>
            </w:pPr>
            <w:r>
              <w:rPr>
                <w:rFonts w:ascii="Arial" w:cs="Arial" w:eastAsia="Arial" w:hAnsi="Arial"/>
                <w:sz w:val="12"/>
                <w:szCs w:val="12"/>
                <w:color w:val="7B7C80"/>
              </w:rPr>
              <w:t>$</w:t>
            </w:r>
          </w:p>
        </w:tc>
        <w:tc>
          <w:tcPr>
            <w:tcW w:w="2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606,266</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606,236</w:t>
            </w:r>
          </w:p>
        </w:tc>
        <w:tc>
          <w:tcPr>
            <w:tcW w:w="28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8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446,000</w:t>
            </w:r>
          </w:p>
        </w:tc>
        <w:tc>
          <w:tcPr>
            <w:tcW w:w="22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337,492</w:t>
            </w:r>
          </w:p>
        </w:tc>
        <w:tc>
          <w:tcPr>
            <w:tcW w:w="34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50,084</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2,534,924</w:t>
            </w:r>
          </w:p>
        </w:tc>
      </w:tr>
      <w:tr>
        <w:trPr>
          <w:trHeight w:val="129"/>
        </w:trPr>
        <w:tc>
          <w:tcPr>
            <w:tcW w:w="1080" w:type="dxa"/>
            <w:vAlign w:val="bottom"/>
            <w:tcBorders>
              <w:bottom w:val="single" w:sz="8" w:color="7B7C80"/>
            </w:tcBorders>
          </w:tcPr>
          <w:p>
            <w:pPr>
              <w:spacing w:after="0" w:line="129" w:lineRule="exact"/>
              <w:rPr>
                <w:sz w:val="20"/>
                <w:szCs w:val="20"/>
                <w:color w:val="auto"/>
              </w:rPr>
            </w:pPr>
            <w:r>
              <w:rPr>
                <w:rFonts w:ascii="Arial" w:cs="Arial" w:eastAsia="Arial" w:hAnsi="Arial"/>
                <w:sz w:val="12"/>
                <w:szCs w:val="12"/>
                <w:color w:val="7B7C80"/>
              </w:rPr>
              <w:t>Everett</w:t>
            </w:r>
          </w:p>
        </w:tc>
        <w:tc>
          <w:tcPr>
            <w:tcW w:w="44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2017</w:t>
            </w:r>
          </w:p>
        </w:tc>
        <w:tc>
          <w:tcPr>
            <w:tcW w:w="16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19"/>
              <w:spacing w:after="0" w:line="129" w:lineRule="exact"/>
              <w:rPr>
                <w:sz w:val="20"/>
                <w:szCs w:val="20"/>
                <w:color w:val="auto"/>
              </w:rPr>
            </w:pPr>
            <w:r>
              <w:rPr>
                <w:rFonts w:ascii="Arial" w:cs="Arial" w:eastAsia="Arial" w:hAnsi="Arial"/>
                <w:sz w:val="12"/>
                <w:szCs w:val="12"/>
                <w:color w:val="7B7C80"/>
              </w:rPr>
              <w:t>518,154</w:t>
            </w:r>
          </w:p>
        </w:tc>
        <w:tc>
          <w:tcPr>
            <w:tcW w:w="260" w:type="dxa"/>
            <w:vAlign w:val="bottom"/>
            <w:tcBorders>
              <w:bottom w:val="single" w:sz="8" w:color="7B7C80"/>
            </w:tcBorders>
          </w:tcPr>
          <w:p>
            <w:pPr>
              <w:ind w:left="60"/>
              <w:spacing w:after="0" w:line="129" w:lineRule="exact"/>
              <w:rPr>
                <w:sz w:val="20"/>
                <w:szCs w:val="20"/>
                <w:color w:val="auto"/>
              </w:rPr>
            </w:pPr>
            <w:r>
              <w:rPr>
                <w:rFonts w:ascii="Arial" w:cs="Arial" w:eastAsia="Arial" w:hAnsi="Arial"/>
                <w:sz w:val="12"/>
                <w:szCs w:val="12"/>
                <w:color w:val="7B7C80"/>
              </w:rPr>
              <w:t>$</w:t>
            </w:r>
          </w:p>
        </w:tc>
        <w:tc>
          <w:tcPr>
            <w:tcW w:w="26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0</w:t>
            </w:r>
          </w:p>
        </w:tc>
        <w:tc>
          <w:tcPr>
            <w:tcW w:w="18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661,890</w:t>
            </w:r>
          </w:p>
        </w:tc>
        <w:tc>
          <w:tcPr>
            <w:tcW w:w="18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661,851</w:t>
            </w:r>
          </w:p>
        </w:tc>
        <w:tc>
          <w:tcPr>
            <w:tcW w:w="280" w:type="dxa"/>
            <w:vAlign w:val="bottom"/>
            <w:tcBorders>
              <w:bottom w:val="single" w:sz="8" w:color="7B7C80"/>
            </w:tcBorders>
          </w:tcPr>
          <w:p>
            <w:pPr>
              <w:ind w:left="80"/>
              <w:spacing w:after="0" w:line="129" w:lineRule="exact"/>
              <w:rPr>
                <w:sz w:val="20"/>
                <w:szCs w:val="20"/>
                <w:color w:val="auto"/>
              </w:rPr>
            </w:pPr>
            <w:r>
              <w:rPr>
                <w:rFonts w:ascii="Arial" w:cs="Arial" w:eastAsia="Arial" w:hAnsi="Arial"/>
                <w:sz w:val="12"/>
                <w:szCs w:val="12"/>
                <w:color w:val="7B7C80"/>
              </w:rPr>
              <w:t>$</w:t>
            </w:r>
          </w:p>
        </w:tc>
        <w:tc>
          <w:tcPr>
            <w:tcW w:w="82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561,000</w:t>
            </w:r>
          </w:p>
        </w:tc>
        <w:tc>
          <w:tcPr>
            <w:tcW w:w="220" w:type="dxa"/>
            <w:vAlign w:val="bottom"/>
            <w:tcBorders>
              <w:bottom w:val="single" w:sz="8" w:color="7B7C80"/>
            </w:tcBorders>
          </w:tcPr>
          <w:p>
            <w:pPr>
              <w:ind w:left="80"/>
              <w:spacing w:after="0" w:line="129" w:lineRule="exact"/>
              <w:rPr>
                <w:sz w:val="20"/>
                <w:szCs w:val="20"/>
                <w:color w:val="auto"/>
              </w:rPr>
            </w:pPr>
            <w:r>
              <w:rPr>
                <w:rFonts w:ascii="Arial" w:cs="Arial" w:eastAsia="Arial" w:hAnsi="Arial"/>
                <w:sz w:val="12"/>
                <w:szCs w:val="12"/>
                <w:color w:val="7B7C80"/>
              </w:rPr>
              <w:t>$</w:t>
            </w:r>
          </w:p>
        </w:tc>
        <w:tc>
          <w:tcPr>
            <w:tcW w:w="78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614,109</w:t>
            </w:r>
          </w:p>
        </w:tc>
        <w:tc>
          <w:tcPr>
            <w:tcW w:w="340" w:type="dxa"/>
            <w:vAlign w:val="bottom"/>
            <w:tcBorders>
              <w:bottom w:val="single" w:sz="8" w:color="7B7C80"/>
            </w:tcBorders>
          </w:tcPr>
          <w:p>
            <w:pPr>
              <w:ind w:left="80"/>
              <w:spacing w:after="0" w:line="129" w:lineRule="exact"/>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54,613</w:t>
            </w:r>
          </w:p>
        </w:tc>
        <w:tc>
          <w:tcPr>
            <w:tcW w:w="18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3,071,617</w:t>
            </w:r>
          </w:p>
        </w:tc>
      </w:tr>
      <w:tr>
        <w:trPr>
          <w:trHeight w:val="129"/>
        </w:trPr>
        <w:tc>
          <w:tcPr>
            <w:tcW w:w="1080" w:type="dxa"/>
            <w:vAlign w:val="bottom"/>
          </w:tcPr>
          <w:p>
            <w:pPr>
              <w:spacing w:after="0" w:line="129" w:lineRule="exact"/>
              <w:rPr>
                <w:sz w:val="20"/>
                <w:szCs w:val="20"/>
                <w:color w:val="auto"/>
              </w:rPr>
            </w:pPr>
            <w:r>
              <w:rPr>
                <w:rFonts w:ascii="Arial" w:cs="Arial" w:eastAsia="Arial" w:hAnsi="Arial"/>
                <w:sz w:val="12"/>
                <w:szCs w:val="12"/>
                <w:color w:val="7B7C80"/>
              </w:rPr>
              <w:t>Lillis</w:t>
            </w:r>
          </w:p>
        </w:tc>
        <w:tc>
          <w:tcPr>
            <w:tcW w:w="4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2017</w:t>
            </w:r>
          </w:p>
        </w:tc>
        <w:tc>
          <w:tcPr>
            <w:tcW w:w="1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198,625</w:t>
            </w:r>
          </w:p>
        </w:tc>
        <w:tc>
          <w:tcPr>
            <w:tcW w:w="260" w:type="dxa"/>
            <w:vAlign w:val="bottom"/>
            <w:shd w:val="clear" w:color="auto" w:fill="E7E6E7"/>
          </w:tcPr>
          <w:p>
            <w:pPr>
              <w:ind w:left="60"/>
              <w:spacing w:after="0" w:line="129" w:lineRule="exact"/>
              <w:rPr>
                <w:sz w:val="20"/>
                <w:szCs w:val="20"/>
                <w:color w:val="auto"/>
              </w:rPr>
            </w:pPr>
            <w:r>
              <w:rPr>
                <w:rFonts w:ascii="Arial" w:cs="Arial" w:eastAsia="Arial" w:hAnsi="Arial"/>
                <w:sz w:val="12"/>
                <w:szCs w:val="12"/>
                <w:color w:val="7B7C80"/>
              </w:rPr>
              <w:t>$</w:t>
            </w:r>
          </w:p>
        </w:tc>
        <w:tc>
          <w:tcPr>
            <w:tcW w:w="2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257,524</w:t>
            </w:r>
          </w:p>
        </w:tc>
        <w:tc>
          <w:tcPr>
            <w:tcW w:w="1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257,514</w:t>
            </w:r>
          </w:p>
        </w:tc>
        <w:tc>
          <w:tcPr>
            <w:tcW w:w="280" w:type="dxa"/>
            <w:vAlign w:val="bottom"/>
            <w:shd w:val="clear" w:color="auto" w:fill="E7E6E7"/>
          </w:tcPr>
          <w:p>
            <w:pPr>
              <w:ind w:left="80"/>
              <w:spacing w:after="0" w:line="129" w:lineRule="exact"/>
              <w:rPr>
                <w:sz w:val="20"/>
                <w:szCs w:val="20"/>
                <w:color w:val="auto"/>
              </w:rPr>
            </w:pPr>
            <w:r>
              <w:rPr>
                <w:rFonts w:ascii="Arial" w:cs="Arial" w:eastAsia="Arial" w:hAnsi="Arial"/>
                <w:sz w:val="12"/>
                <w:szCs w:val="12"/>
                <w:color w:val="7B7C80"/>
              </w:rPr>
              <w:t>$</w:t>
            </w:r>
          </w:p>
        </w:tc>
        <w:tc>
          <w:tcPr>
            <w:tcW w:w="8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210,543</w:t>
            </w:r>
          </w:p>
        </w:tc>
        <w:tc>
          <w:tcPr>
            <w:tcW w:w="220" w:type="dxa"/>
            <w:vAlign w:val="bottom"/>
            <w:shd w:val="clear" w:color="auto" w:fill="E7E6E7"/>
          </w:tcPr>
          <w:p>
            <w:pPr>
              <w:ind w:left="80"/>
              <w:spacing w:after="0" w:line="129" w:lineRule="exact"/>
              <w:rPr>
                <w:sz w:val="20"/>
                <w:szCs w:val="20"/>
                <w:color w:val="auto"/>
              </w:rPr>
            </w:pPr>
            <w:r>
              <w:rPr>
                <w:rFonts w:ascii="Arial" w:cs="Arial" w:eastAsia="Arial" w:hAnsi="Arial"/>
                <w:sz w:val="12"/>
                <w:szCs w:val="12"/>
                <w:color w:val="7B7C80"/>
              </w:rPr>
              <w:t>$</w:t>
            </w:r>
          </w:p>
        </w:tc>
        <w:tc>
          <w:tcPr>
            <w:tcW w:w="7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229,192</w:t>
            </w:r>
          </w:p>
        </w:tc>
        <w:tc>
          <w:tcPr>
            <w:tcW w:w="340" w:type="dxa"/>
            <w:vAlign w:val="bottom"/>
            <w:shd w:val="clear" w:color="auto" w:fill="E7E6E7"/>
          </w:tcPr>
          <w:p>
            <w:pPr>
              <w:ind w:left="80"/>
              <w:spacing w:after="0" w:line="129" w:lineRule="exact"/>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23,478</w:t>
            </w:r>
          </w:p>
        </w:tc>
        <w:tc>
          <w:tcPr>
            <w:tcW w:w="1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1,176,876</w:t>
            </w:r>
          </w:p>
        </w:tc>
      </w:tr>
      <w:tr>
        <w:trPr>
          <w:trHeight w:val="183"/>
        </w:trPr>
        <w:tc>
          <w:tcPr>
            <w:tcW w:w="1080" w:type="dxa"/>
            <w:vAlign w:val="bottom"/>
          </w:tcPr>
          <w:p>
            <w:pPr>
              <w:spacing w:after="0"/>
              <w:rPr>
                <w:sz w:val="15"/>
                <w:szCs w:val="15"/>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7B7C80"/>
              </w:rPr>
              <w:t>2016</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580" w:type="dxa"/>
            <w:vAlign w:val="bottom"/>
          </w:tcPr>
          <w:p>
            <w:pPr>
              <w:jc w:val="right"/>
              <w:ind w:right="19"/>
              <w:spacing w:after="0"/>
              <w:rPr>
                <w:sz w:val="20"/>
                <w:szCs w:val="20"/>
                <w:color w:val="auto"/>
              </w:rPr>
            </w:pPr>
            <w:r>
              <w:rPr>
                <w:rFonts w:ascii="Arial" w:cs="Arial" w:eastAsia="Arial" w:hAnsi="Arial"/>
                <w:sz w:val="12"/>
                <w:szCs w:val="12"/>
                <w:color w:val="7B7C80"/>
              </w:rPr>
              <w:t>564,327</w:t>
            </w:r>
          </w:p>
        </w:tc>
        <w:tc>
          <w:tcPr>
            <w:tcW w:w="260" w:type="dxa"/>
            <w:vAlign w:val="bottom"/>
          </w:tcPr>
          <w:p>
            <w:pPr>
              <w:ind w:left="60"/>
              <w:spacing w:after="0"/>
              <w:rPr>
                <w:sz w:val="20"/>
                <w:szCs w:val="20"/>
                <w:color w:val="auto"/>
              </w:rPr>
            </w:pPr>
            <w:r>
              <w:rPr>
                <w:rFonts w:ascii="Arial" w:cs="Arial" w:eastAsia="Arial" w:hAnsi="Arial"/>
                <w:sz w:val="12"/>
                <w:szCs w:val="12"/>
                <w:color w:val="7B7C80"/>
              </w:rPr>
              <w:t>$</w:t>
            </w:r>
          </w:p>
        </w:tc>
        <w:tc>
          <w:tcPr>
            <w:tcW w:w="260" w:type="dxa"/>
            <w:vAlign w:val="bottom"/>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851,255</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851,261</w:t>
            </w:r>
          </w:p>
        </w:tc>
        <w:tc>
          <w:tcPr>
            <w:tcW w:w="280" w:type="dxa"/>
            <w:vAlign w:val="bottom"/>
          </w:tcPr>
          <w:p>
            <w:pPr>
              <w:ind w:left="80"/>
              <w:spacing w:after="0"/>
              <w:rPr>
                <w:sz w:val="20"/>
                <w:szCs w:val="20"/>
                <w:color w:val="auto"/>
              </w:rPr>
            </w:pPr>
            <w:r>
              <w:rPr>
                <w:rFonts w:ascii="Arial" w:cs="Arial" w:eastAsia="Arial" w:hAnsi="Arial"/>
                <w:sz w:val="12"/>
                <w:szCs w:val="12"/>
                <w:color w:val="7B7C80"/>
              </w:rPr>
              <w:t>$</w:t>
            </w:r>
          </w:p>
        </w:tc>
        <w:tc>
          <w:tcPr>
            <w:tcW w:w="820" w:type="dxa"/>
            <w:vAlign w:val="bottom"/>
          </w:tcPr>
          <w:p>
            <w:pPr>
              <w:jc w:val="right"/>
              <w:spacing w:after="0"/>
              <w:rPr>
                <w:sz w:val="20"/>
                <w:szCs w:val="20"/>
                <w:color w:val="auto"/>
              </w:rPr>
            </w:pPr>
            <w:r>
              <w:rPr>
                <w:rFonts w:ascii="Arial" w:cs="Arial" w:eastAsia="Arial" w:hAnsi="Arial"/>
                <w:sz w:val="12"/>
                <w:szCs w:val="12"/>
                <w:color w:val="7B7C80"/>
              </w:rPr>
              <w:t>584,000</w:t>
            </w:r>
          </w:p>
        </w:tc>
        <w:tc>
          <w:tcPr>
            <w:tcW w:w="220" w:type="dxa"/>
            <w:vAlign w:val="bottom"/>
          </w:tcPr>
          <w:p>
            <w:pPr>
              <w:ind w:left="80"/>
              <w:spacing w:after="0"/>
              <w:rPr>
                <w:sz w:val="20"/>
                <w:szCs w:val="20"/>
                <w:color w:val="auto"/>
              </w:rPr>
            </w:pPr>
            <w:r>
              <w:rPr>
                <w:rFonts w:ascii="Arial" w:cs="Arial" w:eastAsia="Arial" w:hAnsi="Arial"/>
                <w:sz w:val="12"/>
                <w:szCs w:val="12"/>
                <w:color w:val="7B7C80"/>
              </w:rPr>
              <w:t>$</w:t>
            </w:r>
          </w:p>
        </w:tc>
        <w:tc>
          <w:tcPr>
            <w:tcW w:w="780" w:type="dxa"/>
            <w:vAlign w:val="bottom"/>
          </w:tcPr>
          <w:p>
            <w:pPr>
              <w:jc w:val="right"/>
              <w:spacing w:after="0"/>
              <w:rPr>
                <w:sz w:val="20"/>
                <w:szCs w:val="20"/>
                <w:color w:val="auto"/>
              </w:rPr>
            </w:pPr>
            <w:r>
              <w:rPr>
                <w:rFonts w:ascii="Arial" w:cs="Arial" w:eastAsia="Arial" w:hAnsi="Arial"/>
                <w:sz w:val="12"/>
                <w:szCs w:val="12"/>
                <w:color w:val="7B7C80"/>
              </w:rPr>
              <w:t>693,185</w:t>
            </w:r>
          </w:p>
        </w:tc>
        <w:tc>
          <w:tcPr>
            <w:tcW w:w="340" w:type="dxa"/>
            <w:vAlign w:val="bottom"/>
          </w:tcPr>
          <w:p>
            <w:pPr>
              <w:ind w:left="80"/>
              <w:spacing w:after="0"/>
              <w:rPr>
                <w:sz w:val="20"/>
                <w:szCs w:val="20"/>
                <w:color w:val="auto"/>
              </w:rPr>
            </w:pPr>
            <w:r>
              <w:rPr>
                <w:rFonts w:ascii="Arial" w:cs="Arial" w:eastAsia="Arial" w:hAnsi="Arial"/>
                <w:sz w:val="12"/>
                <w:szCs w:val="12"/>
                <w:color w:val="7B7C80"/>
              </w:rPr>
              <w:t>$</w:t>
            </w:r>
          </w:p>
        </w:tc>
        <w:tc>
          <w:tcPr>
            <w:tcW w:w="760" w:type="dxa"/>
            <w:vAlign w:val="bottom"/>
          </w:tcPr>
          <w:p>
            <w:pPr>
              <w:jc w:val="right"/>
              <w:spacing w:after="0"/>
              <w:rPr>
                <w:sz w:val="20"/>
                <w:szCs w:val="20"/>
                <w:color w:val="auto"/>
              </w:rPr>
            </w:pPr>
            <w:r>
              <w:rPr>
                <w:rFonts w:ascii="Arial" w:cs="Arial" w:eastAsia="Arial" w:hAnsi="Arial"/>
                <w:sz w:val="12"/>
                <w:szCs w:val="12"/>
                <w:color w:val="7B7C80"/>
              </w:rPr>
              <w:t>41,340</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3,585,368</w:t>
            </w:r>
          </w:p>
        </w:tc>
      </w:tr>
      <w:tr>
        <w:trPr>
          <w:trHeight w:val="183"/>
        </w:trPr>
        <w:tc>
          <w:tcPr>
            <w:tcW w:w="1080" w:type="dxa"/>
            <w:vAlign w:val="bottom"/>
            <w:tcBorders>
              <w:bottom w:val="single" w:sz="8" w:color="7B7C80"/>
            </w:tcBorders>
          </w:tcPr>
          <w:p>
            <w:pPr>
              <w:spacing w:after="0"/>
              <w:rPr>
                <w:sz w:val="15"/>
                <w:szCs w:val="15"/>
                <w:color w:val="auto"/>
              </w:rPr>
            </w:pPr>
          </w:p>
        </w:tc>
        <w:tc>
          <w:tcPr>
            <w:tcW w:w="4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2015</w:t>
            </w:r>
          </w:p>
        </w:tc>
        <w:tc>
          <w:tcPr>
            <w:tcW w:w="1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19"/>
              <w:spacing w:after="0"/>
              <w:rPr>
                <w:sz w:val="20"/>
                <w:szCs w:val="20"/>
                <w:color w:val="auto"/>
              </w:rPr>
            </w:pPr>
            <w:r>
              <w:rPr>
                <w:rFonts w:ascii="Arial" w:cs="Arial" w:eastAsia="Arial" w:hAnsi="Arial"/>
                <w:sz w:val="12"/>
                <w:szCs w:val="12"/>
                <w:color w:val="7B7C80"/>
              </w:rPr>
              <w:t>567,346</w:t>
            </w:r>
          </w:p>
        </w:tc>
        <w:tc>
          <w:tcPr>
            <w:tcW w:w="260" w:type="dxa"/>
            <w:vAlign w:val="bottom"/>
            <w:tcBorders>
              <w:bottom w:val="single" w:sz="8" w:color="7B7C80"/>
            </w:tcBorders>
            <w:shd w:val="clear" w:color="auto" w:fill="E7E6E7"/>
          </w:tcPr>
          <w:p>
            <w:pPr>
              <w:ind w:left="60"/>
              <w:spacing w:after="0"/>
              <w:rPr>
                <w:sz w:val="20"/>
                <w:szCs w:val="20"/>
                <w:color w:val="auto"/>
              </w:rPr>
            </w:pPr>
            <w:r>
              <w:rPr>
                <w:rFonts w:ascii="Arial" w:cs="Arial" w:eastAsia="Arial" w:hAnsi="Arial"/>
                <w:sz w:val="12"/>
                <w:szCs w:val="12"/>
                <w:color w:val="7B7C80"/>
              </w:rPr>
              <w:t>$</w:t>
            </w:r>
          </w:p>
        </w:tc>
        <w:tc>
          <w:tcPr>
            <w:tcW w:w="2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826,516</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826,496</w:t>
            </w:r>
          </w:p>
        </w:tc>
        <w:tc>
          <w:tcPr>
            <w:tcW w:w="28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8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440,000</w:t>
            </w:r>
          </w:p>
        </w:tc>
        <w:tc>
          <w:tcPr>
            <w:tcW w:w="22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340" w:type="dxa"/>
            <w:vAlign w:val="bottom"/>
            <w:tcBorders>
              <w:bottom w:val="single" w:sz="8" w:color="7B7C80"/>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51,482</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2,711,840</w:t>
            </w:r>
          </w:p>
        </w:tc>
      </w:tr>
      <w:tr>
        <w:trPr>
          <w:trHeight w:val="129"/>
        </w:trPr>
        <w:tc>
          <w:tcPr>
            <w:tcW w:w="1080" w:type="dxa"/>
            <w:vAlign w:val="bottom"/>
          </w:tcPr>
          <w:p>
            <w:pPr>
              <w:spacing w:after="0" w:line="129" w:lineRule="exact"/>
              <w:rPr>
                <w:sz w:val="20"/>
                <w:szCs w:val="20"/>
                <w:color w:val="auto"/>
              </w:rPr>
            </w:pPr>
            <w:r>
              <w:rPr>
                <w:rFonts w:ascii="Arial" w:cs="Arial" w:eastAsia="Arial" w:hAnsi="Arial"/>
                <w:sz w:val="12"/>
                <w:szCs w:val="12"/>
                <w:color w:val="7B7C80"/>
              </w:rPr>
              <w:t>McCaughan</w:t>
            </w:r>
          </w:p>
        </w:tc>
        <w:tc>
          <w:tcPr>
            <w:tcW w:w="440" w:type="dxa"/>
            <w:vAlign w:val="bottom"/>
          </w:tcPr>
          <w:p>
            <w:pPr>
              <w:jc w:val="right"/>
              <w:spacing w:after="0" w:line="129" w:lineRule="exact"/>
              <w:rPr>
                <w:sz w:val="20"/>
                <w:szCs w:val="20"/>
                <w:color w:val="auto"/>
              </w:rPr>
            </w:pPr>
            <w:r>
              <w:rPr>
                <w:rFonts w:ascii="Arial" w:cs="Arial" w:eastAsia="Arial" w:hAnsi="Arial"/>
                <w:sz w:val="12"/>
                <w:szCs w:val="12"/>
                <w:color w:val="7B7C80"/>
              </w:rPr>
              <w:t>2017</w:t>
            </w:r>
          </w:p>
        </w:tc>
        <w:tc>
          <w:tcPr>
            <w:tcW w:w="16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Pr>
          <w:p>
            <w:pPr>
              <w:jc w:val="right"/>
              <w:ind w:right="19"/>
              <w:spacing w:after="0" w:line="129" w:lineRule="exact"/>
              <w:rPr>
                <w:sz w:val="20"/>
                <w:szCs w:val="20"/>
                <w:color w:val="auto"/>
              </w:rPr>
            </w:pPr>
            <w:r>
              <w:rPr>
                <w:rFonts w:ascii="Arial" w:cs="Arial" w:eastAsia="Arial" w:hAnsi="Arial"/>
                <w:sz w:val="12"/>
                <w:szCs w:val="12"/>
                <w:color w:val="7B7C80"/>
              </w:rPr>
              <w:t>676,904</w:t>
            </w:r>
          </w:p>
        </w:tc>
        <w:tc>
          <w:tcPr>
            <w:tcW w:w="260" w:type="dxa"/>
            <w:vAlign w:val="bottom"/>
          </w:tcPr>
          <w:p>
            <w:pPr>
              <w:ind w:left="60"/>
              <w:spacing w:after="0" w:line="129" w:lineRule="exact"/>
              <w:rPr>
                <w:sz w:val="20"/>
                <w:szCs w:val="20"/>
                <w:color w:val="auto"/>
              </w:rPr>
            </w:pPr>
            <w:r>
              <w:rPr>
                <w:rFonts w:ascii="Arial" w:cs="Arial" w:eastAsia="Arial" w:hAnsi="Arial"/>
                <w:sz w:val="12"/>
                <w:szCs w:val="12"/>
                <w:color w:val="7B7C80"/>
              </w:rPr>
              <w:t>$</w:t>
            </w:r>
          </w:p>
        </w:tc>
        <w:tc>
          <w:tcPr>
            <w:tcW w:w="260" w:type="dxa"/>
            <w:vAlign w:val="bottom"/>
          </w:tcPr>
          <w:p>
            <w:pPr>
              <w:jc w:val="right"/>
              <w:spacing w:after="0" w:line="129" w:lineRule="exact"/>
              <w:rPr>
                <w:sz w:val="20"/>
                <w:szCs w:val="20"/>
                <w:color w:val="auto"/>
              </w:rPr>
            </w:pPr>
            <w:r>
              <w:rPr>
                <w:rFonts w:ascii="Arial" w:cs="Arial" w:eastAsia="Arial" w:hAnsi="Arial"/>
                <w:sz w:val="12"/>
                <w:szCs w:val="12"/>
                <w:color w:val="7B7C80"/>
              </w:rPr>
              <w:t>0</w:t>
            </w:r>
          </w:p>
        </w:tc>
        <w:tc>
          <w:tcPr>
            <w:tcW w:w="18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9" w:lineRule="exact"/>
              <w:rPr>
                <w:sz w:val="20"/>
                <w:szCs w:val="20"/>
                <w:color w:val="auto"/>
              </w:rPr>
            </w:pPr>
            <w:r>
              <w:rPr>
                <w:rFonts w:ascii="Arial" w:cs="Arial" w:eastAsia="Arial" w:hAnsi="Arial"/>
                <w:sz w:val="12"/>
                <w:szCs w:val="12"/>
                <w:color w:val="7B7C80"/>
              </w:rPr>
              <w:t>1,189,116</w:t>
            </w:r>
          </w:p>
        </w:tc>
        <w:tc>
          <w:tcPr>
            <w:tcW w:w="18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9" w:lineRule="exact"/>
              <w:rPr>
                <w:sz w:val="20"/>
                <w:szCs w:val="20"/>
                <w:color w:val="auto"/>
              </w:rPr>
            </w:pPr>
            <w:r>
              <w:rPr>
                <w:rFonts w:ascii="Arial" w:cs="Arial" w:eastAsia="Arial" w:hAnsi="Arial"/>
                <w:sz w:val="12"/>
                <w:szCs w:val="12"/>
                <w:color w:val="7B7C80"/>
              </w:rPr>
              <w:t>1,189,128</w:t>
            </w:r>
          </w:p>
        </w:tc>
        <w:tc>
          <w:tcPr>
            <w:tcW w:w="280" w:type="dxa"/>
            <w:vAlign w:val="bottom"/>
          </w:tcPr>
          <w:p>
            <w:pPr>
              <w:ind w:left="80"/>
              <w:spacing w:after="0" w:line="129" w:lineRule="exact"/>
              <w:rPr>
                <w:sz w:val="20"/>
                <w:szCs w:val="20"/>
                <w:color w:val="auto"/>
              </w:rPr>
            </w:pPr>
            <w:r>
              <w:rPr>
                <w:rFonts w:ascii="Arial" w:cs="Arial" w:eastAsia="Arial" w:hAnsi="Arial"/>
                <w:sz w:val="12"/>
                <w:szCs w:val="12"/>
                <w:color w:val="7B7C80"/>
              </w:rPr>
              <w:t>$</w:t>
            </w:r>
          </w:p>
        </w:tc>
        <w:tc>
          <w:tcPr>
            <w:tcW w:w="820" w:type="dxa"/>
            <w:vAlign w:val="bottom"/>
          </w:tcPr>
          <w:p>
            <w:pPr>
              <w:jc w:val="right"/>
              <w:spacing w:after="0" w:line="129" w:lineRule="exact"/>
              <w:rPr>
                <w:sz w:val="20"/>
                <w:szCs w:val="20"/>
                <w:color w:val="auto"/>
              </w:rPr>
            </w:pPr>
            <w:r>
              <w:rPr>
                <w:rFonts w:ascii="Arial" w:cs="Arial" w:eastAsia="Arial" w:hAnsi="Arial"/>
                <w:sz w:val="12"/>
                <w:szCs w:val="12"/>
                <w:color w:val="7B7C80"/>
              </w:rPr>
              <w:t>2,881,000</w:t>
            </w:r>
          </w:p>
        </w:tc>
        <w:tc>
          <w:tcPr>
            <w:tcW w:w="220" w:type="dxa"/>
            <w:vAlign w:val="bottom"/>
          </w:tcPr>
          <w:p>
            <w:pPr>
              <w:ind w:left="80"/>
              <w:spacing w:after="0" w:line="129" w:lineRule="exact"/>
              <w:rPr>
                <w:sz w:val="20"/>
                <w:szCs w:val="20"/>
                <w:color w:val="auto"/>
              </w:rPr>
            </w:pPr>
            <w:r>
              <w:rPr>
                <w:rFonts w:ascii="Arial" w:cs="Arial" w:eastAsia="Arial" w:hAnsi="Arial"/>
                <w:sz w:val="12"/>
                <w:szCs w:val="12"/>
                <w:color w:val="7B7C80"/>
              </w:rPr>
              <w:t>$</w:t>
            </w:r>
          </w:p>
        </w:tc>
        <w:tc>
          <w:tcPr>
            <w:tcW w:w="780" w:type="dxa"/>
            <w:vAlign w:val="bottom"/>
          </w:tcPr>
          <w:p>
            <w:pPr>
              <w:jc w:val="right"/>
              <w:spacing w:after="0" w:line="129" w:lineRule="exact"/>
              <w:rPr>
                <w:sz w:val="20"/>
                <w:szCs w:val="20"/>
                <w:color w:val="auto"/>
              </w:rPr>
            </w:pPr>
            <w:r>
              <w:rPr>
                <w:rFonts w:ascii="Arial" w:cs="Arial" w:eastAsia="Arial" w:hAnsi="Arial"/>
                <w:sz w:val="12"/>
                <w:szCs w:val="12"/>
                <w:color w:val="7B7C80"/>
              </w:rPr>
              <w:t>84,047</w:t>
            </w:r>
          </w:p>
        </w:tc>
        <w:tc>
          <w:tcPr>
            <w:tcW w:w="340" w:type="dxa"/>
            <w:vAlign w:val="bottom"/>
          </w:tcPr>
          <w:p>
            <w:pPr>
              <w:ind w:left="80"/>
              <w:spacing w:after="0" w:line="129" w:lineRule="exact"/>
              <w:rPr>
                <w:sz w:val="20"/>
                <w:szCs w:val="20"/>
                <w:color w:val="auto"/>
              </w:rPr>
            </w:pPr>
            <w:r>
              <w:rPr>
                <w:rFonts w:ascii="Arial" w:cs="Arial" w:eastAsia="Arial" w:hAnsi="Arial"/>
                <w:sz w:val="12"/>
                <w:szCs w:val="12"/>
                <w:color w:val="7B7C80"/>
              </w:rPr>
              <w:t>$</w:t>
            </w:r>
          </w:p>
        </w:tc>
        <w:tc>
          <w:tcPr>
            <w:tcW w:w="760" w:type="dxa"/>
            <w:vAlign w:val="bottom"/>
          </w:tcPr>
          <w:p>
            <w:pPr>
              <w:jc w:val="right"/>
              <w:spacing w:after="0" w:line="129" w:lineRule="exact"/>
              <w:rPr>
                <w:sz w:val="20"/>
                <w:szCs w:val="20"/>
                <w:color w:val="auto"/>
              </w:rPr>
            </w:pPr>
            <w:r>
              <w:rPr>
                <w:rFonts w:ascii="Arial" w:cs="Arial" w:eastAsia="Arial" w:hAnsi="Arial"/>
                <w:sz w:val="12"/>
                <w:szCs w:val="12"/>
                <w:color w:val="7B7C80"/>
              </w:rPr>
              <w:t>13,682</w:t>
            </w:r>
          </w:p>
        </w:tc>
        <w:tc>
          <w:tcPr>
            <w:tcW w:w="18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Pr>
          <w:p>
            <w:pPr>
              <w:jc w:val="right"/>
              <w:spacing w:after="0" w:line="129" w:lineRule="exact"/>
              <w:rPr>
                <w:sz w:val="20"/>
                <w:szCs w:val="20"/>
                <w:color w:val="auto"/>
              </w:rPr>
            </w:pPr>
            <w:r>
              <w:rPr>
                <w:rFonts w:ascii="Arial" w:cs="Arial" w:eastAsia="Arial" w:hAnsi="Arial"/>
                <w:sz w:val="12"/>
                <w:szCs w:val="12"/>
                <w:color w:val="7B7C80"/>
              </w:rPr>
              <w:t>6,033,877</w:t>
            </w:r>
          </w:p>
        </w:tc>
      </w:tr>
      <w:tr>
        <w:trPr>
          <w:trHeight w:val="183"/>
        </w:trPr>
        <w:tc>
          <w:tcPr>
            <w:tcW w:w="1080" w:type="dxa"/>
            <w:vAlign w:val="bottom"/>
          </w:tcPr>
          <w:p>
            <w:pPr>
              <w:spacing w:after="0"/>
              <w:rPr>
                <w:sz w:val="15"/>
                <w:szCs w:val="15"/>
                <w:color w:val="auto"/>
              </w:rPr>
            </w:pPr>
          </w:p>
        </w:tc>
        <w:tc>
          <w:tcPr>
            <w:tcW w:w="4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2016</w:t>
            </w:r>
          </w:p>
        </w:tc>
        <w:tc>
          <w:tcPr>
            <w:tcW w:w="1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19"/>
              <w:spacing w:after="0"/>
              <w:rPr>
                <w:sz w:val="20"/>
                <w:szCs w:val="20"/>
                <w:color w:val="auto"/>
              </w:rPr>
            </w:pPr>
            <w:r>
              <w:rPr>
                <w:rFonts w:ascii="Arial" w:cs="Arial" w:eastAsia="Arial" w:hAnsi="Arial"/>
                <w:sz w:val="12"/>
                <w:szCs w:val="12"/>
                <w:color w:val="7B7C80"/>
              </w:rPr>
              <w:t>663,500</w:t>
            </w:r>
          </w:p>
        </w:tc>
        <w:tc>
          <w:tcPr>
            <w:tcW w:w="260" w:type="dxa"/>
            <w:vAlign w:val="bottom"/>
            <w:shd w:val="clear" w:color="auto" w:fill="E7E6E7"/>
          </w:tcPr>
          <w:p>
            <w:pPr>
              <w:ind w:left="60"/>
              <w:spacing w:after="0"/>
              <w:rPr>
                <w:sz w:val="20"/>
                <w:szCs w:val="20"/>
                <w:color w:val="auto"/>
              </w:rPr>
            </w:pPr>
            <w:r>
              <w:rPr>
                <w:rFonts w:ascii="Arial" w:cs="Arial" w:eastAsia="Arial" w:hAnsi="Arial"/>
                <w:sz w:val="12"/>
                <w:szCs w:val="12"/>
                <w:color w:val="7B7C80"/>
              </w:rPr>
              <w:t>$</w:t>
            </w:r>
          </w:p>
        </w:tc>
        <w:tc>
          <w:tcPr>
            <w:tcW w:w="2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1,082,263</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1,082,253</w:t>
            </w:r>
          </w:p>
        </w:tc>
        <w:tc>
          <w:tcPr>
            <w:tcW w:w="280" w:type="dxa"/>
            <w:vAlign w:val="bottom"/>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82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1,958,000</w:t>
            </w:r>
          </w:p>
        </w:tc>
        <w:tc>
          <w:tcPr>
            <w:tcW w:w="220" w:type="dxa"/>
            <w:vAlign w:val="bottom"/>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73,538</w:t>
            </w:r>
          </w:p>
        </w:tc>
        <w:tc>
          <w:tcPr>
            <w:tcW w:w="340" w:type="dxa"/>
            <w:vAlign w:val="bottom"/>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13,500</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4,873,054</w:t>
            </w:r>
          </w:p>
        </w:tc>
      </w:tr>
      <w:tr>
        <w:trPr>
          <w:trHeight w:val="183"/>
        </w:trPr>
        <w:tc>
          <w:tcPr>
            <w:tcW w:w="1080" w:type="dxa"/>
            <w:vAlign w:val="bottom"/>
            <w:tcBorders>
              <w:bottom w:val="single" w:sz="8" w:color="7B7C80"/>
            </w:tcBorders>
          </w:tcPr>
          <w:p>
            <w:pPr>
              <w:spacing w:after="0"/>
              <w:rPr>
                <w:sz w:val="15"/>
                <w:szCs w:val="15"/>
                <w:color w:val="auto"/>
              </w:rPr>
            </w:pPr>
          </w:p>
        </w:tc>
        <w:tc>
          <w:tcPr>
            <w:tcW w:w="4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2015</w:t>
            </w:r>
          </w:p>
        </w:tc>
        <w:tc>
          <w:tcPr>
            <w:tcW w:w="1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19"/>
              <w:spacing w:after="0"/>
              <w:rPr>
                <w:sz w:val="20"/>
                <w:szCs w:val="20"/>
                <w:color w:val="auto"/>
              </w:rPr>
            </w:pPr>
            <w:r>
              <w:rPr>
                <w:rFonts w:ascii="Arial" w:cs="Arial" w:eastAsia="Arial" w:hAnsi="Arial"/>
                <w:sz w:val="12"/>
                <w:szCs w:val="12"/>
                <w:color w:val="7B7C80"/>
              </w:rPr>
              <w:t>673,731</w:t>
            </w:r>
          </w:p>
        </w:tc>
        <w:tc>
          <w:tcPr>
            <w:tcW w:w="260" w:type="dxa"/>
            <w:vAlign w:val="bottom"/>
            <w:tcBorders>
              <w:bottom w:val="single" w:sz="8" w:color="7B7C80"/>
            </w:tcBorders>
          </w:tcPr>
          <w:p>
            <w:pPr>
              <w:ind w:left="60"/>
              <w:spacing w:after="0"/>
              <w:rPr>
                <w:sz w:val="20"/>
                <w:szCs w:val="20"/>
                <w:color w:val="auto"/>
              </w:rPr>
            </w:pPr>
            <w:r>
              <w:rPr>
                <w:rFonts w:ascii="Arial" w:cs="Arial" w:eastAsia="Arial" w:hAnsi="Arial"/>
                <w:sz w:val="12"/>
                <w:szCs w:val="12"/>
                <w:color w:val="7B7C80"/>
              </w:rPr>
              <w:t>$</w:t>
            </w:r>
          </w:p>
        </w:tc>
        <w:tc>
          <w:tcPr>
            <w:tcW w:w="2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1,061,145</w:t>
            </w:r>
          </w:p>
        </w:tc>
        <w:tc>
          <w:tcPr>
            <w:tcW w:w="1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1,061,134</w:t>
            </w:r>
          </w:p>
        </w:tc>
        <w:tc>
          <w:tcPr>
            <w:tcW w:w="280" w:type="dxa"/>
            <w:vAlign w:val="bottom"/>
            <w:tcBorders>
              <w:bottom w:val="single" w:sz="8" w:color="7B7C80"/>
            </w:tcBorders>
          </w:tcPr>
          <w:p>
            <w:pPr>
              <w:ind w:left="80"/>
              <w:spacing w:after="0"/>
              <w:rPr>
                <w:sz w:val="20"/>
                <w:szCs w:val="20"/>
                <w:color w:val="auto"/>
              </w:rPr>
            </w:pPr>
            <w:r>
              <w:rPr>
                <w:rFonts w:ascii="Arial" w:cs="Arial" w:eastAsia="Arial" w:hAnsi="Arial"/>
                <w:sz w:val="12"/>
                <w:szCs w:val="12"/>
                <w:color w:val="7B7C80"/>
              </w:rPr>
              <w:t>$</w:t>
            </w:r>
          </w:p>
        </w:tc>
        <w:tc>
          <w:tcPr>
            <w:tcW w:w="82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1,563,000</w:t>
            </w:r>
          </w:p>
        </w:tc>
        <w:tc>
          <w:tcPr>
            <w:tcW w:w="220" w:type="dxa"/>
            <w:vAlign w:val="bottom"/>
            <w:tcBorders>
              <w:bottom w:val="single" w:sz="8" w:color="7B7C80"/>
            </w:tcBorders>
          </w:tcPr>
          <w:p>
            <w:pPr>
              <w:ind w:left="80"/>
              <w:spacing w:after="0"/>
              <w:rPr>
                <w:sz w:val="20"/>
                <w:szCs w:val="20"/>
                <w:color w:val="auto"/>
              </w:rPr>
            </w:pPr>
            <w:r>
              <w:rPr>
                <w:rFonts w:ascii="Arial" w:cs="Arial" w:eastAsia="Arial" w:hAnsi="Arial"/>
                <w:sz w:val="12"/>
                <w:szCs w:val="12"/>
                <w:color w:val="7B7C80"/>
              </w:rPr>
              <w:t>$</w:t>
            </w:r>
          </w:p>
        </w:tc>
        <w:tc>
          <w:tcPr>
            <w:tcW w:w="7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46,816</w:t>
            </w:r>
          </w:p>
        </w:tc>
        <w:tc>
          <w:tcPr>
            <w:tcW w:w="340" w:type="dxa"/>
            <w:vAlign w:val="bottom"/>
            <w:tcBorders>
              <w:bottom w:val="single" w:sz="8" w:color="7B7C80"/>
            </w:tcBorders>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13,702</w:t>
            </w:r>
          </w:p>
        </w:tc>
        <w:tc>
          <w:tcPr>
            <w:tcW w:w="1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4,419,528</w:t>
            </w:r>
          </w:p>
        </w:tc>
      </w:tr>
      <w:tr>
        <w:trPr>
          <w:trHeight w:val="129"/>
        </w:trPr>
        <w:tc>
          <w:tcPr>
            <w:tcW w:w="1080" w:type="dxa"/>
            <w:vAlign w:val="bottom"/>
          </w:tcPr>
          <w:p>
            <w:pPr>
              <w:spacing w:after="0" w:line="129" w:lineRule="exact"/>
              <w:rPr>
                <w:sz w:val="20"/>
                <w:szCs w:val="20"/>
                <w:color w:val="auto"/>
              </w:rPr>
            </w:pPr>
            <w:r>
              <w:rPr>
                <w:rFonts w:ascii="Arial" w:cs="Arial" w:eastAsia="Arial" w:hAnsi="Arial"/>
                <w:sz w:val="12"/>
                <w:szCs w:val="12"/>
                <w:color w:val="7B7C80"/>
              </w:rPr>
              <w:t>Valdés</w:t>
            </w:r>
          </w:p>
        </w:tc>
        <w:tc>
          <w:tcPr>
            <w:tcW w:w="4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2017</w:t>
            </w:r>
          </w:p>
        </w:tc>
        <w:tc>
          <w:tcPr>
            <w:tcW w:w="1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601,192</w:t>
            </w:r>
          </w:p>
        </w:tc>
        <w:tc>
          <w:tcPr>
            <w:tcW w:w="260" w:type="dxa"/>
            <w:vAlign w:val="bottom"/>
            <w:shd w:val="clear" w:color="auto" w:fill="E7E6E7"/>
          </w:tcPr>
          <w:p>
            <w:pPr>
              <w:ind w:left="60"/>
              <w:spacing w:after="0" w:line="129" w:lineRule="exact"/>
              <w:rPr>
                <w:sz w:val="20"/>
                <w:szCs w:val="20"/>
                <w:color w:val="auto"/>
              </w:rPr>
            </w:pPr>
            <w:r>
              <w:rPr>
                <w:rFonts w:ascii="Arial" w:cs="Arial" w:eastAsia="Arial" w:hAnsi="Arial"/>
                <w:sz w:val="12"/>
                <w:szCs w:val="12"/>
                <w:color w:val="7B7C80"/>
              </w:rPr>
              <w:t>$</w:t>
            </w:r>
          </w:p>
        </w:tc>
        <w:tc>
          <w:tcPr>
            <w:tcW w:w="2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754,364</w:t>
            </w:r>
          </w:p>
        </w:tc>
        <w:tc>
          <w:tcPr>
            <w:tcW w:w="1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754,400</w:t>
            </w:r>
          </w:p>
        </w:tc>
        <w:tc>
          <w:tcPr>
            <w:tcW w:w="280" w:type="dxa"/>
            <w:vAlign w:val="bottom"/>
            <w:shd w:val="clear" w:color="auto" w:fill="E7E6E7"/>
          </w:tcPr>
          <w:p>
            <w:pPr>
              <w:ind w:left="80"/>
              <w:spacing w:after="0" w:line="129" w:lineRule="exact"/>
              <w:rPr>
                <w:sz w:val="20"/>
                <w:szCs w:val="20"/>
                <w:color w:val="auto"/>
              </w:rPr>
            </w:pPr>
            <w:r>
              <w:rPr>
                <w:rFonts w:ascii="Arial" w:cs="Arial" w:eastAsia="Arial" w:hAnsi="Arial"/>
                <w:sz w:val="12"/>
                <w:szCs w:val="12"/>
                <w:color w:val="7B7C80"/>
              </w:rPr>
              <w:t>$</w:t>
            </w:r>
          </w:p>
        </w:tc>
        <w:tc>
          <w:tcPr>
            <w:tcW w:w="8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640,000</w:t>
            </w:r>
          </w:p>
        </w:tc>
        <w:tc>
          <w:tcPr>
            <w:tcW w:w="220" w:type="dxa"/>
            <w:vAlign w:val="bottom"/>
            <w:shd w:val="clear" w:color="auto" w:fill="E7E6E7"/>
          </w:tcPr>
          <w:p>
            <w:pPr>
              <w:ind w:left="80"/>
              <w:spacing w:after="0" w:line="129" w:lineRule="exact"/>
              <w:rPr>
                <w:sz w:val="20"/>
                <w:szCs w:val="20"/>
                <w:color w:val="auto"/>
              </w:rPr>
            </w:pPr>
            <w:r>
              <w:rPr>
                <w:rFonts w:ascii="Arial" w:cs="Arial" w:eastAsia="Arial" w:hAnsi="Arial"/>
                <w:sz w:val="12"/>
                <w:szCs w:val="12"/>
                <w:color w:val="7B7C80"/>
              </w:rPr>
              <w:t>$</w:t>
            </w:r>
          </w:p>
        </w:tc>
        <w:tc>
          <w:tcPr>
            <w:tcW w:w="7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148,847</w:t>
            </w:r>
          </w:p>
        </w:tc>
        <w:tc>
          <w:tcPr>
            <w:tcW w:w="340" w:type="dxa"/>
            <w:vAlign w:val="bottom"/>
            <w:shd w:val="clear" w:color="auto" w:fill="E7E6E7"/>
          </w:tcPr>
          <w:p>
            <w:pPr>
              <w:ind w:left="80"/>
              <w:spacing w:after="0" w:line="129" w:lineRule="exact"/>
              <w:rPr>
                <w:sz w:val="20"/>
                <w:szCs w:val="20"/>
                <w:color w:val="auto"/>
              </w:rPr>
            </w:pPr>
            <w:r>
              <w:rPr>
                <w:rFonts w:ascii="Arial" w:cs="Arial" w:eastAsia="Arial" w:hAnsi="Arial"/>
                <w:sz w:val="12"/>
                <w:szCs w:val="12"/>
                <w:color w:val="7B7C80"/>
              </w:rPr>
              <w:t>$</w:t>
            </w:r>
          </w:p>
        </w:tc>
        <w:tc>
          <w:tcPr>
            <w:tcW w:w="7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76,994</w:t>
            </w:r>
          </w:p>
        </w:tc>
        <w:tc>
          <w:tcPr>
            <w:tcW w:w="1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2,975,797</w:t>
            </w:r>
          </w:p>
        </w:tc>
      </w:tr>
      <w:tr>
        <w:trPr>
          <w:trHeight w:val="183"/>
        </w:trPr>
        <w:tc>
          <w:tcPr>
            <w:tcW w:w="1080" w:type="dxa"/>
            <w:vAlign w:val="bottom"/>
          </w:tcPr>
          <w:p>
            <w:pPr>
              <w:spacing w:after="0"/>
              <w:rPr>
                <w:sz w:val="15"/>
                <w:szCs w:val="15"/>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7B7C80"/>
              </w:rPr>
              <w:t>2016</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580" w:type="dxa"/>
            <w:vAlign w:val="bottom"/>
          </w:tcPr>
          <w:p>
            <w:pPr>
              <w:jc w:val="right"/>
              <w:ind w:right="19"/>
              <w:spacing w:after="0"/>
              <w:rPr>
                <w:sz w:val="20"/>
                <w:szCs w:val="20"/>
                <w:color w:val="auto"/>
              </w:rPr>
            </w:pPr>
            <w:r>
              <w:rPr>
                <w:rFonts w:ascii="Arial" w:cs="Arial" w:eastAsia="Arial" w:hAnsi="Arial"/>
                <w:sz w:val="12"/>
                <w:szCs w:val="12"/>
                <w:color w:val="7B7C80"/>
              </w:rPr>
              <w:t>589,288</w:t>
            </w:r>
          </w:p>
        </w:tc>
        <w:tc>
          <w:tcPr>
            <w:tcW w:w="260" w:type="dxa"/>
            <w:vAlign w:val="bottom"/>
          </w:tcPr>
          <w:p>
            <w:pPr>
              <w:ind w:left="60"/>
              <w:spacing w:after="0"/>
              <w:rPr>
                <w:sz w:val="20"/>
                <w:szCs w:val="20"/>
                <w:color w:val="auto"/>
              </w:rPr>
            </w:pPr>
            <w:r>
              <w:rPr>
                <w:rFonts w:ascii="Arial" w:cs="Arial" w:eastAsia="Arial" w:hAnsi="Arial"/>
                <w:sz w:val="12"/>
                <w:szCs w:val="12"/>
                <w:color w:val="7B7C80"/>
              </w:rPr>
              <w:t>$</w:t>
            </w:r>
          </w:p>
        </w:tc>
        <w:tc>
          <w:tcPr>
            <w:tcW w:w="260" w:type="dxa"/>
            <w:vAlign w:val="bottom"/>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739,376</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739,396</w:t>
            </w:r>
          </w:p>
        </w:tc>
        <w:tc>
          <w:tcPr>
            <w:tcW w:w="280" w:type="dxa"/>
            <w:vAlign w:val="bottom"/>
          </w:tcPr>
          <w:p>
            <w:pPr>
              <w:ind w:left="80"/>
              <w:spacing w:after="0"/>
              <w:rPr>
                <w:sz w:val="20"/>
                <w:szCs w:val="20"/>
                <w:color w:val="auto"/>
              </w:rPr>
            </w:pPr>
            <w:r>
              <w:rPr>
                <w:rFonts w:ascii="Arial" w:cs="Arial" w:eastAsia="Arial" w:hAnsi="Arial"/>
                <w:sz w:val="12"/>
                <w:szCs w:val="12"/>
                <w:color w:val="7B7C80"/>
              </w:rPr>
              <w:t>$</w:t>
            </w:r>
          </w:p>
        </w:tc>
        <w:tc>
          <w:tcPr>
            <w:tcW w:w="820" w:type="dxa"/>
            <w:vAlign w:val="bottom"/>
          </w:tcPr>
          <w:p>
            <w:pPr>
              <w:jc w:val="right"/>
              <w:spacing w:after="0"/>
              <w:rPr>
                <w:sz w:val="20"/>
                <w:szCs w:val="20"/>
                <w:color w:val="auto"/>
              </w:rPr>
            </w:pPr>
            <w:r>
              <w:rPr>
                <w:rFonts w:ascii="Arial" w:cs="Arial" w:eastAsia="Arial" w:hAnsi="Arial"/>
                <w:sz w:val="12"/>
                <w:szCs w:val="12"/>
                <w:color w:val="7B7C80"/>
              </w:rPr>
              <w:t>413,000</w:t>
            </w:r>
          </w:p>
        </w:tc>
        <w:tc>
          <w:tcPr>
            <w:tcW w:w="220" w:type="dxa"/>
            <w:vAlign w:val="bottom"/>
          </w:tcPr>
          <w:p>
            <w:pPr>
              <w:ind w:left="80"/>
              <w:spacing w:after="0"/>
              <w:rPr>
                <w:sz w:val="20"/>
                <w:szCs w:val="20"/>
                <w:color w:val="auto"/>
              </w:rPr>
            </w:pPr>
            <w:r>
              <w:rPr>
                <w:rFonts w:ascii="Arial" w:cs="Arial" w:eastAsia="Arial" w:hAnsi="Arial"/>
                <w:sz w:val="12"/>
                <w:szCs w:val="12"/>
                <w:color w:val="7B7C80"/>
              </w:rPr>
              <w:t>$</w:t>
            </w:r>
          </w:p>
        </w:tc>
        <w:tc>
          <w:tcPr>
            <w:tcW w:w="780" w:type="dxa"/>
            <w:vAlign w:val="bottom"/>
          </w:tcPr>
          <w:p>
            <w:pPr>
              <w:jc w:val="right"/>
              <w:spacing w:after="0"/>
              <w:rPr>
                <w:sz w:val="20"/>
                <w:szCs w:val="20"/>
                <w:color w:val="auto"/>
              </w:rPr>
            </w:pPr>
            <w:r>
              <w:rPr>
                <w:rFonts w:ascii="Arial" w:cs="Arial" w:eastAsia="Arial" w:hAnsi="Arial"/>
                <w:sz w:val="12"/>
                <w:szCs w:val="12"/>
                <w:color w:val="7B7C80"/>
              </w:rPr>
              <w:t>112,356</w:t>
            </w:r>
          </w:p>
        </w:tc>
        <w:tc>
          <w:tcPr>
            <w:tcW w:w="340" w:type="dxa"/>
            <w:vAlign w:val="bottom"/>
          </w:tcPr>
          <w:p>
            <w:pPr>
              <w:ind w:left="80"/>
              <w:spacing w:after="0"/>
              <w:rPr>
                <w:sz w:val="20"/>
                <w:szCs w:val="20"/>
                <w:color w:val="auto"/>
              </w:rPr>
            </w:pPr>
            <w:r>
              <w:rPr>
                <w:rFonts w:ascii="Arial" w:cs="Arial" w:eastAsia="Arial" w:hAnsi="Arial"/>
                <w:sz w:val="12"/>
                <w:szCs w:val="12"/>
                <w:color w:val="7B7C80"/>
              </w:rPr>
              <w:t>$</w:t>
            </w:r>
          </w:p>
        </w:tc>
        <w:tc>
          <w:tcPr>
            <w:tcW w:w="760" w:type="dxa"/>
            <w:vAlign w:val="bottom"/>
          </w:tcPr>
          <w:p>
            <w:pPr>
              <w:jc w:val="right"/>
              <w:spacing w:after="0"/>
              <w:rPr>
                <w:sz w:val="20"/>
                <w:szCs w:val="20"/>
                <w:color w:val="auto"/>
              </w:rPr>
            </w:pPr>
            <w:r>
              <w:rPr>
                <w:rFonts w:ascii="Arial" w:cs="Arial" w:eastAsia="Arial" w:hAnsi="Arial"/>
                <w:sz w:val="12"/>
                <w:szCs w:val="12"/>
                <w:color w:val="7B7C80"/>
              </w:rPr>
              <w:t>74,761</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640" w:type="dxa"/>
            <w:vAlign w:val="bottom"/>
          </w:tcPr>
          <w:p>
            <w:pPr>
              <w:jc w:val="right"/>
              <w:spacing w:after="0"/>
              <w:rPr>
                <w:sz w:val="20"/>
                <w:szCs w:val="20"/>
                <w:color w:val="auto"/>
              </w:rPr>
            </w:pPr>
            <w:r>
              <w:rPr>
                <w:rFonts w:ascii="Arial" w:cs="Arial" w:eastAsia="Arial" w:hAnsi="Arial"/>
                <w:sz w:val="12"/>
                <w:szCs w:val="12"/>
                <w:color w:val="7B7C80"/>
              </w:rPr>
              <w:t>2,668,177</w:t>
            </w:r>
          </w:p>
        </w:tc>
      </w:tr>
      <w:tr>
        <w:trPr>
          <w:trHeight w:val="186"/>
        </w:trPr>
        <w:tc>
          <w:tcPr>
            <w:tcW w:w="1080" w:type="dxa"/>
            <w:vAlign w:val="bottom"/>
            <w:tcBorders>
              <w:bottom w:val="single" w:sz="8" w:color="009CCC"/>
            </w:tcBorders>
          </w:tcPr>
          <w:p>
            <w:pPr>
              <w:spacing w:after="0"/>
              <w:rPr>
                <w:sz w:val="16"/>
                <w:szCs w:val="16"/>
                <w:color w:val="auto"/>
              </w:rPr>
            </w:pPr>
          </w:p>
        </w:tc>
        <w:tc>
          <w:tcPr>
            <w:tcW w:w="44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2015</w:t>
            </w:r>
          </w:p>
        </w:tc>
        <w:tc>
          <w:tcPr>
            <w:tcW w:w="16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009CCC"/>
            </w:tcBorders>
            <w:shd w:val="clear" w:color="auto" w:fill="E7E6E7"/>
          </w:tcPr>
          <w:p>
            <w:pPr>
              <w:jc w:val="right"/>
              <w:ind w:right="19"/>
              <w:spacing w:after="0"/>
              <w:rPr>
                <w:sz w:val="20"/>
                <w:szCs w:val="20"/>
                <w:color w:val="auto"/>
              </w:rPr>
            </w:pPr>
            <w:r>
              <w:rPr>
                <w:rFonts w:ascii="Arial" w:cs="Arial" w:eastAsia="Arial" w:hAnsi="Arial"/>
                <w:sz w:val="12"/>
                <w:szCs w:val="12"/>
                <w:color w:val="7B7C80"/>
              </w:rPr>
              <w:t>598,385</w:t>
            </w:r>
          </w:p>
        </w:tc>
        <w:tc>
          <w:tcPr>
            <w:tcW w:w="260" w:type="dxa"/>
            <w:vAlign w:val="bottom"/>
            <w:tcBorders>
              <w:bottom w:val="single" w:sz="8" w:color="009CCC"/>
            </w:tcBorders>
            <w:shd w:val="clear" w:color="auto" w:fill="E7E6E7"/>
          </w:tcPr>
          <w:p>
            <w:pPr>
              <w:ind w:left="60"/>
              <w:spacing w:after="0"/>
              <w:rPr>
                <w:sz w:val="20"/>
                <w:szCs w:val="20"/>
                <w:color w:val="auto"/>
              </w:rPr>
            </w:pPr>
            <w:r>
              <w:rPr>
                <w:rFonts w:ascii="Arial" w:cs="Arial" w:eastAsia="Arial" w:hAnsi="Arial"/>
                <w:sz w:val="12"/>
                <w:szCs w:val="12"/>
                <w:color w:val="7B7C80"/>
              </w:rPr>
              <w:t>$</w:t>
            </w:r>
          </w:p>
        </w:tc>
        <w:tc>
          <w:tcPr>
            <w:tcW w:w="26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18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724,984</w:t>
            </w:r>
          </w:p>
        </w:tc>
        <w:tc>
          <w:tcPr>
            <w:tcW w:w="18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724,959</w:t>
            </w:r>
          </w:p>
        </w:tc>
        <w:tc>
          <w:tcPr>
            <w:tcW w:w="280" w:type="dxa"/>
            <w:vAlign w:val="bottom"/>
            <w:tcBorders>
              <w:bottom w:val="single" w:sz="8" w:color="009CCC"/>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82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329,000</w:t>
            </w:r>
          </w:p>
        </w:tc>
        <w:tc>
          <w:tcPr>
            <w:tcW w:w="220" w:type="dxa"/>
            <w:vAlign w:val="bottom"/>
            <w:tcBorders>
              <w:bottom w:val="single" w:sz="8" w:color="009CCC"/>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8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113,838</w:t>
            </w:r>
          </w:p>
        </w:tc>
        <w:tc>
          <w:tcPr>
            <w:tcW w:w="340" w:type="dxa"/>
            <w:vAlign w:val="bottom"/>
            <w:tcBorders>
              <w:bottom w:val="single" w:sz="8" w:color="009CCC"/>
            </w:tcBorders>
            <w:shd w:val="clear" w:color="auto" w:fill="E7E6E7"/>
          </w:tcPr>
          <w:p>
            <w:pPr>
              <w:ind w:left="80"/>
              <w:spacing w:after="0"/>
              <w:rPr>
                <w:sz w:val="20"/>
                <w:szCs w:val="20"/>
                <w:color w:val="auto"/>
              </w:rPr>
            </w:pPr>
            <w:r>
              <w:rPr>
                <w:rFonts w:ascii="Arial" w:cs="Arial" w:eastAsia="Arial" w:hAnsi="Arial"/>
                <w:sz w:val="12"/>
                <w:szCs w:val="12"/>
                <w:color w:val="7B7C80"/>
              </w:rPr>
              <w:t>$</w:t>
            </w:r>
          </w:p>
        </w:tc>
        <w:tc>
          <w:tcPr>
            <w:tcW w:w="76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68,003</w:t>
            </w:r>
          </w:p>
        </w:tc>
        <w:tc>
          <w:tcPr>
            <w:tcW w:w="18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2"/>
                <w:szCs w:val="12"/>
                <w:color w:val="7B7C80"/>
              </w:rPr>
              <w:t>2,559,169</w:t>
            </w:r>
          </w:p>
        </w:tc>
      </w:tr>
    </w:tbl>
    <w:p>
      <w:pPr>
        <w:spacing w:after="0" w:line="187" w:lineRule="exact"/>
        <w:rPr>
          <w:sz w:val="20"/>
          <w:szCs w:val="20"/>
          <w:color w:val="auto"/>
        </w:rPr>
      </w:pPr>
    </w:p>
    <w:p>
      <w:pPr>
        <w:ind w:left="1820" w:hanging="455"/>
        <w:spacing w:after="0"/>
        <w:tabs>
          <w:tab w:leader="none" w:pos="1820" w:val="left"/>
        </w:tabs>
        <w:numPr>
          <w:ilvl w:val="0"/>
          <w:numId w:val="46"/>
        </w:numPr>
        <w:rPr>
          <w:rFonts w:ascii="Arial" w:cs="Arial" w:eastAsia="Arial" w:hAnsi="Arial"/>
          <w:sz w:val="12"/>
          <w:szCs w:val="12"/>
          <w:color w:val="7B7C80"/>
        </w:rPr>
      </w:pPr>
      <w:r>
        <w:rPr>
          <w:rFonts w:ascii="Arial" w:cs="Arial" w:eastAsia="Arial" w:hAnsi="Arial"/>
          <w:sz w:val="12"/>
          <w:szCs w:val="12"/>
          <w:color w:val="7B7C80"/>
        </w:rPr>
        <w:t>Includes 2017 salary deferred into the qualified 401(k) Plan and the Excess Plan, as shown below (information on deferrals for 2016 was included in last year's proxy statement):</w:t>
      </w:r>
    </w:p>
    <w:p>
      <w:pPr>
        <w:spacing w:after="0" w:line="193" w:lineRule="exact"/>
        <w:rPr>
          <w:sz w:val="20"/>
          <w:szCs w:val="20"/>
          <w:color w:val="auto"/>
        </w:rPr>
      </w:pPr>
    </w:p>
    <w:tbl>
      <w:tblPr>
        <w:tblLayout w:type="fixed"/>
        <w:tblInd w:w="1500" w:type="dxa"/>
        <w:tblCellMar>
          <w:top w:w="0" w:type="dxa"/>
          <w:left w:w="0" w:type="dxa"/>
          <w:bottom w:w="0" w:type="dxa"/>
          <w:right w:w="0" w:type="dxa"/>
        </w:tblCellMar>
      </w:tblPr>
      <w:tr>
        <w:trPr>
          <w:trHeight w:val="139"/>
        </w:trPr>
        <w:tc>
          <w:tcPr>
            <w:tcW w:w="3240" w:type="dxa"/>
            <w:vAlign w:val="bottom"/>
            <w:tcBorders>
              <w:top w:val="single" w:sz="8" w:color="009CCC"/>
            </w:tcBorders>
          </w:tcPr>
          <w:p>
            <w:pPr>
              <w:spacing w:after="0"/>
              <w:rPr>
                <w:sz w:val="12"/>
                <w:szCs w:val="12"/>
                <w:color w:val="auto"/>
              </w:rPr>
            </w:pPr>
          </w:p>
        </w:tc>
        <w:tc>
          <w:tcPr>
            <w:tcW w:w="2880" w:type="dxa"/>
            <w:vAlign w:val="bottom"/>
            <w:tcBorders>
              <w:top w:val="single" w:sz="8" w:color="009CCC"/>
            </w:tcBorders>
            <w:gridSpan w:val="2"/>
          </w:tcPr>
          <w:p>
            <w:pPr>
              <w:jc w:val="right"/>
              <w:ind w:right="39"/>
              <w:spacing w:after="0"/>
              <w:rPr>
                <w:sz w:val="20"/>
                <w:szCs w:val="20"/>
                <w:color w:val="auto"/>
              </w:rPr>
            </w:pPr>
            <w:r>
              <w:rPr>
                <w:rFonts w:ascii="Arial" w:cs="Arial" w:eastAsia="Arial" w:hAnsi="Arial"/>
                <w:sz w:val="12"/>
                <w:szCs w:val="12"/>
                <w:b w:val="1"/>
                <w:bCs w:val="1"/>
                <w:color w:val="009CCC"/>
              </w:rPr>
              <w:t>401(k) Employee</w:t>
            </w:r>
          </w:p>
        </w:tc>
        <w:tc>
          <w:tcPr>
            <w:tcW w:w="1500" w:type="dxa"/>
            <w:vAlign w:val="bottom"/>
            <w:tcBorders>
              <w:top w:val="single" w:sz="8" w:color="009CCC"/>
            </w:tcBorders>
            <w:gridSpan w:val="2"/>
          </w:tcPr>
          <w:p>
            <w:pPr>
              <w:jc w:val="right"/>
              <w:ind w:right="19"/>
              <w:spacing w:after="0"/>
              <w:rPr>
                <w:sz w:val="20"/>
                <w:szCs w:val="20"/>
                <w:color w:val="auto"/>
              </w:rPr>
            </w:pPr>
            <w:r>
              <w:rPr>
                <w:rFonts w:ascii="Arial" w:cs="Arial" w:eastAsia="Arial" w:hAnsi="Arial"/>
                <w:sz w:val="12"/>
                <w:szCs w:val="12"/>
                <w:b w:val="1"/>
                <w:bCs w:val="1"/>
                <w:color w:val="009CCC"/>
              </w:rPr>
              <w:t>Excess Plan Employee</w:t>
            </w:r>
          </w:p>
        </w:tc>
        <w:tc>
          <w:tcPr>
            <w:tcW w:w="980" w:type="dxa"/>
            <w:vAlign w:val="bottom"/>
            <w:tcBorders>
              <w:top w:val="single" w:sz="8" w:color="009CCC"/>
            </w:tcBorders>
            <w:gridSpan w:val="2"/>
          </w:tcPr>
          <w:p>
            <w:pPr>
              <w:jc w:val="right"/>
              <w:spacing w:after="0"/>
              <w:rPr>
                <w:sz w:val="20"/>
                <w:szCs w:val="20"/>
                <w:color w:val="auto"/>
              </w:rPr>
            </w:pPr>
            <w:r>
              <w:rPr>
                <w:rFonts w:ascii="Arial" w:cs="Arial" w:eastAsia="Arial" w:hAnsi="Arial"/>
                <w:sz w:val="12"/>
                <w:szCs w:val="12"/>
                <w:b w:val="1"/>
                <w:bCs w:val="1"/>
                <w:color w:val="009CCC"/>
              </w:rPr>
              <w:t>Total Employee</w:t>
            </w:r>
          </w:p>
        </w:tc>
      </w:tr>
      <w:tr>
        <w:trPr>
          <w:trHeight w:val="161"/>
        </w:trPr>
        <w:tc>
          <w:tcPr>
            <w:tcW w:w="3240" w:type="dxa"/>
            <w:vAlign w:val="bottom"/>
          </w:tcPr>
          <w:p>
            <w:pPr>
              <w:spacing w:after="0"/>
              <w:rPr>
                <w:sz w:val="20"/>
                <w:szCs w:val="20"/>
                <w:color w:val="auto"/>
              </w:rPr>
            </w:pPr>
            <w:r>
              <w:rPr>
                <w:rFonts w:ascii="Arial" w:cs="Arial" w:eastAsia="Arial" w:hAnsi="Arial"/>
                <w:sz w:val="12"/>
                <w:szCs w:val="12"/>
                <w:b w:val="1"/>
                <w:bCs w:val="1"/>
                <w:color w:val="009CCC"/>
              </w:rPr>
              <w:t>Named Executive Officer</w:t>
            </w:r>
          </w:p>
        </w:tc>
        <w:tc>
          <w:tcPr>
            <w:tcW w:w="2880" w:type="dxa"/>
            <w:vAlign w:val="bottom"/>
            <w:gridSpan w:val="2"/>
          </w:tcPr>
          <w:p>
            <w:pPr>
              <w:jc w:val="right"/>
              <w:ind w:right="39"/>
              <w:spacing w:after="0"/>
              <w:rPr>
                <w:sz w:val="20"/>
                <w:szCs w:val="20"/>
                <w:color w:val="auto"/>
              </w:rPr>
            </w:pPr>
            <w:r>
              <w:rPr>
                <w:rFonts w:ascii="Arial" w:cs="Arial" w:eastAsia="Arial" w:hAnsi="Arial"/>
                <w:sz w:val="12"/>
                <w:szCs w:val="12"/>
                <w:b w:val="1"/>
                <w:bCs w:val="1"/>
                <w:color w:val="009CCC"/>
              </w:rPr>
              <w:t>Contribution</w:t>
            </w:r>
          </w:p>
        </w:tc>
        <w:tc>
          <w:tcPr>
            <w:tcW w:w="1500" w:type="dxa"/>
            <w:vAlign w:val="bottom"/>
            <w:gridSpan w:val="2"/>
          </w:tcPr>
          <w:p>
            <w:pPr>
              <w:jc w:val="right"/>
              <w:ind w:right="19"/>
              <w:spacing w:after="0"/>
              <w:rPr>
                <w:sz w:val="20"/>
                <w:szCs w:val="20"/>
                <w:color w:val="auto"/>
              </w:rPr>
            </w:pPr>
            <w:r>
              <w:rPr>
                <w:rFonts w:ascii="Arial" w:cs="Arial" w:eastAsia="Arial" w:hAnsi="Arial"/>
                <w:sz w:val="12"/>
                <w:szCs w:val="12"/>
                <w:b w:val="1"/>
                <w:bCs w:val="1"/>
                <w:color w:val="009CCC"/>
              </w:rPr>
              <w:t>Contributions</w:t>
            </w:r>
          </w:p>
        </w:tc>
        <w:tc>
          <w:tcPr>
            <w:tcW w:w="980" w:type="dxa"/>
            <w:vAlign w:val="bottom"/>
            <w:gridSpan w:val="2"/>
          </w:tcPr>
          <w:p>
            <w:pPr>
              <w:jc w:val="right"/>
              <w:spacing w:after="0"/>
              <w:rPr>
                <w:sz w:val="20"/>
                <w:szCs w:val="20"/>
                <w:color w:val="auto"/>
              </w:rPr>
            </w:pPr>
            <w:r>
              <w:rPr>
                <w:rFonts w:ascii="Arial" w:cs="Arial" w:eastAsia="Arial" w:hAnsi="Arial"/>
                <w:sz w:val="12"/>
                <w:szCs w:val="12"/>
                <w:b w:val="1"/>
                <w:bCs w:val="1"/>
                <w:color w:val="009CCC"/>
              </w:rPr>
              <w:t>Contributions</w:t>
            </w:r>
          </w:p>
        </w:tc>
      </w:tr>
      <w:tr>
        <w:trPr>
          <w:trHeight w:val="21"/>
        </w:trPr>
        <w:tc>
          <w:tcPr>
            <w:tcW w:w="3240" w:type="dxa"/>
            <w:vAlign w:val="bottom"/>
            <w:tcBorders>
              <w:bottom w:val="single" w:sz="8" w:color="7B7C80"/>
            </w:tcBorders>
          </w:tcPr>
          <w:p>
            <w:pPr>
              <w:spacing w:after="0" w:line="20" w:lineRule="exact"/>
              <w:rPr>
                <w:sz w:val="1"/>
                <w:szCs w:val="1"/>
                <w:color w:val="auto"/>
              </w:rPr>
            </w:pPr>
          </w:p>
        </w:tc>
        <w:tc>
          <w:tcPr>
            <w:tcW w:w="2340" w:type="dxa"/>
            <w:vAlign w:val="bottom"/>
            <w:tcBorders>
              <w:bottom w:val="single" w:sz="8" w:color="7B7C80"/>
            </w:tcBorders>
          </w:tcPr>
          <w:p>
            <w:pPr>
              <w:spacing w:after="0" w:line="20" w:lineRule="exact"/>
              <w:rPr>
                <w:sz w:val="1"/>
                <w:szCs w:val="1"/>
                <w:color w:val="auto"/>
              </w:rPr>
            </w:pPr>
          </w:p>
        </w:tc>
        <w:tc>
          <w:tcPr>
            <w:tcW w:w="540" w:type="dxa"/>
            <w:vAlign w:val="bottom"/>
            <w:tcBorders>
              <w:bottom w:val="single" w:sz="8" w:color="7B7C80"/>
            </w:tcBorders>
          </w:tcPr>
          <w:p>
            <w:pPr>
              <w:spacing w:after="0" w:line="20" w:lineRule="exact"/>
              <w:rPr>
                <w:sz w:val="1"/>
                <w:szCs w:val="1"/>
                <w:color w:val="auto"/>
              </w:rPr>
            </w:pPr>
          </w:p>
        </w:tc>
        <w:tc>
          <w:tcPr>
            <w:tcW w:w="920" w:type="dxa"/>
            <w:vAlign w:val="bottom"/>
            <w:tcBorders>
              <w:bottom w:val="single" w:sz="8" w:color="7B7C80"/>
            </w:tcBorders>
          </w:tcPr>
          <w:p>
            <w:pPr>
              <w:spacing w:after="0" w:line="20" w:lineRule="exact"/>
              <w:rPr>
                <w:sz w:val="1"/>
                <w:szCs w:val="1"/>
                <w:color w:val="auto"/>
              </w:rPr>
            </w:pPr>
          </w:p>
        </w:tc>
        <w:tc>
          <w:tcPr>
            <w:tcW w:w="58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420" w:type="dxa"/>
            <w:vAlign w:val="bottom"/>
            <w:tcBorders>
              <w:bottom w:val="single" w:sz="8" w:color="7B7C80"/>
            </w:tcBorders>
          </w:tcPr>
          <w:p>
            <w:pPr>
              <w:spacing w:after="0" w:line="20" w:lineRule="exact"/>
              <w:rPr>
                <w:sz w:val="1"/>
                <w:szCs w:val="1"/>
                <w:color w:val="auto"/>
              </w:rPr>
            </w:pPr>
          </w:p>
        </w:tc>
      </w:tr>
      <w:tr>
        <w:trPr>
          <w:trHeight w:val="129"/>
        </w:trPr>
        <w:tc>
          <w:tcPr>
            <w:tcW w:w="324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Houston</w:t>
            </w:r>
          </w:p>
        </w:tc>
        <w:tc>
          <w:tcPr>
            <w:tcW w:w="23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4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17,808</w:t>
            </w:r>
          </w:p>
        </w:tc>
        <w:tc>
          <w:tcPr>
            <w:tcW w:w="920" w:type="dxa"/>
            <w:vAlign w:val="bottom"/>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70,462</w:t>
            </w:r>
          </w:p>
        </w:tc>
        <w:tc>
          <w:tcPr>
            <w:tcW w:w="5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88,270</w:t>
            </w:r>
          </w:p>
        </w:tc>
      </w:tr>
      <w:tr>
        <w:trPr>
          <w:trHeight w:val="34"/>
        </w:trPr>
        <w:tc>
          <w:tcPr>
            <w:tcW w:w="3240" w:type="dxa"/>
            <w:vAlign w:val="bottom"/>
            <w:tcBorders>
              <w:bottom w:val="single" w:sz="8" w:color="7B7C80"/>
            </w:tcBorders>
          </w:tcPr>
          <w:p>
            <w:pPr>
              <w:spacing w:after="0"/>
              <w:rPr>
                <w:sz w:val="2"/>
                <w:szCs w:val="2"/>
                <w:color w:val="auto"/>
              </w:rPr>
            </w:pPr>
          </w:p>
        </w:tc>
        <w:tc>
          <w:tcPr>
            <w:tcW w:w="234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c>
          <w:tcPr>
            <w:tcW w:w="92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420" w:type="dxa"/>
            <w:vAlign w:val="bottom"/>
            <w:tcBorders>
              <w:bottom w:val="single" w:sz="8" w:color="7B7C80"/>
            </w:tcBorders>
          </w:tcPr>
          <w:p>
            <w:pPr>
              <w:spacing w:after="0"/>
              <w:rPr>
                <w:sz w:val="2"/>
                <w:szCs w:val="2"/>
                <w:color w:val="auto"/>
              </w:rPr>
            </w:pPr>
          </w:p>
        </w:tc>
      </w:tr>
      <w:tr>
        <w:trPr>
          <w:trHeight w:val="142"/>
        </w:trPr>
        <w:tc>
          <w:tcPr>
            <w:tcW w:w="3240" w:type="dxa"/>
            <w:vAlign w:val="bottom"/>
          </w:tcPr>
          <w:p>
            <w:pPr>
              <w:spacing w:after="0"/>
              <w:rPr>
                <w:sz w:val="20"/>
                <w:szCs w:val="20"/>
                <w:color w:val="auto"/>
              </w:rPr>
            </w:pPr>
            <w:r>
              <w:rPr>
                <w:rFonts w:ascii="Arial" w:cs="Arial" w:eastAsia="Arial" w:hAnsi="Arial"/>
                <w:sz w:val="12"/>
                <w:szCs w:val="12"/>
                <w:color w:val="7B7C80"/>
              </w:rPr>
              <w:t>Strable</w:t>
            </w:r>
          </w:p>
        </w:tc>
        <w:tc>
          <w:tcPr>
            <w:tcW w:w="2340" w:type="dxa"/>
            <w:vAlign w:val="bottom"/>
          </w:tcPr>
          <w:p>
            <w:pPr>
              <w:jc w:val="right"/>
              <w:spacing w:after="0"/>
              <w:rPr>
                <w:sz w:val="20"/>
                <w:szCs w:val="20"/>
                <w:color w:val="auto"/>
              </w:rPr>
            </w:pPr>
            <w:r>
              <w:rPr>
                <w:rFonts w:ascii="Arial" w:cs="Arial" w:eastAsia="Arial" w:hAnsi="Arial"/>
                <w:sz w:val="12"/>
                <w:szCs w:val="12"/>
                <w:color w:val="7B7C80"/>
              </w:rPr>
              <w:t>$</w:t>
            </w:r>
          </w:p>
        </w:tc>
        <w:tc>
          <w:tcPr>
            <w:tcW w:w="540" w:type="dxa"/>
            <w:vAlign w:val="bottom"/>
          </w:tcPr>
          <w:p>
            <w:pPr>
              <w:jc w:val="right"/>
              <w:ind w:right="39"/>
              <w:spacing w:after="0"/>
              <w:rPr>
                <w:sz w:val="20"/>
                <w:szCs w:val="20"/>
                <w:color w:val="auto"/>
              </w:rPr>
            </w:pPr>
            <w:r>
              <w:rPr>
                <w:rFonts w:ascii="Arial" w:cs="Arial" w:eastAsia="Arial" w:hAnsi="Arial"/>
                <w:sz w:val="12"/>
                <w:szCs w:val="12"/>
                <w:color w:val="7B7C80"/>
              </w:rPr>
              <w:t>18,000</w:t>
            </w:r>
          </w:p>
        </w:tc>
        <w:tc>
          <w:tcPr>
            <w:tcW w:w="920" w:type="dxa"/>
            <w:vAlign w:val="bottom"/>
          </w:tcPr>
          <w:p>
            <w:pPr>
              <w:jc w:val="right"/>
              <w:ind w:right="59"/>
              <w:spacing w:after="0"/>
              <w:rPr>
                <w:sz w:val="20"/>
                <w:szCs w:val="20"/>
                <w:color w:val="auto"/>
              </w:rPr>
            </w:pPr>
            <w:r>
              <w:rPr>
                <w:rFonts w:ascii="Arial" w:cs="Arial" w:eastAsia="Arial" w:hAnsi="Arial"/>
                <w:sz w:val="12"/>
                <w:szCs w:val="12"/>
                <w:color w:val="7B7C80"/>
              </w:rPr>
              <w:t>$</w:t>
            </w:r>
          </w:p>
        </w:tc>
        <w:tc>
          <w:tcPr>
            <w:tcW w:w="580" w:type="dxa"/>
            <w:vAlign w:val="bottom"/>
          </w:tcPr>
          <w:p>
            <w:pPr>
              <w:jc w:val="right"/>
              <w:ind w:right="19"/>
              <w:spacing w:after="0"/>
              <w:rPr>
                <w:sz w:val="20"/>
                <w:szCs w:val="20"/>
                <w:color w:val="auto"/>
              </w:rPr>
            </w:pPr>
            <w:r>
              <w:rPr>
                <w:rFonts w:ascii="Arial" w:cs="Arial" w:eastAsia="Arial" w:hAnsi="Arial"/>
                <w:sz w:val="12"/>
                <w:szCs w:val="12"/>
                <w:color w:val="7B7C80"/>
              </w:rPr>
              <w:t>55,681</w:t>
            </w:r>
          </w:p>
        </w:tc>
        <w:tc>
          <w:tcPr>
            <w:tcW w:w="560" w:type="dxa"/>
            <w:vAlign w:val="bottom"/>
          </w:tcPr>
          <w:p>
            <w:pPr>
              <w:jc w:val="right"/>
              <w:spacing w:after="0"/>
              <w:rPr>
                <w:sz w:val="20"/>
                <w:szCs w:val="20"/>
                <w:color w:val="auto"/>
              </w:rPr>
            </w:pPr>
            <w:r>
              <w:rPr>
                <w:rFonts w:ascii="Arial" w:cs="Arial" w:eastAsia="Arial" w:hAnsi="Arial"/>
                <w:sz w:val="12"/>
                <w:szCs w:val="12"/>
                <w:color w:val="7B7C80"/>
              </w:rPr>
              <w:t>$</w:t>
            </w:r>
          </w:p>
        </w:tc>
        <w:tc>
          <w:tcPr>
            <w:tcW w:w="420" w:type="dxa"/>
            <w:vAlign w:val="bottom"/>
          </w:tcPr>
          <w:p>
            <w:pPr>
              <w:jc w:val="right"/>
              <w:spacing w:after="0"/>
              <w:rPr>
                <w:sz w:val="20"/>
                <w:szCs w:val="20"/>
                <w:color w:val="auto"/>
              </w:rPr>
            </w:pPr>
            <w:r>
              <w:rPr>
                <w:rFonts w:ascii="Arial" w:cs="Arial" w:eastAsia="Arial" w:hAnsi="Arial"/>
                <w:sz w:val="12"/>
                <w:szCs w:val="12"/>
                <w:color w:val="7B7C80"/>
              </w:rPr>
              <w:t>73,681</w:t>
            </w:r>
          </w:p>
        </w:tc>
      </w:tr>
      <w:tr>
        <w:trPr>
          <w:trHeight w:val="21"/>
        </w:trPr>
        <w:tc>
          <w:tcPr>
            <w:tcW w:w="3240" w:type="dxa"/>
            <w:vAlign w:val="bottom"/>
            <w:tcBorders>
              <w:bottom w:val="single" w:sz="8" w:color="7B7C80"/>
            </w:tcBorders>
          </w:tcPr>
          <w:p>
            <w:pPr>
              <w:spacing w:after="0" w:line="20" w:lineRule="exact"/>
              <w:rPr>
                <w:sz w:val="1"/>
                <w:szCs w:val="1"/>
                <w:color w:val="auto"/>
              </w:rPr>
            </w:pPr>
          </w:p>
        </w:tc>
        <w:tc>
          <w:tcPr>
            <w:tcW w:w="2340" w:type="dxa"/>
            <w:vAlign w:val="bottom"/>
            <w:tcBorders>
              <w:bottom w:val="single" w:sz="8" w:color="7B7C80"/>
            </w:tcBorders>
          </w:tcPr>
          <w:p>
            <w:pPr>
              <w:spacing w:after="0" w:line="20" w:lineRule="exact"/>
              <w:rPr>
                <w:sz w:val="1"/>
                <w:szCs w:val="1"/>
                <w:color w:val="auto"/>
              </w:rPr>
            </w:pPr>
          </w:p>
        </w:tc>
        <w:tc>
          <w:tcPr>
            <w:tcW w:w="540" w:type="dxa"/>
            <w:vAlign w:val="bottom"/>
            <w:tcBorders>
              <w:bottom w:val="single" w:sz="8" w:color="7B7C80"/>
            </w:tcBorders>
          </w:tcPr>
          <w:p>
            <w:pPr>
              <w:spacing w:after="0" w:line="20" w:lineRule="exact"/>
              <w:rPr>
                <w:sz w:val="1"/>
                <w:szCs w:val="1"/>
                <w:color w:val="auto"/>
              </w:rPr>
            </w:pPr>
          </w:p>
        </w:tc>
        <w:tc>
          <w:tcPr>
            <w:tcW w:w="920" w:type="dxa"/>
            <w:vAlign w:val="bottom"/>
            <w:tcBorders>
              <w:bottom w:val="single" w:sz="8" w:color="7B7C80"/>
            </w:tcBorders>
          </w:tcPr>
          <w:p>
            <w:pPr>
              <w:spacing w:after="0" w:line="20" w:lineRule="exact"/>
              <w:rPr>
                <w:sz w:val="1"/>
                <w:szCs w:val="1"/>
                <w:color w:val="auto"/>
              </w:rPr>
            </w:pPr>
          </w:p>
        </w:tc>
        <w:tc>
          <w:tcPr>
            <w:tcW w:w="58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420" w:type="dxa"/>
            <w:vAlign w:val="bottom"/>
            <w:tcBorders>
              <w:bottom w:val="single" w:sz="8" w:color="7B7C80"/>
            </w:tcBorders>
          </w:tcPr>
          <w:p>
            <w:pPr>
              <w:spacing w:after="0" w:line="20" w:lineRule="exact"/>
              <w:rPr>
                <w:sz w:val="1"/>
                <w:szCs w:val="1"/>
                <w:color w:val="auto"/>
              </w:rPr>
            </w:pPr>
          </w:p>
        </w:tc>
      </w:tr>
      <w:tr>
        <w:trPr>
          <w:trHeight w:val="129"/>
        </w:trPr>
        <w:tc>
          <w:tcPr>
            <w:tcW w:w="324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Everett</w:t>
            </w:r>
          </w:p>
        </w:tc>
        <w:tc>
          <w:tcPr>
            <w:tcW w:w="23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4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12,738</w:t>
            </w:r>
          </w:p>
        </w:tc>
        <w:tc>
          <w:tcPr>
            <w:tcW w:w="920" w:type="dxa"/>
            <w:vAlign w:val="bottom"/>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41,452</w:t>
            </w:r>
          </w:p>
        </w:tc>
        <w:tc>
          <w:tcPr>
            <w:tcW w:w="5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54,190</w:t>
            </w:r>
          </w:p>
        </w:tc>
      </w:tr>
      <w:tr>
        <w:trPr>
          <w:trHeight w:val="34"/>
        </w:trPr>
        <w:tc>
          <w:tcPr>
            <w:tcW w:w="3240" w:type="dxa"/>
            <w:vAlign w:val="bottom"/>
            <w:tcBorders>
              <w:bottom w:val="single" w:sz="8" w:color="7B7C80"/>
            </w:tcBorders>
          </w:tcPr>
          <w:p>
            <w:pPr>
              <w:spacing w:after="0"/>
              <w:rPr>
                <w:sz w:val="2"/>
                <w:szCs w:val="2"/>
                <w:color w:val="auto"/>
              </w:rPr>
            </w:pPr>
          </w:p>
        </w:tc>
        <w:tc>
          <w:tcPr>
            <w:tcW w:w="234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c>
          <w:tcPr>
            <w:tcW w:w="92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420" w:type="dxa"/>
            <w:vAlign w:val="bottom"/>
            <w:tcBorders>
              <w:bottom w:val="single" w:sz="8" w:color="7B7C80"/>
            </w:tcBorders>
          </w:tcPr>
          <w:p>
            <w:pPr>
              <w:spacing w:after="0"/>
              <w:rPr>
                <w:sz w:val="2"/>
                <w:szCs w:val="2"/>
                <w:color w:val="auto"/>
              </w:rPr>
            </w:pPr>
          </w:p>
        </w:tc>
      </w:tr>
      <w:tr>
        <w:trPr>
          <w:trHeight w:val="142"/>
        </w:trPr>
        <w:tc>
          <w:tcPr>
            <w:tcW w:w="3240" w:type="dxa"/>
            <w:vAlign w:val="bottom"/>
          </w:tcPr>
          <w:p>
            <w:pPr>
              <w:spacing w:after="0"/>
              <w:rPr>
                <w:sz w:val="20"/>
                <w:szCs w:val="20"/>
                <w:color w:val="auto"/>
              </w:rPr>
            </w:pPr>
            <w:r>
              <w:rPr>
                <w:rFonts w:ascii="Arial" w:cs="Arial" w:eastAsia="Arial" w:hAnsi="Arial"/>
                <w:sz w:val="12"/>
                <w:szCs w:val="12"/>
                <w:color w:val="7B7C80"/>
              </w:rPr>
              <w:t>Lillis</w:t>
            </w:r>
          </w:p>
        </w:tc>
        <w:tc>
          <w:tcPr>
            <w:tcW w:w="2340" w:type="dxa"/>
            <w:vAlign w:val="bottom"/>
          </w:tcPr>
          <w:p>
            <w:pPr>
              <w:jc w:val="right"/>
              <w:spacing w:after="0"/>
              <w:rPr>
                <w:sz w:val="20"/>
                <w:szCs w:val="20"/>
                <w:color w:val="auto"/>
              </w:rPr>
            </w:pPr>
            <w:r>
              <w:rPr>
                <w:rFonts w:ascii="Arial" w:cs="Arial" w:eastAsia="Arial" w:hAnsi="Arial"/>
                <w:sz w:val="12"/>
                <w:szCs w:val="12"/>
                <w:color w:val="7B7C80"/>
              </w:rPr>
              <w:t>$</w:t>
            </w:r>
          </w:p>
        </w:tc>
        <w:tc>
          <w:tcPr>
            <w:tcW w:w="540" w:type="dxa"/>
            <w:vAlign w:val="bottom"/>
          </w:tcPr>
          <w:p>
            <w:pPr>
              <w:jc w:val="right"/>
              <w:ind w:right="39"/>
              <w:spacing w:after="0"/>
              <w:rPr>
                <w:sz w:val="20"/>
                <w:szCs w:val="20"/>
                <w:color w:val="auto"/>
              </w:rPr>
            </w:pPr>
            <w:r>
              <w:rPr>
                <w:rFonts w:ascii="Arial" w:cs="Arial" w:eastAsia="Arial" w:hAnsi="Arial"/>
                <w:sz w:val="12"/>
                <w:szCs w:val="12"/>
                <w:color w:val="7B7C80"/>
              </w:rPr>
              <w:t>15,913</w:t>
            </w:r>
          </w:p>
        </w:tc>
        <w:tc>
          <w:tcPr>
            <w:tcW w:w="920" w:type="dxa"/>
            <w:vAlign w:val="bottom"/>
          </w:tcPr>
          <w:p>
            <w:pPr>
              <w:jc w:val="right"/>
              <w:ind w:right="59"/>
              <w:spacing w:after="0"/>
              <w:rPr>
                <w:sz w:val="20"/>
                <w:szCs w:val="20"/>
                <w:color w:val="auto"/>
              </w:rPr>
            </w:pPr>
            <w:r>
              <w:rPr>
                <w:rFonts w:ascii="Arial" w:cs="Arial" w:eastAsia="Arial" w:hAnsi="Arial"/>
                <w:sz w:val="12"/>
                <w:szCs w:val="12"/>
                <w:color w:val="7B7C80"/>
              </w:rPr>
              <w:t>$</w:t>
            </w:r>
          </w:p>
        </w:tc>
        <w:tc>
          <w:tcPr>
            <w:tcW w:w="580" w:type="dxa"/>
            <w:vAlign w:val="bottom"/>
          </w:tcPr>
          <w:p>
            <w:pPr>
              <w:jc w:val="right"/>
              <w:ind w:right="19"/>
              <w:spacing w:after="0"/>
              <w:rPr>
                <w:sz w:val="20"/>
                <w:szCs w:val="20"/>
                <w:color w:val="auto"/>
              </w:rPr>
            </w:pPr>
            <w:r>
              <w:rPr>
                <w:rFonts w:ascii="Arial" w:cs="Arial" w:eastAsia="Arial" w:hAnsi="Arial"/>
                <w:sz w:val="12"/>
                <w:szCs w:val="12"/>
                <w:color w:val="7B7C80"/>
              </w:rPr>
              <w:t>11,918</w:t>
            </w:r>
          </w:p>
        </w:tc>
        <w:tc>
          <w:tcPr>
            <w:tcW w:w="560" w:type="dxa"/>
            <w:vAlign w:val="bottom"/>
          </w:tcPr>
          <w:p>
            <w:pPr>
              <w:jc w:val="right"/>
              <w:spacing w:after="0"/>
              <w:rPr>
                <w:sz w:val="20"/>
                <w:szCs w:val="20"/>
                <w:color w:val="auto"/>
              </w:rPr>
            </w:pPr>
            <w:r>
              <w:rPr>
                <w:rFonts w:ascii="Arial" w:cs="Arial" w:eastAsia="Arial" w:hAnsi="Arial"/>
                <w:sz w:val="12"/>
                <w:szCs w:val="12"/>
                <w:color w:val="7B7C80"/>
              </w:rPr>
              <w:t>$</w:t>
            </w:r>
          </w:p>
        </w:tc>
        <w:tc>
          <w:tcPr>
            <w:tcW w:w="420" w:type="dxa"/>
            <w:vAlign w:val="bottom"/>
          </w:tcPr>
          <w:p>
            <w:pPr>
              <w:jc w:val="right"/>
              <w:spacing w:after="0"/>
              <w:rPr>
                <w:sz w:val="20"/>
                <w:szCs w:val="20"/>
                <w:color w:val="auto"/>
              </w:rPr>
            </w:pPr>
            <w:r>
              <w:rPr>
                <w:rFonts w:ascii="Arial" w:cs="Arial" w:eastAsia="Arial" w:hAnsi="Arial"/>
                <w:sz w:val="12"/>
                <w:szCs w:val="12"/>
                <w:color w:val="7B7C80"/>
              </w:rPr>
              <w:t>27,831</w:t>
            </w:r>
          </w:p>
        </w:tc>
      </w:tr>
      <w:tr>
        <w:trPr>
          <w:trHeight w:val="21"/>
        </w:trPr>
        <w:tc>
          <w:tcPr>
            <w:tcW w:w="3240" w:type="dxa"/>
            <w:vAlign w:val="bottom"/>
            <w:tcBorders>
              <w:bottom w:val="single" w:sz="8" w:color="7B7C80"/>
            </w:tcBorders>
          </w:tcPr>
          <w:p>
            <w:pPr>
              <w:spacing w:after="0" w:line="20" w:lineRule="exact"/>
              <w:rPr>
                <w:sz w:val="1"/>
                <w:szCs w:val="1"/>
                <w:color w:val="auto"/>
              </w:rPr>
            </w:pPr>
          </w:p>
        </w:tc>
        <w:tc>
          <w:tcPr>
            <w:tcW w:w="2340" w:type="dxa"/>
            <w:vAlign w:val="bottom"/>
            <w:tcBorders>
              <w:bottom w:val="single" w:sz="8" w:color="7B7C80"/>
            </w:tcBorders>
          </w:tcPr>
          <w:p>
            <w:pPr>
              <w:spacing w:after="0" w:line="20" w:lineRule="exact"/>
              <w:rPr>
                <w:sz w:val="1"/>
                <w:szCs w:val="1"/>
                <w:color w:val="auto"/>
              </w:rPr>
            </w:pPr>
          </w:p>
        </w:tc>
        <w:tc>
          <w:tcPr>
            <w:tcW w:w="540" w:type="dxa"/>
            <w:vAlign w:val="bottom"/>
            <w:tcBorders>
              <w:bottom w:val="single" w:sz="8" w:color="7B7C80"/>
            </w:tcBorders>
          </w:tcPr>
          <w:p>
            <w:pPr>
              <w:spacing w:after="0" w:line="20" w:lineRule="exact"/>
              <w:rPr>
                <w:sz w:val="1"/>
                <w:szCs w:val="1"/>
                <w:color w:val="auto"/>
              </w:rPr>
            </w:pPr>
          </w:p>
        </w:tc>
        <w:tc>
          <w:tcPr>
            <w:tcW w:w="920" w:type="dxa"/>
            <w:vAlign w:val="bottom"/>
            <w:tcBorders>
              <w:bottom w:val="single" w:sz="8" w:color="7B7C80"/>
            </w:tcBorders>
          </w:tcPr>
          <w:p>
            <w:pPr>
              <w:spacing w:after="0" w:line="20" w:lineRule="exact"/>
              <w:rPr>
                <w:sz w:val="1"/>
                <w:szCs w:val="1"/>
                <w:color w:val="auto"/>
              </w:rPr>
            </w:pPr>
          </w:p>
        </w:tc>
        <w:tc>
          <w:tcPr>
            <w:tcW w:w="58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420" w:type="dxa"/>
            <w:vAlign w:val="bottom"/>
            <w:tcBorders>
              <w:bottom w:val="single" w:sz="8" w:color="7B7C80"/>
            </w:tcBorders>
          </w:tcPr>
          <w:p>
            <w:pPr>
              <w:spacing w:after="0" w:line="20" w:lineRule="exact"/>
              <w:rPr>
                <w:sz w:val="1"/>
                <w:szCs w:val="1"/>
                <w:color w:val="auto"/>
              </w:rPr>
            </w:pPr>
          </w:p>
        </w:tc>
      </w:tr>
      <w:tr>
        <w:trPr>
          <w:trHeight w:val="129"/>
        </w:trPr>
        <w:tc>
          <w:tcPr>
            <w:tcW w:w="324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McCaughan</w:t>
            </w:r>
          </w:p>
        </w:tc>
        <w:tc>
          <w:tcPr>
            <w:tcW w:w="23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4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18,000</w:t>
            </w:r>
          </w:p>
        </w:tc>
        <w:tc>
          <w:tcPr>
            <w:tcW w:w="920" w:type="dxa"/>
            <w:vAlign w:val="bottom"/>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0</w:t>
            </w:r>
          </w:p>
        </w:tc>
        <w:tc>
          <w:tcPr>
            <w:tcW w:w="5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18,000</w:t>
            </w:r>
          </w:p>
        </w:tc>
      </w:tr>
      <w:tr>
        <w:trPr>
          <w:trHeight w:val="34"/>
        </w:trPr>
        <w:tc>
          <w:tcPr>
            <w:tcW w:w="3240" w:type="dxa"/>
            <w:vAlign w:val="bottom"/>
            <w:tcBorders>
              <w:bottom w:val="single" w:sz="8" w:color="7B7C80"/>
            </w:tcBorders>
          </w:tcPr>
          <w:p>
            <w:pPr>
              <w:spacing w:after="0"/>
              <w:rPr>
                <w:sz w:val="2"/>
                <w:szCs w:val="2"/>
                <w:color w:val="auto"/>
              </w:rPr>
            </w:pPr>
          </w:p>
        </w:tc>
        <w:tc>
          <w:tcPr>
            <w:tcW w:w="234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c>
          <w:tcPr>
            <w:tcW w:w="92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420" w:type="dxa"/>
            <w:vAlign w:val="bottom"/>
            <w:tcBorders>
              <w:bottom w:val="single" w:sz="8" w:color="7B7C80"/>
            </w:tcBorders>
          </w:tcPr>
          <w:p>
            <w:pPr>
              <w:spacing w:after="0"/>
              <w:rPr>
                <w:sz w:val="2"/>
                <w:szCs w:val="2"/>
                <w:color w:val="auto"/>
              </w:rPr>
            </w:pPr>
          </w:p>
        </w:tc>
      </w:tr>
      <w:tr>
        <w:trPr>
          <w:trHeight w:val="155"/>
        </w:trPr>
        <w:tc>
          <w:tcPr>
            <w:tcW w:w="3240" w:type="dxa"/>
            <w:vAlign w:val="bottom"/>
            <w:tcBorders>
              <w:bottom w:val="single" w:sz="8" w:color="009CCC"/>
            </w:tcBorders>
          </w:tcPr>
          <w:p>
            <w:pPr>
              <w:spacing w:after="0"/>
              <w:rPr>
                <w:sz w:val="20"/>
                <w:szCs w:val="20"/>
                <w:color w:val="auto"/>
              </w:rPr>
            </w:pPr>
            <w:r>
              <w:rPr>
                <w:rFonts w:ascii="Arial" w:cs="Arial" w:eastAsia="Arial" w:hAnsi="Arial"/>
                <w:sz w:val="12"/>
                <w:szCs w:val="12"/>
                <w:color w:val="7B7C80"/>
              </w:rPr>
              <w:t>Valdés</w:t>
            </w:r>
          </w:p>
        </w:tc>
        <w:tc>
          <w:tcPr>
            <w:tcW w:w="234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w:t>
            </w:r>
          </w:p>
        </w:tc>
        <w:tc>
          <w:tcPr>
            <w:tcW w:w="540" w:type="dxa"/>
            <w:vAlign w:val="bottom"/>
            <w:tcBorders>
              <w:bottom w:val="single" w:sz="8" w:color="009CCC"/>
            </w:tcBorders>
          </w:tcPr>
          <w:p>
            <w:pPr>
              <w:jc w:val="right"/>
              <w:ind w:right="39"/>
              <w:spacing w:after="0"/>
              <w:rPr>
                <w:sz w:val="20"/>
                <w:szCs w:val="20"/>
                <w:color w:val="auto"/>
              </w:rPr>
            </w:pPr>
            <w:r>
              <w:rPr>
                <w:rFonts w:ascii="Arial" w:cs="Arial" w:eastAsia="Arial" w:hAnsi="Arial"/>
                <w:sz w:val="12"/>
                <w:szCs w:val="12"/>
                <w:color w:val="7B7C80"/>
              </w:rPr>
              <w:t>23,606</w:t>
            </w:r>
          </w:p>
        </w:tc>
        <w:tc>
          <w:tcPr>
            <w:tcW w:w="920" w:type="dxa"/>
            <w:vAlign w:val="bottom"/>
            <w:tcBorders>
              <w:bottom w:val="single" w:sz="8" w:color="009CCC"/>
            </w:tcBorders>
          </w:tcPr>
          <w:p>
            <w:pPr>
              <w:jc w:val="right"/>
              <w:ind w:right="59"/>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009CCC"/>
            </w:tcBorders>
          </w:tcPr>
          <w:p>
            <w:pPr>
              <w:jc w:val="right"/>
              <w:ind w:right="19"/>
              <w:spacing w:after="0"/>
              <w:rPr>
                <w:sz w:val="20"/>
                <w:szCs w:val="20"/>
                <w:color w:val="auto"/>
              </w:rPr>
            </w:pPr>
            <w:r>
              <w:rPr>
                <w:rFonts w:ascii="Arial" w:cs="Arial" w:eastAsia="Arial" w:hAnsi="Arial"/>
                <w:sz w:val="12"/>
                <w:szCs w:val="12"/>
                <w:color w:val="7B7C80"/>
              </w:rPr>
              <w:t>29,759</w:t>
            </w:r>
          </w:p>
        </w:tc>
        <w:tc>
          <w:tcPr>
            <w:tcW w:w="56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w:t>
            </w:r>
          </w:p>
        </w:tc>
        <w:tc>
          <w:tcPr>
            <w:tcW w:w="42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53,365</w:t>
            </w:r>
          </w:p>
        </w:tc>
      </w:tr>
    </w:tbl>
    <w:p>
      <w:pPr>
        <w:spacing w:after="0" w:line="187" w:lineRule="exact"/>
        <w:rPr>
          <w:sz w:val="20"/>
          <w:szCs w:val="20"/>
          <w:color w:val="auto"/>
        </w:rPr>
      </w:pPr>
    </w:p>
    <w:p>
      <w:pPr>
        <w:ind w:left="1820" w:hanging="455"/>
        <w:spacing w:after="0" w:line="253" w:lineRule="auto"/>
        <w:tabs>
          <w:tab w:leader="none" w:pos="1820" w:val="left"/>
        </w:tabs>
        <w:numPr>
          <w:ilvl w:val="0"/>
          <w:numId w:val="47"/>
        </w:numPr>
        <w:rPr>
          <w:rFonts w:ascii="Arial" w:cs="Arial" w:eastAsia="Arial" w:hAnsi="Arial"/>
          <w:sz w:val="12"/>
          <w:szCs w:val="12"/>
          <w:color w:val="7B7C80"/>
        </w:rPr>
      </w:pPr>
      <w:r>
        <w:rPr>
          <w:rFonts w:ascii="Arial" w:cs="Arial" w:eastAsia="Arial" w:hAnsi="Arial"/>
          <w:sz w:val="12"/>
          <w:szCs w:val="12"/>
          <w:color w:val="7B7C80"/>
        </w:rPr>
        <w:t>Amounts represent the aggregate grant date fair value amounts for awards and options granted in the year noted. The assumptions for the valuation of stock option awards under the ASC Topic 718 for awards included in the Summary Compensation Table are as follows:</w:t>
      </w:r>
    </w:p>
    <w:p>
      <w:pPr>
        <w:spacing w:after="0" w:line="178" w:lineRule="exact"/>
        <w:rPr>
          <w:sz w:val="20"/>
          <w:szCs w:val="20"/>
          <w:color w:val="auto"/>
        </w:rPr>
      </w:pPr>
    </w:p>
    <w:tbl>
      <w:tblPr>
        <w:tblLayout w:type="fixed"/>
        <w:tblInd w:w="1500" w:type="dxa"/>
        <w:tblCellMar>
          <w:top w:w="0" w:type="dxa"/>
          <w:left w:w="0" w:type="dxa"/>
          <w:bottom w:w="0" w:type="dxa"/>
          <w:right w:w="0" w:type="dxa"/>
        </w:tblCellMar>
      </w:tblPr>
      <w:tr>
        <w:trPr>
          <w:trHeight w:val="139"/>
        </w:trPr>
        <w:tc>
          <w:tcPr>
            <w:tcW w:w="3020" w:type="dxa"/>
            <w:vAlign w:val="bottom"/>
            <w:tcBorders>
              <w:top w:val="single" w:sz="8" w:color="009CCC"/>
            </w:tcBorders>
          </w:tcPr>
          <w:p>
            <w:pPr>
              <w:spacing w:after="0"/>
              <w:rPr>
                <w:sz w:val="12"/>
                <w:szCs w:val="12"/>
                <w:color w:val="auto"/>
              </w:rPr>
            </w:pPr>
          </w:p>
        </w:tc>
        <w:tc>
          <w:tcPr>
            <w:tcW w:w="2640" w:type="dxa"/>
            <w:vAlign w:val="bottom"/>
            <w:tcBorders>
              <w:top w:val="single" w:sz="8" w:color="009CCC"/>
            </w:tcBorders>
            <w:gridSpan w:val="2"/>
          </w:tcPr>
          <w:p>
            <w:pPr>
              <w:jc w:val="right"/>
              <w:ind w:right="39"/>
              <w:spacing w:after="0"/>
              <w:rPr>
                <w:sz w:val="20"/>
                <w:szCs w:val="20"/>
                <w:color w:val="auto"/>
              </w:rPr>
            </w:pPr>
            <w:r>
              <w:rPr>
                <w:rFonts w:ascii="Arial" w:cs="Arial" w:eastAsia="Arial" w:hAnsi="Arial"/>
                <w:sz w:val="12"/>
                <w:szCs w:val="12"/>
                <w:b w:val="1"/>
                <w:bCs w:val="1"/>
                <w:color w:val="009CCC"/>
              </w:rPr>
              <w:t>Exercise</w:t>
            </w:r>
          </w:p>
        </w:tc>
        <w:tc>
          <w:tcPr>
            <w:tcW w:w="680" w:type="dxa"/>
            <w:vAlign w:val="bottom"/>
            <w:tcBorders>
              <w:top w:val="single" w:sz="8" w:color="009CCC"/>
            </w:tcBorders>
          </w:tcPr>
          <w:p>
            <w:pPr>
              <w:spacing w:after="0"/>
              <w:rPr>
                <w:sz w:val="12"/>
                <w:szCs w:val="12"/>
                <w:color w:val="auto"/>
              </w:rPr>
            </w:pPr>
          </w:p>
        </w:tc>
        <w:tc>
          <w:tcPr>
            <w:tcW w:w="740" w:type="dxa"/>
            <w:vAlign w:val="bottom"/>
            <w:tcBorders>
              <w:top w:val="single" w:sz="8" w:color="009CCC"/>
            </w:tcBorders>
          </w:tcPr>
          <w:p>
            <w:pPr>
              <w:jc w:val="right"/>
              <w:ind w:right="39"/>
              <w:spacing w:after="0"/>
              <w:rPr>
                <w:sz w:val="20"/>
                <w:szCs w:val="20"/>
                <w:color w:val="auto"/>
              </w:rPr>
            </w:pPr>
            <w:r>
              <w:rPr>
                <w:rFonts w:ascii="Arial" w:cs="Arial" w:eastAsia="Arial" w:hAnsi="Arial"/>
                <w:sz w:val="12"/>
                <w:szCs w:val="12"/>
                <w:b w:val="1"/>
                <w:bCs w:val="1"/>
                <w:color w:val="009CCC"/>
              </w:rPr>
              <w:t>Expected</w:t>
            </w:r>
          </w:p>
        </w:tc>
        <w:tc>
          <w:tcPr>
            <w:tcW w:w="700" w:type="dxa"/>
            <w:vAlign w:val="bottom"/>
            <w:tcBorders>
              <w:top w:val="single" w:sz="8" w:color="009CCC"/>
            </w:tcBorders>
          </w:tcPr>
          <w:p>
            <w:pPr>
              <w:jc w:val="right"/>
              <w:ind w:right="39"/>
              <w:spacing w:after="0"/>
              <w:rPr>
                <w:sz w:val="20"/>
                <w:szCs w:val="20"/>
                <w:color w:val="auto"/>
              </w:rPr>
            </w:pPr>
            <w:r>
              <w:rPr>
                <w:rFonts w:ascii="Arial" w:cs="Arial" w:eastAsia="Arial" w:hAnsi="Arial"/>
                <w:sz w:val="12"/>
                <w:szCs w:val="12"/>
                <w:b w:val="1"/>
                <w:bCs w:val="1"/>
                <w:color w:val="009CCC"/>
              </w:rPr>
              <w:t>Dividend</w:t>
            </w:r>
          </w:p>
        </w:tc>
        <w:tc>
          <w:tcPr>
            <w:tcW w:w="820" w:type="dxa"/>
            <w:vAlign w:val="bottom"/>
            <w:tcBorders>
              <w:top w:val="single" w:sz="8" w:color="009CCC"/>
            </w:tcBorders>
          </w:tcPr>
          <w:p>
            <w:pPr>
              <w:jc w:val="right"/>
              <w:spacing w:after="0"/>
              <w:rPr>
                <w:sz w:val="20"/>
                <w:szCs w:val="20"/>
                <w:color w:val="auto"/>
              </w:rPr>
            </w:pPr>
            <w:r>
              <w:rPr>
                <w:rFonts w:ascii="Arial" w:cs="Arial" w:eastAsia="Arial" w:hAnsi="Arial"/>
                <w:sz w:val="12"/>
                <w:szCs w:val="12"/>
                <w:b w:val="1"/>
                <w:bCs w:val="1"/>
                <w:color w:val="009CCC"/>
              </w:rPr>
              <w:t>Risk Free</w:t>
            </w:r>
          </w:p>
        </w:tc>
      </w:tr>
      <w:tr>
        <w:trPr>
          <w:trHeight w:val="161"/>
        </w:trPr>
        <w:tc>
          <w:tcPr>
            <w:tcW w:w="3020" w:type="dxa"/>
            <w:vAlign w:val="bottom"/>
          </w:tcPr>
          <w:p>
            <w:pPr>
              <w:spacing w:after="0"/>
              <w:rPr>
                <w:sz w:val="20"/>
                <w:szCs w:val="20"/>
                <w:color w:val="auto"/>
              </w:rPr>
            </w:pPr>
            <w:r>
              <w:rPr>
                <w:rFonts w:ascii="Arial" w:cs="Arial" w:eastAsia="Arial" w:hAnsi="Arial"/>
                <w:sz w:val="12"/>
                <w:szCs w:val="12"/>
                <w:b w:val="1"/>
                <w:bCs w:val="1"/>
                <w:color w:val="009CCC"/>
              </w:rPr>
              <w:t>Grant Date</w:t>
            </w:r>
          </w:p>
        </w:tc>
        <w:tc>
          <w:tcPr>
            <w:tcW w:w="2200" w:type="dxa"/>
            <w:vAlign w:val="bottom"/>
          </w:tcPr>
          <w:p>
            <w:pPr>
              <w:spacing w:after="0"/>
              <w:rPr>
                <w:sz w:val="13"/>
                <w:szCs w:val="13"/>
                <w:color w:val="auto"/>
              </w:rPr>
            </w:pPr>
          </w:p>
        </w:tc>
        <w:tc>
          <w:tcPr>
            <w:tcW w:w="440" w:type="dxa"/>
            <w:vAlign w:val="bottom"/>
          </w:tcPr>
          <w:p>
            <w:pPr>
              <w:jc w:val="right"/>
              <w:ind w:right="39"/>
              <w:spacing w:after="0"/>
              <w:rPr>
                <w:sz w:val="20"/>
                <w:szCs w:val="20"/>
                <w:color w:val="auto"/>
              </w:rPr>
            </w:pPr>
            <w:r>
              <w:rPr>
                <w:rFonts w:ascii="Arial" w:cs="Arial" w:eastAsia="Arial" w:hAnsi="Arial"/>
                <w:sz w:val="12"/>
                <w:szCs w:val="12"/>
                <w:b w:val="1"/>
                <w:bCs w:val="1"/>
                <w:color w:val="009CCC"/>
              </w:rPr>
              <w:t>Price</w:t>
            </w:r>
          </w:p>
        </w:tc>
        <w:tc>
          <w:tcPr>
            <w:tcW w:w="680" w:type="dxa"/>
            <w:vAlign w:val="bottom"/>
          </w:tcPr>
          <w:p>
            <w:pPr>
              <w:jc w:val="right"/>
              <w:ind w:right="39"/>
              <w:spacing w:after="0"/>
              <w:rPr>
                <w:sz w:val="20"/>
                <w:szCs w:val="20"/>
                <w:color w:val="auto"/>
              </w:rPr>
            </w:pPr>
            <w:r>
              <w:rPr>
                <w:rFonts w:ascii="Arial" w:cs="Arial" w:eastAsia="Arial" w:hAnsi="Arial"/>
                <w:sz w:val="12"/>
                <w:szCs w:val="12"/>
                <w:b w:val="1"/>
                <w:bCs w:val="1"/>
                <w:color w:val="009CCC"/>
              </w:rPr>
              <w:t>Volatility</w:t>
            </w:r>
          </w:p>
        </w:tc>
        <w:tc>
          <w:tcPr>
            <w:tcW w:w="740" w:type="dxa"/>
            <w:vAlign w:val="bottom"/>
          </w:tcPr>
          <w:p>
            <w:pPr>
              <w:jc w:val="right"/>
              <w:ind w:right="39"/>
              <w:spacing w:after="0"/>
              <w:rPr>
                <w:sz w:val="20"/>
                <w:szCs w:val="20"/>
                <w:color w:val="auto"/>
              </w:rPr>
            </w:pPr>
            <w:r>
              <w:rPr>
                <w:rFonts w:ascii="Arial" w:cs="Arial" w:eastAsia="Arial" w:hAnsi="Arial"/>
                <w:sz w:val="12"/>
                <w:szCs w:val="12"/>
                <w:b w:val="1"/>
                <w:bCs w:val="1"/>
                <w:color w:val="009CCC"/>
              </w:rPr>
              <w:t>Term</w:t>
            </w:r>
          </w:p>
        </w:tc>
        <w:tc>
          <w:tcPr>
            <w:tcW w:w="700" w:type="dxa"/>
            <w:vAlign w:val="bottom"/>
          </w:tcPr>
          <w:p>
            <w:pPr>
              <w:jc w:val="right"/>
              <w:ind w:right="39"/>
              <w:spacing w:after="0"/>
              <w:rPr>
                <w:sz w:val="20"/>
                <w:szCs w:val="20"/>
                <w:color w:val="auto"/>
              </w:rPr>
            </w:pPr>
            <w:r>
              <w:rPr>
                <w:rFonts w:ascii="Arial" w:cs="Arial" w:eastAsia="Arial" w:hAnsi="Arial"/>
                <w:sz w:val="12"/>
                <w:szCs w:val="12"/>
                <w:b w:val="1"/>
                <w:bCs w:val="1"/>
                <w:color w:val="009CCC"/>
              </w:rPr>
              <w:t>Yield</w:t>
            </w:r>
          </w:p>
        </w:tc>
        <w:tc>
          <w:tcPr>
            <w:tcW w:w="820" w:type="dxa"/>
            <w:vAlign w:val="bottom"/>
          </w:tcPr>
          <w:p>
            <w:pPr>
              <w:jc w:val="right"/>
              <w:spacing w:after="0"/>
              <w:rPr>
                <w:sz w:val="20"/>
                <w:szCs w:val="20"/>
                <w:color w:val="auto"/>
              </w:rPr>
            </w:pPr>
            <w:r>
              <w:rPr>
                <w:rFonts w:ascii="Arial" w:cs="Arial" w:eastAsia="Arial" w:hAnsi="Arial"/>
                <w:sz w:val="12"/>
                <w:szCs w:val="12"/>
                <w:b w:val="1"/>
                <w:bCs w:val="1"/>
                <w:color w:val="009CCC"/>
              </w:rPr>
              <w:t>Interest Rate</w:t>
            </w:r>
          </w:p>
        </w:tc>
      </w:tr>
      <w:tr>
        <w:trPr>
          <w:trHeight w:val="21"/>
        </w:trPr>
        <w:tc>
          <w:tcPr>
            <w:tcW w:w="3020" w:type="dxa"/>
            <w:vAlign w:val="bottom"/>
            <w:tcBorders>
              <w:bottom w:val="single" w:sz="8" w:color="7B7C80"/>
            </w:tcBorders>
          </w:tcPr>
          <w:p>
            <w:pPr>
              <w:spacing w:after="0" w:line="20" w:lineRule="exact"/>
              <w:rPr>
                <w:sz w:val="1"/>
                <w:szCs w:val="1"/>
                <w:color w:val="auto"/>
              </w:rPr>
            </w:pPr>
          </w:p>
        </w:tc>
        <w:tc>
          <w:tcPr>
            <w:tcW w:w="2200" w:type="dxa"/>
            <w:vAlign w:val="bottom"/>
            <w:tcBorders>
              <w:bottom w:val="single" w:sz="8" w:color="7B7C80"/>
            </w:tcBorders>
          </w:tcPr>
          <w:p>
            <w:pPr>
              <w:spacing w:after="0" w:line="20" w:lineRule="exact"/>
              <w:rPr>
                <w:sz w:val="1"/>
                <w:szCs w:val="1"/>
                <w:color w:val="auto"/>
              </w:rPr>
            </w:pPr>
          </w:p>
        </w:tc>
        <w:tc>
          <w:tcPr>
            <w:tcW w:w="440" w:type="dxa"/>
            <w:vAlign w:val="bottom"/>
            <w:tcBorders>
              <w:bottom w:val="single" w:sz="8" w:color="7B7C80"/>
            </w:tcBorders>
          </w:tcPr>
          <w:p>
            <w:pPr>
              <w:spacing w:after="0" w:line="20" w:lineRule="exact"/>
              <w:rPr>
                <w:sz w:val="1"/>
                <w:szCs w:val="1"/>
                <w:color w:val="auto"/>
              </w:rPr>
            </w:pPr>
          </w:p>
        </w:tc>
        <w:tc>
          <w:tcPr>
            <w:tcW w:w="680" w:type="dxa"/>
            <w:vAlign w:val="bottom"/>
            <w:tcBorders>
              <w:bottom w:val="single" w:sz="8" w:color="7B7C80"/>
            </w:tcBorders>
          </w:tcPr>
          <w:p>
            <w:pPr>
              <w:spacing w:after="0" w:line="20" w:lineRule="exact"/>
              <w:rPr>
                <w:sz w:val="1"/>
                <w:szCs w:val="1"/>
                <w:color w:val="auto"/>
              </w:rPr>
            </w:pPr>
          </w:p>
        </w:tc>
        <w:tc>
          <w:tcPr>
            <w:tcW w:w="740" w:type="dxa"/>
            <w:vAlign w:val="bottom"/>
            <w:tcBorders>
              <w:bottom w:val="single" w:sz="8" w:color="7B7C80"/>
            </w:tcBorders>
          </w:tcPr>
          <w:p>
            <w:pPr>
              <w:spacing w:after="0" w:line="20" w:lineRule="exact"/>
              <w:rPr>
                <w:sz w:val="1"/>
                <w:szCs w:val="1"/>
                <w:color w:val="auto"/>
              </w:rPr>
            </w:pPr>
          </w:p>
        </w:tc>
        <w:tc>
          <w:tcPr>
            <w:tcW w:w="700" w:type="dxa"/>
            <w:vAlign w:val="bottom"/>
            <w:tcBorders>
              <w:bottom w:val="single" w:sz="8" w:color="7B7C80"/>
            </w:tcBorders>
          </w:tcPr>
          <w:p>
            <w:pPr>
              <w:spacing w:after="0" w:line="20" w:lineRule="exact"/>
              <w:rPr>
                <w:sz w:val="1"/>
                <w:szCs w:val="1"/>
                <w:color w:val="auto"/>
              </w:rPr>
            </w:pPr>
          </w:p>
        </w:tc>
        <w:tc>
          <w:tcPr>
            <w:tcW w:w="820" w:type="dxa"/>
            <w:vAlign w:val="bottom"/>
            <w:tcBorders>
              <w:bottom w:val="single" w:sz="8" w:color="7B7C80"/>
            </w:tcBorders>
          </w:tcPr>
          <w:p>
            <w:pPr>
              <w:spacing w:after="0" w:line="20" w:lineRule="exact"/>
              <w:rPr>
                <w:sz w:val="1"/>
                <w:szCs w:val="1"/>
                <w:color w:val="auto"/>
              </w:rPr>
            </w:pPr>
          </w:p>
        </w:tc>
      </w:tr>
      <w:tr>
        <w:trPr>
          <w:trHeight w:val="129"/>
        </w:trPr>
        <w:tc>
          <w:tcPr>
            <w:tcW w:w="302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February 23, 2015</w:t>
            </w:r>
          </w:p>
        </w:tc>
        <w:tc>
          <w:tcPr>
            <w:tcW w:w="220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51.33</w:t>
            </w:r>
          </w:p>
        </w:tc>
        <w:tc>
          <w:tcPr>
            <w:tcW w:w="68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52.21%</w:t>
            </w:r>
          </w:p>
        </w:tc>
        <w:tc>
          <w:tcPr>
            <w:tcW w:w="74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6.5 years</w:t>
            </w:r>
          </w:p>
        </w:tc>
        <w:tc>
          <w:tcPr>
            <w:tcW w:w="70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2.805%</w:t>
            </w:r>
          </w:p>
        </w:tc>
        <w:tc>
          <w:tcPr>
            <w:tcW w:w="8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1.80%</w:t>
            </w:r>
          </w:p>
        </w:tc>
      </w:tr>
      <w:tr>
        <w:trPr>
          <w:trHeight w:val="34"/>
        </w:trPr>
        <w:tc>
          <w:tcPr>
            <w:tcW w:w="3020" w:type="dxa"/>
            <w:vAlign w:val="bottom"/>
            <w:tcBorders>
              <w:bottom w:val="single" w:sz="8" w:color="7B7C80"/>
            </w:tcBorders>
          </w:tcPr>
          <w:p>
            <w:pPr>
              <w:spacing w:after="0"/>
              <w:rPr>
                <w:sz w:val="2"/>
                <w:szCs w:val="2"/>
                <w:color w:val="auto"/>
              </w:rPr>
            </w:pPr>
          </w:p>
        </w:tc>
        <w:tc>
          <w:tcPr>
            <w:tcW w:w="220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c>
          <w:tcPr>
            <w:tcW w:w="680" w:type="dxa"/>
            <w:vAlign w:val="bottom"/>
            <w:tcBorders>
              <w:bottom w:val="single" w:sz="8" w:color="7B7C80"/>
            </w:tcBorders>
          </w:tcPr>
          <w:p>
            <w:pPr>
              <w:spacing w:after="0"/>
              <w:rPr>
                <w:sz w:val="2"/>
                <w:szCs w:val="2"/>
                <w:color w:val="auto"/>
              </w:rPr>
            </w:pPr>
          </w:p>
        </w:tc>
        <w:tc>
          <w:tcPr>
            <w:tcW w:w="740" w:type="dxa"/>
            <w:vAlign w:val="bottom"/>
            <w:tcBorders>
              <w:bottom w:val="single" w:sz="8" w:color="7B7C80"/>
            </w:tcBorders>
          </w:tcPr>
          <w:p>
            <w:pPr>
              <w:spacing w:after="0"/>
              <w:rPr>
                <w:sz w:val="2"/>
                <w:szCs w:val="2"/>
                <w:color w:val="auto"/>
              </w:rPr>
            </w:pPr>
          </w:p>
        </w:tc>
        <w:tc>
          <w:tcPr>
            <w:tcW w:w="700" w:type="dxa"/>
            <w:vAlign w:val="bottom"/>
            <w:tcBorders>
              <w:bottom w:val="single" w:sz="8" w:color="7B7C80"/>
            </w:tcBorders>
          </w:tcPr>
          <w:p>
            <w:pPr>
              <w:spacing w:after="0"/>
              <w:rPr>
                <w:sz w:val="2"/>
                <w:szCs w:val="2"/>
                <w:color w:val="auto"/>
              </w:rPr>
            </w:pPr>
          </w:p>
        </w:tc>
        <w:tc>
          <w:tcPr>
            <w:tcW w:w="820" w:type="dxa"/>
            <w:vAlign w:val="bottom"/>
            <w:tcBorders>
              <w:bottom w:val="single" w:sz="8" w:color="7B7C80"/>
            </w:tcBorders>
          </w:tcPr>
          <w:p>
            <w:pPr>
              <w:spacing w:after="0"/>
              <w:rPr>
                <w:sz w:val="2"/>
                <w:szCs w:val="2"/>
                <w:color w:val="auto"/>
              </w:rPr>
            </w:pPr>
          </w:p>
        </w:tc>
      </w:tr>
      <w:tr>
        <w:trPr>
          <w:trHeight w:val="142"/>
        </w:trPr>
        <w:tc>
          <w:tcPr>
            <w:tcW w:w="3020" w:type="dxa"/>
            <w:vAlign w:val="bottom"/>
          </w:tcPr>
          <w:p>
            <w:pPr>
              <w:spacing w:after="0"/>
              <w:rPr>
                <w:sz w:val="20"/>
                <w:szCs w:val="20"/>
                <w:color w:val="auto"/>
              </w:rPr>
            </w:pPr>
            <w:r>
              <w:rPr>
                <w:rFonts w:ascii="Arial" w:cs="Arial" w:eastAsia="Arial" w:hAnsi="Arial"/>
                <w:sz w:val="12"/>
                <w:szCs w:val="12"/>
                <w:color w:val="7B7C80"/>
              </w:rPr>
              <w:t>February 22, 2016</w:t>
            </w:r>
          </w:p>
        </w:tc>
        <w:tc>
          <w:tcPr>
            <w:tcW w:w="2200" w:type="dxa"/>
            <w:vAlign w:val="bottom"/>
          </w:tcPr>
          <w:p>
            <w:pPr>
              <w:jc w:val="right"/>
              <w:spacing w:after="0"/>
              <w:rPr>
                <w:sz w:val="20"/>
                <w:szCs w:val="20"/>
                <w:color w:val="auto"/>
              </w:rPr>
            </w:pPr>
            <w:r>
              <w:rPr>
                <w:rFonts w:ascii="Arial" w:cs="Arial" w:eastAsia="Arial" w:hAnsi="Arial"/>
                <w:sz w:val="12"/>
                <w:szCs w:val="12"/>
                <w:color w:val="7B7C80"/>
              </w:rPr>
              <w:t>$</w:t>
            </w:r>
          </w:p>
        </w:tc>
        <w:tc>
          <w:tcPr>
            <w:tcW w:w="440" w:type="dxa"/>
            <w:vAlign w:val="bottom"/>
          </w:tcPr>
          <w:p>
            <w:pPr>
              <w:jc w:val="right"/>
              <w:ind w:right="39"/>
              <w:spacing w:after="0"/>
              <w:rPr>
                <w:sz w:val="20"/>
                <w:szCs w:val="20"/>
                <w:color w:val="auto"/>
              </w:rPr>
            </w:pPr>
            <w:r>
              <w:rPr>
                <w:rFonts w:ascii="Arial" w:cs="Arial" w:eastAsia="Arial" w:hAnsi="Arial"/>
                <w:sz w:val="12"/>
                <w:szCs w:val="12"/>
                <w:color w:val="7B7C80"/>
              </w:rPr>
              <w:t>37.38</w:t>
            </w:r>
          </w:p>
        </w:tc>
        <w:tc>
          <w:tcPr>
            <w:tcW w:w="680" w:type="dxa"/>
            <w:vAlign w:val="bottom"/>
          </w:tcPr>
          <w:p>
            <w:pPr>
              <w:jc w:val="right"/>
              <w:ind w:right="39"/>
              <w:spacing w:after="0"/>
              <w:rPr>
                <w:sz w:val="20"/>
                <w:szCs w:val="20"/>
                <w:color w:val="auto"/>
              </w:rPr>
            </w:pPr>
            <w:r>
              <w:rPr>
                <w:rFonts w:ascii="Arial" w:cs="Arial" w:eastAsia="Arial" w:hAnsi="Arial"/>
                <w:sz w:val="12"/>
                <w:szCs w:val="12"/>
                <w:color w:val="7B7C80"/>
              </w:rPr>
              <w:t>31.67%</w:t>
            </w:r>
          </w:p>
        </w:tc>
        <w:tc>
          <w:tcPr>
            <w:tcW w:w="740" w:type="dxa"/>
            <w:vAlign w:val="bottom"/>
          </w:tcPr>
          <w:p>
            <w:pPr>
              <w:jc w:val="right"/>
              <w:ind w:right="39"/>
              <w:spacing w:after="0"/>
              <w:rPr>
                <w:sz w:val="20"/>
                <w:szCs w:val="20"/>
                <w:color w:val="auto"/>
              </w:rPr>
            </w:pPr>
            <w:r>
              <w:rPr>
                <w:rFonts w:ascii="Arial" w:cs="Arial" w:eastAsia="Arial" w:hAnsi="Arial"/>
                <w:sz w:val="12"/>
                <w:szCs w:val="12"/>
                <w:color w:val="7B7C80"/>
              </w:rPr>
              <w:t>6.5 years</w:t>
            </w:r>
          </w:p>
        </w:tc>
        <w:tc>
          <w:tcPr>
            <w:tcW w:w="700" w:type="dxa"/>
            <w:vAlign w:val="bottom"/>
          </w:tcPr>
          <w:p>
            <w:pPr>
              <w:jc w:val="right"/>
              <w:ind w:right="39"/>
              <w:spacing w:after="0"/>
              <w:rPr>
                <w:sz w:val="20"/>
                <w:szCs w:val="20"/>
                <w:color w:val="auto"/>
              </w:rPr>
            </w:pPr>
            <w:r>
              <w:rPr>
                <w:rFonts w:ascii="Arial" w:cs="Arial" w:eastAsia="Arial" w:hAnsi="Arial"/>
                <w:sz w:val="12"/>
                <w:szCs w:val="12"/>
                <w:color w:val="7B7C80"/>
              </w:rPr>
              <w:t>4.066%</w:t>
            </w:r>
          </w:p>
        </w:tc>
        <w:tc>
          <w:tcPr>
            <w:tcW w:w="820" w:type="dxa"/>
            <w:vAlign w:val="bottom"/>
          </w:tcPr>
          <w:p>
            <w:pPr>
              <w:jc w:val="right"/>
              <w:spacing w:after="0"/>
              <w:rPr>
                <w:sz w:val="20"/>
                <w:szCs w:val="20"/>
                <w:color w:val="auto"/>
              </w:rPr>
            </w:pPr>
            <w:r>
              <w:rPr>
                <w:rFonts w:ascii="Arial" w:cs="Arial" w:eastAsia="Arial" w:hAnsi="Arial"/>
                <w:sz w:val="12"/>
                <w:szCs w:val="12"/>
                <w:color w:val="7B7C80"/>
              </w:rPr>
              <w:t>1.47%</w:t>
            </w:r>
          </w:p>
        </w:tc>
      </w:tr>
      <w:tr>
        <w:trPr>
          <w:trHeight w:val="21"/>
        </w:trPr>
        <w:tc>
          <w:tcPr>
            <w:tcW w:w="3020" w:type="dxa"/>
            <w:vAlign w:val="bottom"/>
            <w:tcBorders>
              <w:bottom w:val="single" w:sz="8" w:color="7B7C80"/>
            </w:tcBorders>
          </w:tcPr>
          <w:p>
            <w:pPr>
              <w:spacing w:after="0" w:line="20" w:lineRule="exact"/>
              <w:rPr>
                <w:sz w:val="1"/>
                <w:szCs w:val="1"/>
                <w:color w:val="auto"/>
              </w:rPr>
            </w:pPr>
          </w:p>
        </w:tc>
        <w:tc>
          <w:tcPr>
            <w:tcW w:w="2200" w:type="dxa"/>
            <w:vAlign w:val="bottom"/>
            <w:tcBorders>
              <w:bottom w:val="single" w:sz="8" w:color="7B7C80"/>
            </w:tcBorders>
          </w:tcPr>
          <w:p>
            <w:pPr>
              <w:spacing w:after="0" w:line="20" w:lineRule="exact"/>
              <w:rPr>
                <w:sz w:val="1"/>
                <w:szCs w:val="1"/>
                <w:color w:val="auto"/>
              </w:rPr>
            </w:pPr>
          </w:p>
        </w:tc>
        <w:tc>
          <w:tcPr>
            <w:tcW w:w="440" w:type="dxa"/>
            <w:vAlign w:val="bottom"/>
            <w:tcBorders>
              <w:bottom w:val="single" w:sz="8" w:color="7B7C80"/>
            </w:tcBorders>
          </w:tcPr>
          <w:p>
            <w:pPr>
              <w:spacing w:after="0" w:line="20" w:lineRule="exact"/>
              <w:rPr>
                <w:sz w:val="1"/>
                <w:szCs w:val="1"/>
                <w:color w:val="auto"/>
              </w:rPr>
            </w:pPr>
          </w:p>
        </w:tc>
        <w:tc>
          <w:tcPr>
            <w:tcW w:w="680" w:type="dxa"/>
            <w:vAlign w:val="bottom"/>
            <w:tcBorders>
              <w:bottom w:val="single" w:sz="8" w:color="7B7C80"/>
            </w:tcBorders>
          </w:tcPr>
          <w:p>
            <w:pPr>
              <w:spacing w:after="0" w:line="20" w:lineRule="exact"/>
              <w:rPr>
                <w:sz w:val="1"/>
                <w:szCs w:val="1"/>
                <w:color w:val="auto"/>
              </w:rPr>
            </w:pPr>
          </w:p>
        </w:tc>
        <w:tc>
          <w:tcPr>
            <w:tcW w:w="740" w:type="dxa"/>
            <w:vAlign w:val="bottom"/>
            <w:tcBorders>
              <w:bottom w:val="single" w:sz="8" w:color="7B7C80"/>
            </w:tcBorders>
          </w:tcPr>
          <w:p>
            <w:pPr>
              <w:spacing w:after="0" w:line="20" w:lineRule="exact"/>
              <w:rPr>
                <w:sz w:val="1"/>
                <w:szCs w:val="1"/>
                <w:color w:val="auto"/>
              </w:rPr>
            </w:pPr>
          </w:p>
        </w:tc>
        <w:tc>
          <w:tcPr>
            <w:tcW w:w="700" w:type="dxa"/>
            <w:vAlign w:val="bottom"/>
            <w:tcBorders>
              <w:bottom w:val="single" w:sz="8" w:color="7B7C80"/>
            </w:tcBorders>
          </w:tcPr>
          <w:p>
            <w:pPr>
              <w:spacing w:after="0" w:line="20" w:lineRule="exact"/>
              <w:rPr>
                <w:sz w:val="1"/>
                <w:szCs w:val="1"/>
                <w:color w:val="auto"/>
              </w:rPr>
            </w:pPr>
          </w:p>
        </w:tc>
        <w:tc>
          <w:tcPr>
            <w:tcW w:w="820" w:type="dxa"/>
            <w:vAlign w:val="bottom"/>
            <w:tcBorders>
              <w:bottom w:val="single" w:sz="8" w:color="7B7C80"/>
            </w:tcBorders>
          </w:tcPr>
          <w:p>
            <w:pPr>
              <w:spacing w:after="0" w:line="20" w:lineRule="exact"/>
              <w:rPr>
                <w:sz w:val="1"/>
                <w:szCs w:val="1"/>
                <w:color w:val="auto"/>
              </w:rPr>
            </w:pPr>
          </w:p>
        </w:tc>
      </w:tr>
      <w:tr>
        <w:trPr>
          <w:trHeight w:val="129"/>
        </w:trPr>
        <w:tc>
          <w:tcPr>
            <w:tcW w:w="302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February 27, 2017</w:t>
            </w:r>
          </w:p>
        </w:tc>
        <w:tc>
          <w:tcPr>
            <w:tcW w:w="220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62.78</w:t>
            </w:r>
          </w:p>
        </w:tc>
        <w:tc>
          <w:tcPr>
            <w:tcW w:w="68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27.65%</w:t>
            </w:r>
          </w:p>
        </w:tc>
        <w:tc>
          <w:tcPr>
            <w:tcW w:w="74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7.0 years</w:t>
            </w:r>
          </w:p>
        </w:tc>
        <w:tc>
          <w:tcPr>
            <w:tcW w:w="70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2.867%</w:t>
            </w:r>
          </w:p>
        </w:tc>
        <w:tc>
          <w:tcPr>
            <w:tcW w:w="8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2.18%</w:t>
            </w:r>
          </w:p>
        </w:tc>
      </w:tr>
      <w:tr>
        <w:trPr>
          <w:trHeight w:val="26"/>
        </w:trPr>
        <w:tc>
          <w:tcPr>
            <w:tcW w:w="3020" w:type="dxa"/>
            <w:vAlign w:val="bottom"/>
            <w:tcBorders>
              <w:bottom w:val="single" w:sz="8" w:color="009CCC"/>
            </w:tcBorders>
          </w:tcPr>
          <w:p>
            <w:pPr>
              <w:spacing w:after="0"/>
              <w:rPr>
                <w:sz w:val="2"/>
                <w:szCs w:val="2"/>
                <w:color w:val="auto"/>
              </w:rPr>
            </w:pPr>
          </w:p>
        </w:tc>
        <w:tc>
          <w:tcPr>
            <w:tcW w:w="2200" w:type="dxa"/>
            <w:vAlign w:val="bottom"/>
            <w:tcBorders>
              <w:bottom w:val="single" w:sz="8" w:color="009CCC"/>
            </w:tcBorders>
          </w:tcPr>
          <w:p>
            <w:pPr>
              <w:spacing w:after="0"/>
              <w:rPr>
                <w:sz w:val="2"/>
                <w:szCs w:val="2"/>
                <w:color w:val="auto"/>
              </w:rPr>
            </w:pPr>
          </w:p>
        </w:tc>
        <w:tc>
          <w:tcPr>
            <w:tcW w:w="440" w:type="dxa"/>
            <w:vAlign w:val="bottom"/>
            <w:tcBorders>
              <w:bottom w:val="single" w:sz="8" w:color="009CCC"/>
            </w:tcBorders>
          </w:tcPr>
          <w:p>
            <w:pPr>
              <w:spacing w:after="0"/>
              <w:rPr>
                <w:sz w:val="2"/>
                <w:szCs w:val="2"/>
                <w:color w:val="auto"/>
              </w:rPr>
            </w:pPr>
          </w:p>
        </w:tc>
        <w:tc>
          <w:tcPr>
            <w:tcW w:w="680" w:type="dxa"/>
            <w:vAlign w:val="bottom"/>
            <w:tcBorders>
              <w:bottom w:val="single" w:sz="8" w:color="009CCC"/>
            </w:tcBorders>
          </w:tcPr>
          <w:p>
            <w:pPr>
              <w:spacing w:after="0"/>
              <w:rPr>
                <w:sz w:val="2"/>
                <w:szCs w:val="2"/>
                <w:color w:val="auto"/>
              </w:rPr>
            </w:pPr>
          </w:p>
        </w:tc>
        <w:tc>
          <w:tcPr>
            <w:tcW w:w="740" w:type="dxa"/>
            <w:vAlign w:val="bottom"/>
            <w:tcBorders>
              <w:bottom w:val="single" w:sz="8" w:color="009CCC"/>
            </w:tcBorders>
          </w:tcPr>
          <w:p>
            <w:pPr>
              <w:spacing w:after="0"/>
              <w:rPr>
                <w:sz w:val="2"/>
                <w:szCs w:val="2"/>
                <w:color w:val="auto"/>
              </w:rPr>
            </w:pPr>
          </w:p>
        </w:tc>
        <w:tc>
          <w:tcPr>
            <w:tcW w:w="700" w:type="dxa"/>
            <w:vAlign w:val="bottom"/>
            <w:tcBorders>
              <w:bottom w:val="single" w:sz="8" w:color="009CCC"/>
            </w:tcBorders>
          </w:tcPr>
          <w:p>
            <w:pPr>
              <w:spacing w:after="0"/>
              <w:rPr>
                <w:sz w:val="2"/>
                <w:szCs w:val="2"/>
                <w:color w:val="auto"/>
              </w:rPr>
            </w:pPr>
          </w:p>
        </w:tc>
        <w:tc>
          <w:tcPr>
            <w:tcW w:w="820" w:type="dxa"/>
            <w:vAlign w:val="bottom"/>
            <w:tcBorders>
              <w:bottom w:val="single" w:sz="8" w:color="009CCC"/>
            </w:tcBorders>
          </w:tcPr>
          <w:p>
            <w:pPr>
              <w:spacing w:after="0"/>
              <w:rPr>
                <w:sz w:val="2"/>
                <w:szCs w:val="2"/>
                <w:color w:val="auto"/>
              </w:rPr>
            </w:pPr>
          </w:p>
        </w:tc>
      </w:tr>
    </w:tbl>
    <w:p>
      <w:pPr>
        <w:spacing w:after="0" w:line="222" w:lineRule="exact"/>
        <w:rPr>
          <w:sz w:val="20"/>
          <w:szCs w:val="20"/>
          <w:color w:val="auto"/>
        </w:rPr>
      </w:pPr>
    </w:p>
    <w:p>
      <w:pPr>
        <w:ind w:left="1820" w:right="20"/>
        <w:spacing w:after="0" w:line="253" w:lineRule="auto"/>
        <w:rPr>
          <w:sz w:val="20"/>
          <w:szCs w:val="20"/>
          <w:color w:val="auto"/>
        </w:rPr>
      </w:pPr>
      <w:r>
        <w:rPr>
          <w:rFonts w:ascii="Arial" w:cs="Arial" w:eastAsia="Arial" w:hAnsi="Arial"/>
          <w:sz w:val="12"/>
          <w:szCs w:val="12"/>
          <w:color w:val="7B7C80"/>
        </w:rPr>
        <w:t>The grant date fair value per share of each RSU or PSU granted on the same date as an option listed in the above table was equal to the exercise price reported for options granted on such date.</w:t>
      </w:r>
    </w:p>
    <w:p>
      <w:pPr>
        <w:spacing w:after="0" w:line="121" w:lineRule="exact"/>
        <w:rPr>
          <w:sz w:val="20"/>
          <w:szCs w:val="20"/>
          <w:color w:val="auto"/>
        </w:rPr>
      </w:pPr>
    </w:p>
    <w:p>
      <w:pPr>
        <w:jc w:val="both"/>
        <w:ind w:left="1820" w:right="20" w:hanging="455"/>
        <w:spacing w:after="0" w:line="246" w:lineRule="auto"/>
        <w:tabs>
          <w:tab w:leader="none" w:pos="1820" w:val="left"/>
        </w:tabs>
        <w:numPr>
          <w:ilvl w:val="0"/>
          <w:numId w:val="48"/>
        </w:numPr>
        <w:rPr>
          <w:rFonts w:ascii="Arial" w:cs="Arial" w:eastAsia="Arial" w:hAnsi="Arial"/>
          <w:sz w:val="12"/>
          <w:szCs w:val="12"/>
          <w:color w:val="7B7C80"/>
        </w:rPr>
      </w:pPr>
      <w:r>
        <w:rPr>
          <w:rFonts w:ascii="Arial" w:cs="Arial" w:eastAsia="Arial" w:hAnsi="Arial"/>
          <w:sz w:val="12"/>
          <w:szCs w:val="12"/>
          <w:color w:val="7B7C80"/>
        </w:rPr>
        <w:t>PSUs will be earned and paid in shares of Common Stock only if performance requirements are met or exceeded. The PSUs are eligible for dividend equivalents, and the dividend equivalents are subject to the same performance requirements as the corresponding PSUs and are only earned if the performance measures are met or exceeded. The maximum payout for the 2015, 2016, and 2017 PSUs is 150% of the target number of PSUs. If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106045</wp:posOffset>
            </wp:positionV>
            <wp:extent cx="960120" cy="28384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41</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44" w:name="page45"/>
    <w:bookmarkEnd w:id="44"/>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4" w:lineRule="exact"/>
        <w:rPr>
          <w:sz w:val="20"/>
          <w:szCs w:val="20"/>
          <w:color w:val="auto"/>
        </w:rPr>
      </w:pPr>
    </w:p>
    <w:p>
      <w:pPr>
        <w:ind w:left="1820"/>
        <w:spacing w:after="0" w:line="253" w:lineRule="auto"/>
        <w:rPr>
          <w:sz w:val="20"/>
          <w:szCs w:val="20"/>
          <w:color w:val="auto"/>
        </w:rPr>
      </w:pPr>
      <w:r>
        <w:rPr>
          <w:rFonts w:ascii="Arial" w:cs="Arial" w:eastAsia="Arial" w:hAnsi="Arial"/>
          <w:sz w:val="12"/>
          <w:szCs w:val="12"/>
          <w:color w:val="7B7C80"/>
        </w:rPr>
        <w:t>PSUs granted in 2017 are earned at the maximum payout, the grant date value of such PSUs would be as shown in the following table, and the amounts reported in the Stock Awards column, above, would be increased by the amount shown in the column to the far right of the following table.</w:t>
      </w:r>
    </w:p>
    <w:p>
      <w:pPr>
        <w:spacing w:after="0" w:line="178" w:lineRule="exact"/>
        <w:rPr>
          <w:sz w:val="20"/>
          <w:szCs w:val="20"/>
          <w:color w:val="auto"/>
        </w:rPr>
      </w:pPr>
    </w:p>
    <w:tbl>
      <w:tblPr>
        <w:tblLayout w:type="fixed"/>
        <w:tblInd w:w="1500" w:type="dxa"/>
        <w:tblCellMar>
          <w:top w:w="0" w:type="dxa"/>
          <w:left w:w="0" w:type="dxa"/>
          <w:bottom w:w="0" w:type="dxa"/>
          <w:right w:w="0" w:type="dxa"/>
        </w:tblCellMar>
      </w:tblPr>
      <w:tr>
        <w:trPr>
          <w:trHeight w:val="139"/>
        </w:trPr>
        <w:tc>
          <w:tcPr>
            <w:tcW w:w="4400" w:type="dxa"/>
            <w:vAlign w:val="bottom"/>
            <w:tcBorders>
              <w:top w:val="single" w:sz="8" w:color="009CCC"/>
            </w:tcBorders>
          </w:tcPr>
          <w:p>
            <w:pPr>
              <w:spacing w:after="0"/>
              <w:rPr>
                <w:sz w:val="12"/>
                <w:szCs w:val="12"/>
                <w:color w:val="auto"/>
              </w:rPr>
            </w:pPr>
          </w:p>
        </w:tc>
        <w:tc>
          <w:tcPr>
            <w:tcW w:w="4200" w:type="dxa"/>
            <w:vAlign w:val="bottom"/>
            <w:tcBorders>
              <w:top w:val="single" w:sz="8" w:color="009CCC"/>
            </w:tcBorders>
            <w:gridSpan w:val="2"/>
          </w:tcPr>
          <w:p>
            <w:pPr>
              <w:jc w:val="right"/>
              <w:spacing w:after="0"/>
              <w:rPr>
                <w:sz w:val="20"/>
                <w:szCs w:val="20"/>
                <w:color w:val="auto"/>
              </w:rPr>
            </w:pPr>
            <w:r>
              <w:rPr>
                <w:rFonts w:ascii="Arial" w:cs="Arial" w:eastAsia="Arial" w:hAnsi="Arial"/>
                <w:sz w:val="12"/>
                <w:szCs w:val="12"/>
                <w:b w:val="1"/>
                <w:bCs w:val="1"/>
                <w:color w:val="009CCC"/>
              </w:rPr>
              <w:t>Amount by Which</w:t>
            </w:r>
          </w:p>
        </w:tc>
      </w:tr>
      <w:tr>
        <w:trPr>
          <w:trHeight w:val="137"/>
        </w:trPr>
        <w:tc>
          <w:tcPr>
            <w:tcW w:w="4400" w:type="dxa"/>
            <w:vAlign w:val="bottom"/>
          </w:tcPr>
          <w:p>
            <w:pPr>
              <w:spacing w:after="0"/>
              <w:rPr>
                <w:sz w:val="11"/>
                <w:szCs w:val="11"/>
                <w:color w:val="auto"/>
              </w:rPr>
            </w:pPr>
          </w:p>
        </w:tc>
        <w:tc>
          <w:tcPr>
            <w:tcW w:w="4200" w:type="dxa"/>
            <w:vAlign w:val="bottom"/>
            <w:gridSpan w:val="2"/>
          </w:tcPr>
          <w:p>
            <w:pPr>
              <w:jc w:val="right"/>
              <w:spacing w:after="0"/>
              <w:rPr>
                <w:sz w:val="20"/>
                <w:szCs w:val="20"/>
                <w:color w:val="auto"/>
              </w:rPr>
            </w:pPr>
            <w:r>
              <w:rPr>
                <w:rFonts w:ascii="Arial" w:cs="Arial" w:eastAsia="Arial" w:hAnsi="Arial"/>
                <w:sz w:val="12"/>
                <w:szCs w:val="12"/>
                <w:b w:val="1"/>
                <w:bCs w:val="1"/>
                <w:color w:val="009CCC"/>
              </w:rPr>
              <w:t>Aggregate Grant Date</w:t>
            </w:r>
          </w:p>
        </w:tc>
      </w:tr>
      <w:tr>
        <w:trPr>
          <w:trHeight w:val="137"/>
        </w:trPr>
        <w:tc>
          <w:tcPr>
            <w:tcW w:w="4400" w:type="dxa"/>
            <w:vAlign w:val="bottom"/>
          </w:tcPr>
          <w:p>
            <w:pPr>
              <w:spacing w:after="0"/>
              <w:rPr>
                <w:sz w:val="11"/>
                <w:szCs w:val="11"/>
                <w:color w:val="auto"/>
              </w:rPr>
            </w:pPr>
          </w:p>
        </w:tc>
        <w:tc>
          <w:tcPr>
            <w:tcW w:w="4200" w:type="dxa"/>
            <w:vAlign w:val="bottom"/>
            <w:gridSpan w:val="2"/>
          </w:tcPr>
          <w:p>
            <w:pPr>
              <w:jc w:val="right"/>
              <w:spacing w:after="0"/>
              <w:rPr>
                <w:sz w:val="20"/>
                <w:szCs w:val="20"/>
                <w:color w:val="auto"/>
              </w:rPr>
            </w:pPr>
            <w:r>
              <w:rPr>
                <w:rFonts w:ascii="Arial" w:cs="Arial" w:eastAsia="Arial" w:hAnsi="Arial"/>
                <w:sz w:val="12"/>
                <w:szCs w:val="12"/>
                <w:b w:val="1"/>
                <w:bCs w:val="1"/>
                <w:color w:val="009CCC"/>
              </w:rPr>
              <w:t>Values Reported</w:t>
            </w:r>
          </w:p>
        </w:tc>
      </w:tr>
      <w:tr>
        <w:trPr>
          <w:trHeight w:val="161"/>
        </w:trPr>
        <w:tc>
          <w:tcPr>
            <w:tcW w:w="4400" w:type="dxa"/>
            <w:vAlign w:val="bottom"/>
          </w:tcPr>
          <w:p>
            <w:pPr>
              <w:spacing w:after="0"/>
              <w:rPr>
                <w:sz w:val="20"/>
                <w:szCs w:val="20"/>
                <w:color w:val="auto"/>
              </w:rPr>
            </w:pPr>
            <w:r>
              <w:rPr>
                <w:rFonts w:ascii="Arial" w:cs="Arial" w:eastAsia="Arial" w:hAnsi="Arial"/>
                <w:sz w:val="12"/>
                <w:szCs w:val="12"/>
                <w:b w:val="1"/>
                <w:bCs w:val="1"/>
                <w:color w:val="009CCC"/>
              </w:rPr>
              <w:t>Named Executive Officer</w:t>
            </w:r>
          </w:p>
        </w:tc>
        <w:tc>
          <w:tcPr>
            <w:tcW w:w="4200" w:type="dxa"/>
            <w:vAlign w:val="bottom"/>
            <w:gridSpan w:val="2"/>
          </w:tcPr>
          <w:p>
            <w:pPr>
              <w:jc w:val="right"/>
              <w:spacing w:after="0"/>
              <w:rPr>
                <w:sz w:val="20"/>
                <w:szCs w:val="20"/>
                <w:color w:val="auto"/>
              </w:rPr>
            </w:pPr>
            <w:r>
              <w:rPr>
                <w:rFonts w:ascii="Arial" w:cs="Arial" w:eastAsia="Arial" w:hAnsi="Arial"/>
                <w:sz w:val="12"/>
                <w:szCs w:val="12"/>
                <w:b w:val="1"/>
                <w:bCs w:val="1"/>
                <w:color w:val="009CCC"/>
              </w:rPr>
              <w:t>Would be Increased</w:t>
            </w:r>
          </w:p>
        </w:tc>
      </w:tr>
      <w:tr>
        <w:trPr>
          <w:trHeight w:val="21"/>
        </w:trPr>
        <w:tc>
          <w:tcPr>
            <w:tcW w:w="4400" w:type="dxa"/>
            <w:vAlign w:val="bottom"/>
            <w:tcBorders>
              <w:bottom w:val="single" w:sz="8" w:color="7B7C80"/>
            </w:tcBorders>
          </w:tcPr>
          <w:p>
            <w:pPr>
              <w:spacing w:after="0" w:line="20" w:lineRule="exact"/>
              <w:rPr>
                <w:sz w:val="1"/>
                <w:szCs w:val="1"/>
                <w:color w:val="auto"/>
              </w:rPr>
            </w:pPr>
          </w:p>
        </w:tc>
        <w:tc>
          <w:tcPr>
            <w:tcW w:w="3580" w:type="dxa"/>
            <w:vAlign w:val="bottom"/>
            <w:tcBorders>
              <w:bottom w:val="single" w:sz="8" w:color="7B7C80"/>
            </w:tcBorders>
          </w:tcPr>
          <w:p>
            <w:pPr>
              <w:spacing w:after="0" w:line="20" w:lineRule="exact"/>
              <w:rPr>
                <w:sz w:val="1"/>
                <w:szCs w:val="1"/>
                <w:color w:val="auto"/>
              </w:rPr>
            </w:pPr>
          </w:p>
        </w:tc>
        <w:tc>
          <w:tcPr>
            <w:tcW w:w="620" w:type="dxa"/>
            <w:vAlign w:val="bottom"/>
            <w:tcBorders>
              <w:bottom w:val="single" w:sz="8" w:color="7B7C80"/>
            </w:tcBorders>
          </w:tcPr>
          <w:p>
            <w:pPr>
              <w:spacing w:after="0" w:line="20" w:lineRule="exact"/>
              <w:rPr>
                <w:sz w:val="1"/>
                <w:szCs w:val="1"/>
                <w:color w:val="auto"/>
              </w:rPr>
            </w:pPr>
          </w:p>
        </w:tc>
      </w:tr>
      <w:tr>
        <w:trPr>
          <w:trHeight w:val="129"/>
        </w:trPr>
        <w:tc>
          <w:tcPr>
            <w:tcW w:w="440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Houston</w:t>
            </w:r>
          </w:p>
        </w:tc>
        <w:tc>
          <w:tcPr>
            <w:tcW w:w="358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w:t>
            </w:r>
          </w:p>
        </w:tc>
        <w:tc>
          <w:tcPr>
            <w:tcW w:w="6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1,237,488</w:t>
            </w:r>
          </w:p>
        </w:tc>
      </w:tr>
      <w:tr>
        <w:trPr>
          <w:trHeight w:val="34"/>
        </w:trPr>
        <w:tc>
          <w:tcPr>
            <w:tcW w:w="4400" w:type="dxa"/>
            <w:vAlign w:val="bottom"/>
            <w:tcBorders>
              <w:bottom w:val="single" w:sz="8" w:color="7B7C80"/>
            </w:tcBorders>
          </w:tcPr>
          <w:p>
            <w:pPr>
              <w:spacing w:after="0"/>
              <w:rPr>
                <w:sz w:val="2"/>
                <w:szCs w:val="2"/>
                <w:color w:val="auto"/>
              </w:rPr>
            </w:pPr>
          </w:p>
        </w:tc>
        <w:tc>
          <w:tcPr>
            <w:tcW w:w="3580" w:type="dxa"/>
            <w:vAlign w:val="bottom"/>
            <w:tcBorders>
              <w:bottom w:val="single" w:sz="8" w:color="7B7C80"/>
            </w:tcBorders>
          </w:tcPr>
          <w:p>
            <w:pPr>
              <w:spacing w:after="0"/>
              <w:rPr>
                <w:sz w:val="2"/>
                <w:szCs w:val="2"/>
                <w:color w:val="auto"/>
              </w:rPr>
            </w:pPr>
          </w:p>
        </w:tc>
        <w:tc>
          <w:tcPr>
            <w:tcW w:w="620" w:type="dxa"/>
            <w:vAlign w:val="bottom"/>
            <w:tcBorders>
              <w:bottom w:val="single" w:sz="8" w:color="7B7C80"/>
            </w:tcBorders>
          </w:tcPr>
          <w:p>
            <w:pPr>
              <w:spacing w:after="0"/>
              <w:rPr>
                <w:sz w:val="2"/>
                <w:szCs w:val="2"/>
                <w:color w:val="auto"/>
              </w:rPr>
            </w:pPr>
          </w:p>
        </w:tc>
      </w:tr>
      <w:tr>
        <w:trPr>
          <w:trHeight w:val="142"/>
        </w:trPr>
        <w:tc>
          <w:tcPr>
            <w:tcW w:w="4400" w:type="dxa"/>
            <w:vAlign w:val="bottom"/>
          </w:tcPr>
          <w:p>
            <w:pPr>
              <w:spacing w:after="0"/>
              <w:rPr>
                <w:sz w:val="20"/>
                <w:szCs w:val="20"/>
                <w:color w:val="auto"/>
              </w:rPr>
            </w:pPr>
            <w:r>
              <w:rPr>
                <w:rFonts w:ascii="Arial" w:cs="Arial" w:eastAsia="Arial" w:hAnsi="Arial"/>
                <w:sz w:val="12"/>
                <w:szCs w:val="12"/>
                <w:color w:val="7B7C80"/>
              </w:rPr>
              <w:t>Strable</w:t>
            </w:r>
          </w:p>
        </w:tc>
        <w:tc>
          <w:tcPr>
            <w:tcW w:w="3580" w:type="dxa"/>
            <w:vAlign w:val="bottom"/>
          </w:tcPr>
          <w:p>
            <w:pPr>
              <w:jc w:val="right"/>
              <w:ind w:right="19"/>
              <w:spacing w:after="0"/>
              <w:rPr>
                <w:sz w:val="20"/>
                <w:szCs w:val="20"/>
                <w:color w:val="auto"/>
              </w:rPr>
            </w:pPr>
            <w:r>
              <w:rPr>
                <w:rFonts w:ascii="Arial" w:cs="Arial" w:eastAsia="Arial" w:hAnsi="Arial"/>
                <w:sz w:val="12"/>
                <w:szCs w:val="12"/>
                <w:color w:val="7B7C80"/>
              </w:rPr>
              <w:t>$</w:t>
            </w:r>
          </w:p>
        </w:tc>
        <w:tc>
          <w:tcPr>
            <w:tcW w:w="620" w:type="dxa"/>
            <w:vAlign w:val="bottom"/>
          </w:tcPr>
          <w:p>
            <w:pPr>
              <w:jc w:val="right"/>
              <w:spacing w:after="0"/>
              <w:rPr>
                <w:sz w:val="20"/>
                <w:szCs w:val="20"/>
                <w:color w:val="auto"/>
              </w:rPr>
            </w:pPr>
            <w:r>
              <w:rPr>
                <w:rFonts w:ascii="Arial" w:cs="Arial" w:eastAsia="Arial" w:hAnsi="Arial"/>
                <w:sz w:val="12"/>
                <w:szCs w:val="12"/>
                <w:color w:val="7B7C80"/>
              </w:rPr>
              <w:t>386,380</w:t>
            </w:r>
          </w:p>
        </w:tc>
      </w:tr>
      <w:tr>
        <w:trPr>
          <w:trHeight w:val="21"/>
        </w:trPr>
        <w:tc>
          <w:tcPr>
            <w:tcW w:w="4400" w:type="dxa"/>
            <w:vAlign w:val="bottom"/>
            <w:tcBorders>
              <w:bottom w:val="single" w:sz="8" w:color="7B7C80"/>
            </w:tcBorders>
          </w:tcPr>
          <w:p>
            <w:pPr>
              <w:spacing w:after="0" w:line="20" w:lineRule="exact"/>
              <w:rPr>
                <w:sz w:val="1"/>
                <w:szCs w:val="1"/>
                <w:color w:val="auto"/>
              </w:rPr>
            </w:pPr>
          </w:p>
        </w:tc>
        <w:tc>
          <w:tcPr>
            <w:tcW w:w="3580" w:type="dxa"/>
            <w:vAlign w:val="bottom"/>
            <w:tcBorders>
              <w:bottom w:val="single" w:sz="8" w:color="7B7C80"/>
            </w:tcBorders>
          </w:tcPr>
          <w:p>
            <w:pPr>
              <w:spacing w:after="0" w:line="20" w:lineRule="exact"/>
              <w:rPr>
                <w:sz w:val="1"/>
                <w:szCs w:val="1"/>
                <w:color w:val="auto"/>
              </w:rPr>
            </w:pPr>
          </w:p>
        </w:tc>
        <w:tc>
          <w:tcPr>
            <w:tcW w:w="620" w:type="dxa"/>
            <w:vAlign w:val="bottom"/>
            <w:tcBorders>
              <w:bottom w:val="single" w:sz="8" w:color="7B7C80"/>
            </w:tcBorders>
          </w:tcPr>
          <w:p>
            <w:pPr>
              <w:spacing w:after="0" w:line="20" w:lineRule="exact"/>
              <w:rPr>
                <w:sz w:val="1"/>
                <w:szCs w:val="1"/>
                <w:color w:val="auto"/>
              </w:rPr>
            </w:pPr>
          </w:p>
        </w:tc>
      </w:tr>
      <w:tr>
        <w:trPr>
          <w:trHeight w:val="129"/>
        </w:trPr>
        <w:tc>
          <w:tcPr>
            <w:tcW w:w="440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Everett</w:t>
            </w:r>
          </w:p>
        </w:tc>
        <w:tc>
          <w:tcPr>
            <w:tcW w:w="358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w:t>
            </w:r>
          </w:p>
        </w:tc>
        <w:tc>
          <w:tcPr>
            <w:tcW w:w="6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330,945</w:t>
            </w:r>
          </w:p>
        </w:tc>
      </w:tr>
      <w:tr>
        <w:trPr>
          <w:trHeight w:val="34"/>
        </w:trPr>
        <w:tc>
          <w:tcPr>
            <w:tcW w:w="4400" w:type="dxa"/>
            <w:vAlign w:val="bottom"/>
            <w:tcBorders>
              <w:bottom w:val="single" w:sz="8" w:color="7B7C80"/>
            </w:tcBorders>
          </w:tcPr>
          <w:p>
            <w:pPr>
              <w:spacing w:after="0"/>
              <w:rPr>
                <w:sz w:val="2"/>
                <w:szCs w:val="2"/>
                <w:color w:val="auto"/>
              </w:rPr>
            </w:pPr>
          </w:p>
        </w:tc>
        <w:tc>
          <w:tcPr>
            <w:tcW w:w="3580" w:type="dxa"/>
            <w:vAlign w:val="bottom"/>
            <w:tcBorders>
              <w:bottom w:val="single" w:sz="8" w:color="7B7C80"/>
            </w:tcBorders>
          </w:tcPr>
          <w:p>
            <w:pPr>
              <w:spacing w:after="0"/>
              <w:rPr>
                <w:sz w:val="2"/>
                <w:szCs w:val="2"/>
                <w:color w:val="auto"/>
              </w:rPr>
            </w:pPr>
          </w:p>
        </w:tc>
        <w:tc>
          <w:tcPr>
            <w:tcW w:w="620" w:type="dxa"/>
            <w:vAlign w:val="bottom"/>
            <w:tcBorders>
              <w:bottom w:val="single" w:sz="8" w:color="7B7C80"/>
            </w:tcBorders>
          </w:tcPr>
          <w:p>
            <w:pPr>
              <w:spacing w:after="0"/>
              <w:rPr>
                <w:sz w:val="2"/>
                <w:szCs w:val="2"/>
                <w:color w:val="auto"/>
              </w:rPr>
            </w:pPr>
          </w:p>
        </w:tc>
      </w:tr>
      <w:tr>
        <w:trPr>
          <w:trHeight w:val="142"/>
        </w:trPr>
        <w:tc>
          <w:tcPr>
            <w:tcW w:w="4400" w:type="dxa"/>
            <w:vAlign w:val="bottom"/>
          </w:tcPr>
          <w:p>
            <w:pPr>
              <w:spacing w:after="0"/>
              <w:rPr>
                <w:sz w:val="20"/>
                <w:szCs w:val="20"/>
                <w:color w:val="auto"/>
              </w:rPr>
            </w:pPr>
            <w:r>
              <w:rPr>
                <w:rFonts w:ascii="Arial" w:cs="Arial" w:eastAsia="Arial" w:hAnsi="Arial"/>
                <w:sz w:val="12"/>
                <w:szCs w:val="12"/>
                <w:color w:val="7B7C80"/>
              </w:rPr>
              <w:t>Lillis</w:t>
            </w:r>
          </w:p>
        </w:tc>
        <w:tc>
          <w:tcPr>
            <w:tcW w:w="3580" w:type="dxa"/>
            <w:vAlign w:val="bottom"/>
          </w:tcPr>
          <w:p>
            <w:pPr>
              <w:jc w:val="right"/>
              <w:ind w:right="19"/>
              <w:spacing w:after="0"/>
              <w:rPr>
                <w:sz w:val="20"/>
                <w:szCs w:val="20"/>
                <w:color w:val="auto"/>
              </w:rPr>
            </w:pPr>
            <w:r>
              <w:rPr>
                <w:rFonts w:ascii="Arial" w:cs="Arial" w:eastAsia="Arial" w:hAnsi="Arial"/>
                <w:sz w:val="12"/>
                <w:szCs w:val="12"/>
                <w:color w:val="7B7C80"/>
              </w:rPr>
              <w:t>$</w:t>
            </w:r>
          </w:p>
        </w:tc>
        <w:tc>
          <w:tcPr>
            <w:tcW w:w="620" w:type="dxa"/>
            <w:vAlign w:val="bottom"/>
          </w:tcPr>
          <w:p>
            <w:pPr>
              <w:jc w:val="right"/>
              <w:spacing w:after="0"/>
              <w:rPr>
                <w:sz w:val="20"/>
                <w:szCs w:val="20"/>
                <w:color w:val="auto"/>
              </w:rPr>
            </w:pPr>
            <w:r>
              <w:rPr>
                <w:rFonts w:ascii="Arial" w:cs="Arial" w:eastAsia="Arial" w:hAnsi="Arial"/>
                <w:sz w:val="12"/>
                <w:szCs w:val="12"/>
                <w:color w:val="7B7C80"/>
              </w:rPr>
              <w:t>390,146</w:t>
            </w:r>
          </w:p>
        </w:tc>
      </w:tr>
      <w:tr>
        <w:trPr>
          <w:trHeight w:val="21"/>
        </w:trPr>
        <w:tc>
          <w:tcPr>
            <w:tcW w:w="4400" w:type="dxa"/>
            <w:vAlign w:val="bottom"/>
            <w:tcBorders>
              <w:bottom w:val="single" w:sz="8" w:color="7B7C80"/>
            </w:tcBorders>
          </w:tcPr>
          <w:p>
            <w:pPr>
              <w:spacing w:after="0" w:line="20" w:lineRule="exact"/>
              <w:rPr>
                <w:sz w:val="1"/>
                <w:szCs w:val="1"/>
                <w:color w:val="auto"/>
              </w:rPr>
            </w:pPr>
          </w:p>
        </w:tc>
        <w:tc>
          <w:tcPr>
            <w:tcW w:w="3580" w:type="dxa"/>
            <w:vAlign w:val="bottom"/>
            <w:tcBorders>
              <w:bottom w:val="single" w:sz="8" w:color="7B7C80"/>
            </w:tcBorders>
          </w:tcPr>
          <w:p>
            <w:pPr>
              <w:spacing w:after="0" w:line="20" w:lineRule="exact"/>
              <w:rPr>
                <w:sz w:val="1"/>
                <w:szCs w:val="1"/>
                <w:color w:val="auto"/>
              </w:rPr>
            </w:pPr>
          </w:p>
        </w:tc>
        <w:tc>
          <w:tcPr>
            <w:tcW w:w="620" w:type="dxa"/>
            <w:vAlign w:val="bottom"/>
            <w:tcBorders>
              <w:bottom w:val="single" w:sz="8" w:color="7B7C80"/>
            </w:tcBorders>
          </w:tcPr>
          <w:p>
            <w:pPr>
              <w:spacing w:after="0" w:line="20" w:lineRule="exact"/>
              <w:rPr>
                <w:sz w:val="1"/>
                <w:szCs w:val="1"/>
                <w:color w:val="auto"/>
              </w:rPr>
            </w:pPr>
          </w:p>
        </w:tc>
      </w:tr>
      <w:tr>
        <w:trPr>
          <w:trHeight w:val="129"/>
        </w:trPr>
        <w:tc>
          <w:tcPr>
            <w:tcW w:w="440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McCaughan</w:t>
            </w:r>
          </w:p>
        </w:tc>
        <w:tc>
          <w:tcPr>
            <w:tcW w:w="358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w:t>
            </w:r>
          </w:p>
        </w:tc>
        <w:tc>
          <w:tcPr>
            <w:tcW w:w="6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594,558</w:t>
            </w:r>
          </w:p>
        </w:tc>
      </w:tr>
      <w:tr>
        <w:trPr>
          <w:trHeight w:val="34"/>
        </w:trPr>
        <w:tc>
          <w:tcPr>
            <w:tcW w:w="4400" w:type="dxa"/>
            <w:vAlign w:val="bottom"/>
            <w:tcBorders>
              <w:bottom w:val="single" w:sz="8" w:color="7B7C80"/>
            </w:tcBorders>
          </w:tcPr>
          <w:p>
            <w:pPr>
              <w:spacing w:after="0"/>
              <w:rPr>
                <w:sz w:val="2"/>
                <w:szCs w:val="2"/>
                <w:color w:val="auto"/>
              </w:rPr>
            </w:pPr>
          </w:p>
        </w:tc>
        <w:tc>
          <w:tcPr>
            <w:tcW w:w="3580" w:type="dxa"/>
            <w:vAlign w:val="bottom"/>
            <w:tcBorders>
              <w:bottom w:val="single" w:sz="8" w:color="7B7C80"/>
            </w:tcBorders>
          </w:tcPr>
          <w:p>
            <w:pPr>
              <w:spacing w:after="0"/>
              <w:rPr>
                <w:sz w:val="2"/>
                <w:szCs w:val="2"/>
                <w:color w:val="auto"/>
              </w:rPr>
            </w:pPr>
          </w:p>
        </w:tc>
        <w:tc>
          <w:tcPr>
            <w:tcW w:w="620" w:type="dxa"/>
            <w:vAlign w:val="bottom"/>
            <w:tcBorders>
              <w:bottom w:val="single" w:sz="8" w:color="7B7C80"/>
            </w:tcBorders>
          </w:tcPr>
          <w:p>
            <w:pPr>
              <w:spacing w:after="0"/>
              <w:rPr>
                <w:sz w:val="2"/>
                <w:szCs w:val="2"/>
                <w:color w:val="auto"/>
              </w:rPr>
            </w:pPr>
          </w:p>
        </w:tc>
      </w:tr>
      <w:tr>
        <w:trPr>
          <w:trHeight w:val="155"/>
        </w:trPr>
        <w:tc>
          <w:tcPr>
            <w:tcW w:w="4400" w:type="dxa"/>
            <w:vAlign w:val="bottom"/>
            <w:tcBorders>
              <w:bottom w:val="single" w:sz="8" w:color="009CCC"/>
            </w:tcBorders>
          </w:tcPr>
          <w:p>
            <w:pPr>
              <w:spacing w:after="0"/>
              <w:rPr>
                <w:sz w:val="20"/>
                <w:szCs w:val="20"/>
                <w:color w:val="auto"/>
              </w:rPr>
            </w:pPr>
            <w:r>
              <w:rPr>
                <w:rFonts w:ascii="Arial" w:cs="Arial" w:eastAsia="Arial" w:hAnsi="Arial"/>
                <w:sz w:val="12"/>
                <w:szCs w:val="12"/>
                <w:color w:val="7B7C80"/>
              </w:rPr>
              <w:t>Valdés</w:t>
            </w:r>
          </w:p>
        </w:tc>
        <w:tc>
          <w:tcPr>
            <w:tcW w:w="3580" w:type="dxa"/>
            <w:vAlign w:val="bottom"/>
            <w:tcBorders>
              <w:bottom w:val="single" w:sz="8" w:color="009CCC"/>
            </w:tcBorders>
          </w:tcPr>
          <w:p>
            <w:pPr>
              <w:jc w:val="right"/>
              <w:ind w:right="19"/>
              <w:spacing w:after="0"/>
              <w:rPr>
                <w:sz w:val="20"/>
                <w:szCs w:val="20"/>
                <w:color w:val="auto"/>
              </w:rPr>
            </w:pPr>
            <w:r>
              <w:rPr>
                <w:rFonts w:ascii="Arial" w:cs="Arial" w:eastAsia="Arial" w:hAnsi="Arial"/>
                <w:sz w:val="12"/>
                <w:szCs w:val="12"/>
                <w:color w:val="7B7C80"/>
              </w:rPr>
              <w:t>$</w:t>
            </w:r>
          </w:p>
        </w:tc>
        <w:tc>
          <w:tcPr>
            <w:tcW w:w="62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377,182</w:t>
            </w:r>
          </w:p>
        </w:tc>
      </w:tr>
    </w:tbl>
    <w:p>
      <w:pPr>
        <w:spacing w:after="0" w:line="187" w:lineRule="exact"/>
        <w:rPr>
          <w:sz w:val="20"/>
          <w:szCs w:val="20"/>
          <w:color w:val="auto"/>
        </w:rPr>
      </w:pPr>
    </w:p>
    <w:p>
      <w:pPr>
        <w:ind w:left="1820" w:right="20" w:hanging="455"/>
        <w:spacing w:after="0" w:line="253" w:lineRule="auto"/>
        <w:tabs>
          <w:tab w:leader="none" w:pos="1820" w:val="left"/>
        </w:tabs>
        <w:numPr>
          <w:ilvl w:val="0"/>
          <w:numId w:val="49"/>
        </w:numPr>
        <w:rPr>
          <w:rFonts w:ascii="Arial" w:cs="Arial" w:eastAsia="Arial" w:hAnsi="Arial"/>
          <w:sz w:val="12"/>
          <w:szCs w:val="12"/>
          <w:color w:val="7B7C80"/>
        </w:rPr>
      </w:pPr>
      <w:r>
        <w:rPr>
          <w:rFonts w:ascii="Arial" w:cs="Arial" w:eastAsia="Arial" w:hAnsi="Arial"/>
          <w:sz w:val="12"/>
          <w:szCs w:val="12"/>
          <w:color w:val="7B7C80"/>
        </w:rPr>
        <w:t>The amounts shown represent annual incentive compensation awards earned in 2017 and paid in 2018 and include the following amounts deferred into the qualified 401(k) Plan and Excess Plan:</w:t>
      </w:r>
    </w:p>
    <w:p>
      <w:pPr>
        <w:spacing w:after="0" w:line="178" w:lineRule="exact"/>
        <w:rPr>
          <w:sz w:val="20"/>
          <w:szCs w:val="20"/>
          <w:color w:val="auto"/>
        </w:rPr>
      </w:pPr>
    </w:p>
    <w:tbl>
      <w:tblPr>
        <w:tblLayout w:type="fixed"/>
        <w:tblInd w:w="1500" w:type="dxa"/>
        <w:tblCellMar>
          <w:top w:w="0" w:type="dxa"/>
          <w:left w:w="0" w:type="dxa"/>
          <w:bottom w:w="0" w:type="dxa"/>
          <w:right w:w="0" w:type="dxa"/>
        </w:tblCellMar>
      </w:tblPr>
      <w:tr>
        <w:trPr>
          <w:trHeight w:val="139"/>
        </w:trPr>
        <w:tc>
          <w:tcPr>
            <w:tcW w:w="4320" w:type="dxa"/>
            <w:vAlign w:val="bottom"/>
            <w:tcBorders>
              <w:top w:val="single" w:sz="8" w:color="009CCC"/>
            </w:tcBorders>
          </w:tcPr>
          <w:p>
            <w:pPr>
              <w:spacing w:after="0"/>
              <w:rPr>
                <w:sz w:val="12"/>
                <w:szCs w:val="12"/>
                <w:color w:val="auto"/>
              </w:rPr>
            </w:pPr>
          </w:p>
        </w:tc>
        <w:tc>
          <w:tcPr>
            <w:tcW w:w="4280" w:type="dxa"/>
            <w:vAlign w:val="bottom"/>
            <w:tcBorders>
              <w:top w:val="single" w:sz="8" w:color="009CCC"/>
            </w:tcBorders>
            <w:gridSpan w:val="2"/>
          </w:tcPr>
          <w:p>
            <w:pPr>
              <w:jc w:val="center"/>
              <w:ind w:left="2819"/>
              <w:spacing w:after="0"/>
              <w:rPr>
                <w:sz w:val="20"/>
                <w:szCs w:val="20"/>
                <w:color w:val="auto"/>
              </w:rPr>
            </w:pPr>
            <w:r>
              <w:rPr>
                <w:rFonts w:ascii="Arial" w:cs="Arial" w:eastAsia="Arial" w:hAnsi="Arial"/>
                <w:sz w:val="12"/>
                <w:szCs w:val="12"/>
                <w:b w:val="1"/>
                <w:bCs w:val="1"/>
                <w:color w:val="009CCC"/>
              </w:rPr>
              <w:t>Employee Contributions</w:t>
            </w:r>
          </w:p>
        </w:tc>
      </w:tr>
      <w:tr>
        <w:trPr>
          <w:trHeight w:val="161"/>
        </w:trPr>
        <w:tc>
          <w:tcPr>
            <w:tcW w:w="4320" w:type="dxa"/>
            <w:vAlign w:val="bottom"/>
          </w:tcPr>
          <w:p>
            <w:pPr>
              <w:spacing w:after="0"/>
              <w:rPr>
                <w:sz w:val="20"/>
                <w:szCs w:val="20"/>
                <w:color w:val="auto"/>
              </w:rPr>
            </w:pPr>
            <w:r>
              <w:rPr>
                <w:rFonts w:ascii="Arial" w:cs="Arial" w:eastAsia="Arial" w:hAnsi="Arial"/>
                <w:sz w:val="12"/>
                <w:szCs w:val="12"/>
                <w:b w:val="1"/>
                <w:bCs w:val="1"/>
                <w:color w:val="009CCC"/>
              </w:rPr>
              <w:t>Named Executive Officer</w:t>
            </w:r>
          </w:p>
        </w:tc>
        <w:tc>
          <w:tcPr>
            <w:tcW w:w="4280" w:type="dxa"/>
            <w:vAlign w:val="bottom"/>
            <w:gridSpan w:val="2"/>
          </w:tcPr>
          <w:p>
            <w:pPr>
              <w:jc w:val="right"/>
              <w:spacing w:after="0"/>
              <w:rPr>
                <w:sz w:val="20"/>
                <w:szCs w:val="20"/>
                <w:color w:val="auto"/>
              </w:rPr>
            </w:pPr>
            <w:r>
              <w:rPr>
                <w:rFonts w:ascii="Arial" w:cs="Arial" w:eastAsia="Arial" w:hAnsi="Arial"/>
                <w:sz w:val="12"/>
                <w:szCs w:val="12"/>
                <w:b w:val="1"/>
                <w:bCs w:val="1"/>
                <w:color w:val="009CCC"/>
              </w:rPr>
              <w:t>on Incentive Pay</w:t>
            </w:r>
          </w:p>
        </w:tc>
      </w:tr>
      <w:tr>
        <w:trPr>
          <w:trHeight w:val="21"/>
        </w:trPr>
        <w:tc>
          <w:tcPr>
            <w:tcW w:w="4320" w:type="dxa"/>
            <w:vAlign w:val="bottom"/>
            <w:tcBorders>
              <w:bottom w:val="single" w:sz="8" w:color="7B7C80"/>
            </w:tcBorders>
          </w:tcPr>
          <w:p>
            <w:pPr>
              <w:spacing w:after="0" w:line="20" w:lineRule="exact"/>
              <w:rPr>
                <w:sz w:val="1"/>
                <w:szCs w:val="1"/>
                <w:color w:val="auto"/>
              </w:rPr>
            </w:pPr>
          </w:p>
        </w:tc>
        <w:tc>
          <w:tcPr>
            <w:tcW w:w="3740" w:type="dxa"/>
            <w:vAlign w:val="bottom"/>
            <w:tcBorders>
              <w:bottom w:val="single" w:sz="8" w:color="7B7C80"/>
            </w:tcBorders>
          </w:tcPr>
          <w:p>
            <w:pPr>
              <w:spacing w:after="0" w:line="20" w:lineRule="exact"/>
              <w:rPr>
                <w:sz w:val="1"/>
                <w:szCs w:val="1"/>
                <w:color w:val="auto"/>
              </w:rPr>
            </w:pPr>
          </w:p>
        </w:tc>
        <w:tc>
          <w:tcPr>
            <w:tcW w:w="540" w:type="dxa"/>
            <w:vAlign w:val="bottom"/>
            <w:tcBorders>
              <w:bottom w:val="single" w:sz="8" w:color="7B7C80"/>
            </w:tcBorders>
          </w:tcPr>
          <w:p>
            <w:pPr>
              <w:spacing w:after="0" w:line="20" w:lineRule="exact"/>
              <w:rPr>
                <w:sz w:val="1"/>
                <w:szCs w:val="1"/>
                <w:color w:val="auto"/>
              </w:rPr>
            </w:pPr>
          </w:p>
        </w:tc>
      </w:tr>
      <w:tr>
        <w:trPr>
          <w:trHeight w:val="129"/>
        </w:trPr>
        <w:tc>
          <w:tcPr>
            <w:tcW w:w="432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Houston</w:t>
            </w:r>
          </w:p>
        </w:tc>
        <w:tc>
          <w:tcPr>
            <w:tcW w:w="3740" w:type="dxa"/>
            <w:vAlign w:val="bottom"/>
            <w:shd w:val="clear" w:color="auto" w:fill="E7E6E7"/>
          </w:tcPr>
          <w:p>
            <w:pPr>
              <w:jc w:val="center"/>
              <w:ind w:left="3379"/>
              <w:spacing w:after="0" w:line="129" w:lineRule="exact"/>
              <w:rPr>
                <w:sz w:val="20"/>
                <w:szCs w:val="20"/>
                <w:color w:val="auto"/>
              </w:rPr>
            </w:pPr>
            <w:r>
              <w:rPr>
                <w:rFonts w:ascii="Arial" w:cs="Arial" w:eastAsia="Arial" w:hAnsi="Arial"/>
                <w:sz w:val="12"/>
                <w:szCs w:val="12"/>
                <w:color w:val="7B7C80"/>
                <w:w w:val="89"/>
              </w:rPr>
              <w:t>$</w:t>
            </w:r>
          </w:p>
        </w:tc>
        <w:tc>
          <w:tcPr>
            <w:tcW w:w="5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272,274</w:t>
            </w:r>
          </w:p>
        </w:tc>
      </w:tr>
      <w:tr>
        <w:trPr>
          <w:trHeight w:val="34"/>
        </w:trPr>
        <w:tc>
          <w:tcPr>
            <w:tcW w:w="4320" w:type="dxa"/>
            <w:vAlign w:val="bottom"/>
            <w:tcBorders>
              <w:bottom w:val="single" w:sz="8" w:color="7B7C80"/>
            </w:tcBorders>
          </w:tcPr>
          <w:p>
            <w:pPr>
              <w:spacing w:after="0"/>
              <w:rPr>
                <w:sz w:val="2"/>
                <w:szCs w:val="2"/>
                <w:color w:val="auto"/>
              </w:rPr>
            </w:pPr>
          </w:p>
        </w:tc>
        <w:tc>
          <w:tcPr>
            <w:tcW w:w="374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r>
      <w:tr>
        <w:trPr>
          <w:trHeight w:val="142"/>
        </w:trPr>
        <w:tc>
          <w:tcPr>
            <w:tcW w:w="4320" w:type="dxa"/>
            <w:vAlign w:val="bottom"/>
          </w:tcPr>
          <w:p>
            <w:pPr>
              <w:spacing w:after="0"/>
              <w:rPr>
                <w:sz w:val="20"/>
                <w:szCs w:val="20"/>
                <w:color w:val="auto"/>
              </w:rPr>
            </w:pPr>
            <w:r>
              <w:rPr>
                <w:rFonts w:ascii="Arial" w:cs="Arial" w:eastAsia="Arial" w:hAnsi="Arial"/>
                <w:sz w:val="12"/>
                <w:szCs w:val="12"/>
                <w:color w:val="7B7C80"/>
              </w:rPr>
              <w:t>Strable</w:t>
            </w:r>
          </w:p>
        </w:tc>
        <w:tc>
          <w:tcPr>
            <w:tcW w:w="3740" w:type="dxa"/>
            <w:vAlign w:val="bottom"/>
          </w:tcPr>
          <w:p>
            <w:pPr>
              <w:jc w:val="center"/>
              <w:ind w:left="3379"/>
              <w:spacing w:after="0"/>
              <w:rPr>
                <w:sz w:val="20"/>
                <w:szCs w:val="20"/>
                <w:color w:val="auto"/>
              </w:rPr>
            </w:pPr>
            <w:r>
              <w:rPr>
                <w:rFonts w:ascii="Arial" w:cs="Arial" w:eastAsia="Arial" w:hAnsi="Arial"/>
                <w:sz w:val="12"/>
                <w:szCs w:val="12"/>
                <w:color w:val="7B7C80"/>
                <w:w w:val="89"/>
              </w:rPr>
              <w:t>$</w:t>
            </w:r>
          </w:p>
        </w:tc>
        <w:tc>
          <w:tcPr>
            <w:tcW w:w="540" w:type="dxa"/>
            <w:vAlign w:val="bottom"/>
          </w:tcPr>
          <w:p>
            <w:pPr>
              <w:jc w:val="right"/>
              <w:spacing w:after="0"/>
              <w:rPr>
                <w:sz w:val="20"/>
                <w:szCs w:val="20"/>
                <w:color w:val="auto"/>
              </w:rPr>
            </w:pPr>
            <w:r>
              <w:rPr>
                <w:rFonts w:ascii="Arial" w:cs="Arial" w:eastAsia="Arial" w:hAnsi="Arial"/>
                <w:sz w:val="12"/>
                <w:szCs w:val="12"/>
                <w:color w:val="7B7C80"/>
              </w:rPr>
              <w:t>234,500</w:t>
            </w:r>
          </w:p>
        </w:tc>
      </w:tr>
      <w:tr>
        <w:trPr>
          <w:trHeight w:val="21"/>
        </w:trPr>
        <w:tc>
          <w:tcPr>
            <w:tcW w:w="4320" w:type="dxa"/>
            <w:vAlign w:val="bottom"/>
            <w:tcBorders>
              <w:bottom w:val="single" w:sz="8" w:color="7B7C80"/>
            </w:tcBorders>
          </w:tcPr>
          <w:p>
            <w:pPr>
              <w:spacing w:after="0" w:line="20" w:lineRule="exact"/>
              <w:rPr>
                <w:sz w:val="1"/>
                <w:szCs w:val="1"/>
                <w:color w:val="auto"/>
              </w:rPr>
            </w:pPr>
          </w:p>
        </w:tc>
        <w:tc>
          <w:tcPr>
            <w:tcW w:w="3740" w:type="dxa"/>
            <w:vAlign w:val="bottom"/>
            <w:tcBorders>
              <w:bottom w:val="single" w:sz="8" w:color="7B7C80"/>
            </w:tcBorders>
          </w:tcPr>
          <w:p>
            <w:pPr>
              <w:spacing w:after="0" w:line="20" w:lineRule="exact"/>
              <w:rPr>
                <w:sz w:val="1"/>
                <w:szCs w:val="1"/>
                <w:color w:val="auto"/>
              </w:rPr>
            </w:pPr>
          </w:p>
        </w:tc>
        <w:tc>
          <w:tcPr>
            <w:tcW w:w="540" w:type="dxa"/>
            <w:vAlign w:val="bottom"/>
            <w:tcBorders>
              <w:bottom w:val="single" w:sz="8" w:color="7B7C80"/>
            </w:tcBorders>
          </w:tcPr>
          <w:p>
            <w:pPr>
              <w:spacing w:after="0" w:line="20" w:lineRule="exact"/>
              <w:rPr>
                <w:sz w:val="1"/>
                <w:szCs w:val="1"/>
                <w:color w:val="auto"/>
              </w:rPr>
            </w:pPr>
          </w:p>
        </w:tc>
      </w:tr>
      <w:tr>
        <w:trPr>
          <w:trHeight w:val="129"/>
        </w:trPr>
        <w:tc>
          <w:tcPr>
            <w:tcW w:w="432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Everett</w:t>
            </w:r>
          </w:p>
        </w:tc>
        <w:tc>
          <w:tcPr>
            <w:tcW w:w="3740" w:type="dxa"/>
            <w:vAlign w:val="bottom"/>
            <w:shd w:val="clear" w:color="auto" w:fill="E7E6E7"/>
          </w:tcPr>
          <w:p>
            <w:pPr>
              <w:jc w:val="center"/>
              <w:ind w:left="3379"/>
              <w:spacing w:after="0" w:line="129" w:lineRule="exact"/>
              <w:rPr>
                <w:sz w:val="20"/>
                <w:szCs w:val="20"/>
                <w:color w:val="auto"/>
              </w:rPr>
            </w:pPr>
            <w:r>
              <w:rPr>
                <w:rFonts w:ascii="Arial" w:cs="Arial" w:eastAsia="Arial" w:hAnsi="Arial"/>
                <w:sz w:val="12"/>
                <w:szCs w:val="12"/>
                <w:color w:val="7B7C80"/>
                <w:w w:val="89"/>
              </w:rPr>
              <w:t>$</w:t>
            </w:r>
          </w:p>
        </w:tc>
        <w:tc>
          <w:tcPr>
            <w:tcW w:w="5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55,734</w:t>
            </w:r>
          </w:p>
        </w:tc>
      </w:tr>
      <w:tr>
        <w:trPr>
          <w:trHeight w:val="34"/>
        </w:trPr>
        <w:tc>
          <w:tcPr>
            <w:tcW w:w="4320" w:type="dxa"/>
            <w:vAlign w:val="bottom"/>
            <w:tcBorders>
              <w:bottom w:val="single" w:sz="8" w:color="7B7C80"/>
            </w:tcBorders>
          </w:tcPr>
          <w:p>
            <w:pPr>
              <w:spacing w:after="0"/>
              <w:rPr>
                <w:sz w:val="2"/>
                <w:szCs w:val="2"/>
                <w:color w:val="auto"/>
              </w:rPr>
            </w:pPr>
          </w:p>
        </w:tc>
        <w:tc>
          <w:tcPr>
            <w:tcW w:w="374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r>
      <w:tr>
        <w:trPr>
          <w:trHeight w:val="142"/>
        </w:trPr>
        <w:tc>
          <w:tcPr>
            <w:tcW w:w="4320" w:type="dxa"/>
            <w:vAlign w:val="bottom"/>
          </w:tcPr>
          <w:p>
            <w:pPr>
              <w:spacing w:after="0"/>
              <w:rPr>
                <w:sz w:val="20"/>
                <w:szCs w:val="20"/>
                <w:color w:val="auto"/>
              </w:rPr>
            </w:pPr>
            <w:r>
              <w:rPr>
                <w:rFonts w:ascii="Arial" w:cs="Arial" w:eastAsia="Arial" w:hAnsi="Arial"/>
                <w:sz w:val="12"/>
                <w:szCs w:val="12"/>
                <w:color w:val="7B7C80"/>
              </w:rPr>
              <w:t>Lillis</w:t>
            </w:r>
          </w:p>
        </w:tc>
        <w:tc>
          <w:tcPr>
            <w:tcW w:w="3740" w:type="dxa"/>
            <w:vAlign w:val="bottom"/>
          </w:tcPr>
          <w:p>
            <w:pPr>
              <w:jc w:val="center"/>
              <w:ind w:left="3379"/>
              <w:spacing w:after="0"/>
              <w:rPr>
                <w:sz w:val="20"/>
                <w:szCs w:val="20"/>
                <w:color w:val="auto"/>
              </w:rPr>
            </w:pPr>
            <w:r>
              <w:rPr>
                <w:rFonts w:ascii="Arial" w:cs="Arial" w:eastAsia="Arial" w:hAnsi="Arial"/>
                <w:sz w:val="12"/>
                <w:szCs w:val="12"/>
                <w:color w:val="7B7C80"/>
                <w:w w:val="89"/>
              </w:rPr>
              <w:t>$</w:t>
            </w:r>
          </w:p>
        </w:tc>
        <w:tc>
          <w:tcPr>
            <w:tcW w:w="540" w:type="dxa"/>
            <w:vAlign w:val="bottom"/>
          </w:tcPr>
          <w:p>
            <w:pPr>
              <w:jc w:val="right"/>
              <w:spacing w:after="0"/>
              <w:rPr>
                <w:sz w:val="20"/>
                <w:szCs w:val="20"/>
                <w:color w:val="auto"/>
              </w:rPr>
            </w:pPr>
            <w:r>
              <w:rPr>
                <w:rFonts w:ascii="Arial" w:cs="Arial" w:eastAsia="Arial" w:hAnsi="Arial"/>
                <w:sz w:val="12"/>
                <w:szCs w:val="12"/>
                <w:color w:val="7B7C80"/>
              </w:rPr>
              <w:t>0</w:t>
            </w:r>
          </w:p>
        </w:tc>
      </w:tr>
      <w:tr>
        <w:trPr>
          <w:trHeight w:val="21"/>
        </w:trPr>
        <w:tc>
          <w:tcPr>
            <w:tcW w:w="4320" w:type="dxa"/>
            <w:vAlign w:val="bottom"/>
            <w:tcBorders>
              <w:bottom w:val="single" w:sz="8" w:color="7B7C80"/>
            </w:tcBorders>
          </w:tcPr>
          <w:p>
            <w:pPr>
              <w:spacing w:after="0" w:line="20" w:lineRule="exact"/>
              <w:rPr>
                <w:sz w:val="1"/>
                <w:szCs w:val="1"/>
                <w:color w:val="auto"/>
              </w:rPr>
            </w:pPr>
          </w:p>
        </w:tc>
        <w:tc>
          <w:tcPr>
            <w:tcW w:w="3740" w:type="dxa"/>
            <w:vAlign w:val="bottom"/>
            <w:tcBorders>
              <w:bottom w:val="single" w:sz="8" w:color="7B7C80"/>
            </w:tcBorders>
          </w:tcPr>
          <w:p>
            <w:pPr>
              <w:spacing w:after="0" w:line="20" w:lineRule="exact"/>
              <w:rPr>
                <w:sz w:val="1"/>
                <w:szCs w:val="1"/>
                <w:color w:val="auto"/>
              </w:rPr>
            </w:pPr>
          </w:p>
        </w:tc>
        <w:tc>
          <w:tcPr>
            <w:tcW w:w="540" w:type="dxa"/>
            <w:vAlign w:val="bottom"/>
            <w:tcBorders>
              <w:bottom w:val="single" w:sz="8" w:color="7B7C80"/>
            </w:tcBorders>
          </w:tcPr>
          <w:p>
            <w:pPr>
              <w:spacing w:after="0" w:line="20" w:lineRule="exact"/>
              <w:rPr>
                <w:sz w:val="1"/>
                <w:szCs w:val="1"/>
                <w:color w:val="auto"/>
              </w:rPr>
            </w:pPr>
          </w:p>
        </w:tc>
      </w:tr>
      <w:tr>
        <w:trPr>
          <w:trHeight w:val="129"/>
        </w:trPr>
        <w:tc>
          <w:tcPr>
            <w:tcW w:w="432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McCaughan</w:t>
            </w:r>
          </w:p>
        </w:tc>
        <w:tc>
          <w:tcPr>
            <w:tcW w:w="3740" w:type="dxa"/>
            <w:vAlign w:val="bottom"/>
            <w:shd w:val="clear" w:color="auto" w:fill="E7E6E7"/>
          </w:tcPr>
          <w:p>
            <w:pPr>
              <w:jc w:val="center"/>
              <w:ind w:left="3379"/>
              <w:spacing w:after="0" w:line="129" w:lineRule="exact"/>
              <w:rPr>
                <w:sz w:val="20"/>
                <w:szCs w:val="20"/>
                <w:color w:val="auto"/>
              </w:rPr>
            </w:pPr>
            <w:r>
              <w:rPr>
                <w:rFonts w:ascii="Arial" w:cs="Arial" w:eastAsia="Arial" w:hAnsi="Arial"/>
                <w:sz w:val="12"/>
                <w:szCs w:val="12"/>
                <w:color w:val="7B7C80"/>
                <w:w w:val="89"/>
              </w:rPr>
              <w:t>$</w:t>
            </w:r>
          </w:p>
        </w:tc>
        <w:tc>
          <w:tcPr>
            <w:tcW w:w="5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0</w:t>
            </w:r>
          </w:p>
        </w:tc>
      </w:tr>
      <w:tr>
        <w:trPr>
          <w:trHeight w:val="34"/>
        </w:trPr>
        <w:tc>
          <w:tcPr>
            <w:tcW w:w="4320" w:type="dxa"/>
            <w:vAlign w:val="bottom"/>
            <w:tcBorders>
              <w:bottom w:val="single" w:sz="8" w:color="7B7C80"/>
            </w:tcBorders>
          </w:tcPr>
          <w:p>
            <w:pPr>
              <w:spacing w:after="0"/>
              <w:rPr>
                <w:sz w:val="2"/>
                <w:szCs w:val="2"/>
                <w:color w:val="auto"/>
              </w:rPr>
            </w:pPr>
          </w:p>
        </w:tc>
        <w:tc>
          <w:tcPr>
            <w:tcW w:w="374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r>
      <w:tr>
        <w:trPr>
          <w:trHeight w:val="155"/>
        </w:trPr>
        <w:tc>
          <w:tcPr>
            <w:tcW w:w="4320" w:type="dxa"/>
            <w:vAlign w:val="bottom"/>
            <w:tcBorders>
              <w:bottom w:val="single" w:sz="8" w:color="009CCC"/>
            </w:tcBorders>
          </w:tcPr>
          <w:p>
            <w:pPr>
              <w:spacing w:after="0"/>
              <w:rPr>
                <w:sz w:val="20"/>
                <w:szCs w:val="20"/>
                <w:color w:val="auto"/>
              </w:rPr>
            </w:pPr>
            <w:r>
              <w:rPr>
                <w:rFonts w:ascii="Arial" w:cs="Arial" w:eastAsia="Arial" w:hAnsi="Arial"/>
                <w:sz w:val="12"/>
                <w:szCs w:val="12"/>
                <w:color w:val="7B7C80"/>
              </w:rPr>
              <w:t>Valdés</w:t>
            </w:r>
          </w:p>
        </w:tc>
        <w:tc>
          <w:tcPr>
            <w:tcW w:w="3740" w:type="dxa"/>
            <w:vAlign w:val="bottom"/>
            <w:tcBorders>
              <w:bottom w:val="single" w:sz="8" w:color="009CCC"/>
            </w:tcBorders>
          </w:tcPr>
          <w:p>
            <w:pPr>
              <w:jc w:val="center"/>
              <w:ind w:left="3379"/>
              <w:spacing w:after="0"/>
              <w:rPr>
                <w:sz w:val="20"/>
                <w:szCs w:val="20"/>
                <w:color w:val="auto"/>
              </w:rPr>
            </w:pPr>
            <w:r>
              <w:rPr>
                <w:rFonts w:ascii="Arial" w:cs="Arial" w:eastAsia="Arial" w:hAnsi="Arial"/>
                <w:sz w:val="12"/>
                <w:szCs w:val="12"/>
                <w:color w:val="7B7C80"/>
                <w:w w:val="89"/>
              </w:rPr>
              <w:t>$</w:t>
            </w:r>
          </w:p>
        </w:tc>
        <w:tc>
          <w:tcPr>
            <w:tcW w:w="54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51,425</w:t>
            </w:r>
          </w:p>
        </w:tc>
      </w:tr>
    </w:tbl>
    <w:p>
      <w:pPr>
        <w:spacing w:after="0" w:line="187" w:lineRule="exact"/>
        <w:rPr>
          <w:sz w:val="20"/>
          <w:szCs w:val="20"/>
          <w:color w:val="auto"/>
        </w:rPr>
      </w:pPr>
    </w:p>
    <w:p>
      <w:pPr>
        <w:ind w:left="1820" w:hanging="455"/>
        <w:spacing w:after="0" w:line="253" w:lineRule="auto"/>
        <w:tabs>
          <w:tab w:leader="none" w:pos="1820" w:val="left"/>
        </w:tabs>
        <w:numPr>
          <w:ilvl w:val="0"/>
          <w:numId w:val="50"/>
        </w:numPr>
        <w:rPr>
          <w:rFonts w:ascii="Arial" w:cs="Arial" w:eastAsia="Arial" w:hAnsi="Arial"/>
          <w:sz w:val="12"/>
          <w:szCs w:val="12"/>
          <w:color w:val="7B7C80"/>
        </w:rPr>
      </w:pPr>
      <w:r>
        <w:rPr>
          <w:rFonts w:ascii="Arial" w:cs="Arial" w:eastAsia="Arial" w:hAnsi="Arial"/>
          <w:sz w:val="12"/>
          <w:szCs w:val="12"/>
          <w:color w:val="7B7C80"/>
        </w:rPr>
        <w:t>Assumptions underlying the determination of the amount of increase in actuarial value for both the qualified and nonqualified pension plans are disclosed on page 49. Changes in these assumptions and compensation changes will impact this value annually. There are no above market earnings on deferred compensation.</w:t>
      </w:r>
    </w:p>
    <w:p>
      <w:pPr>
        <w:spacing w:after="0" w:line="167" w:lineRule="exact"/>
        <w:rPr>
          <w:rFonts w:ascii="Arial" w:cs="Arial" w:eastAsia="Arial" w:hAnsi="Arial"/>
          <w:sz w:val="12"/>
          <w:szCs w:val="12"/>
          <w:color w:val="7B7C80"/>
        </w:rPr>
      </w:pPr>
    </w:p>
    <w:p>
      <w:pPr>
        <w:jc w:val="both"/>
        <w:ind w:left="1820"/>
        <w:spacing w:after="0" w:line="244" w:lineRule="auto"/>
        <w:rPr>
          <w:rFonts w:ascii="Arial" w:cs="Arial" w:eastAsia="Arial" w:hAnsi="Arial"/>
          <w:sz w:val="12"/>
          <w:szCs w:val="12"/>
          <w:color w:val="7B7C80"/>
        </w:rPr>
      </w:pPr>
      <w:r>
        <w:rPr>
          <w:rFonts w:ascii="Arial" w:cs="Arial" w:eastAsia="Arial" w:hAnsi="Arial"/>
          <w:sz w:val="12"/>
          <w:szCs w:val="12"/>
          <w:color w:val="7B7C80"/>
        </w:rPr>
        <w:t>In past proxy statements, the same actuarial assumptions have been used regardless of whether a Named Executive Officer with a benefit under the traditional pension formula has elected to receive their NQDB plan distribution in the form of an annuity or as a lump sum payment. Because a different discount rate is used for determining lump sum payments, the company has changed the assumptions used to value the NQDB reflected in the Summary Compensation Table to reflect the Named Executive Officer's elected form of distribution. This is a better reflection of the value of the benefit that will ultimately be paid to the Named Executive Officer.</w:t>
      </w:r>
    </w:p>
    <w:p>
      <w:pPr>
        <w:spacing w:after="0" w:line="172" w:lineRule="exact"/>
        <w:rPr>
          <w:rFonts w:ascii="Arial" w:cs="Arial" w:eastAsia="Arial" w:hAnsi="Arial"/>
          <w:sz w:val="12"/>
          <w:szCs w:val="12"/>
          <w:color w:val="7B7C80"/>
        </w:rPr>
      </w:pPr>
    </w:p>
    <w:p>
      <w:pPr>
        <w:ind w:left="1820" w:hanging="455"/>
        <w:spacing w:after="0"/>
        <w:tabs>
          <w:tab w:leader="none" w:pos="1820" w:val="left"/>
        </w:tabs>
        <w:numPr>
          <w:ilvl w:val="0"/>
          <w:numId w:val="50"/>
        </w:numPr>
        <w:rPr>
          <w:rFonts w:ascii="Arial" w:cs="Arial" w:eastAsia="Arial" w:hAnsi="Arial"/>
          <w:sz w:val="12"/>
          <w:szCs w:val="12"/>
          <w:color w:val="7B7C80"/>
        </w:rPr>
      </w:pPr>
      <w:r>
        <w:rPr>
          <w:rFonts w:ascii="Arial" w:cs="Arial" w:eastAsia="Arial" w:hAnsi="Arial"/>
          <w:sz w:val="12"/>
          <w:szCs w:val="12"/>
          <w:color w:val="7B7C80"/>
        </w:rPr>
        <w:t>All Other Compensation for the Named Executive Officers consists of the following:</w:t>
      </w:r>
    </w:p>
    <w:p>
      <w:pPr>
        <w:spacing w:after="0" w:line="159" w:lineRule="exact"/>
        <w:rPr>
          <w:sz w:val="20"/>
          <w:szCs w:val="20"/>
          <w:color w:val="auto"/>
        </w:rPr>
      </w:pPr>
    </w:p>
    <w:tbl>
      <w:tblPr>
        <w:tblLayout w:type="fixed"/>
        <w:tblInd w:w="1700" w:type="dxa"/>
        <w:tblCellMar>
          <w:top w:w="0" w:type="dxa"/>
          <w:left w:w="0" w:type="dxa"/>
          <w:bottom w:w="0" w:type="dxa"/>
          <w:right w:w="0" w:type="dxa"/>
        </w:tblCellMar>
      </w:tblPr>
      <w:tr>
        <w:trPr>
          <w:trHeight w:val="139"/>
        </w:trPr>
        <w:tc>
          <w:tcPr>
            <w:tcW w:w="20" w:type="dxa"/>
            <w:vAlign w:val="bottom"/>
          </w:tcPr>
          <w:p>
            <w:pPr>
              <w:spacing w:after="0"/>
              <w:rPr>
                <w:sz w:val="12"/>
                <w:szCs w:val="12"/>
                <w:color w:val="auto"/>
              </w:rPr>
            </w:pPr>
          </w:p>
        </w:tc>
        <w:tc>
          <w:tcPr>
            <w:tcW w:w="2960" w:type="dxa"/>
            <w:vAlign w:val="bottom"/>
            <w:tcBorders>
              <w:top w:val="single" w:sz="8" w:color="009CCC"/>
            </w:tcBorders>
          </w:tcPr>
          <w:p>
            <w:pPr>
              <w:spacing w:after="0"/>
              <w:rPr>
                <w:sz w:val="12"/>
                <w:szCs w:val="12"/>
                <w:color w:val="auto"/>
              </w:rPr>
            </w:pPr>
          </w:p>
        </w:tc>
        <w:tc>
          <w:tcPr>
            <w:tcW w:w="2800" w:type="dxa"/>
            <w:vAlign w:val="bottom"/>
            <w:tcBorders>
              <w:top w:val="single" w:sz="8" w:color="009CCC"/>
            </w:tcBorders>
          </w:tcPr>
          <w:p>
            <w:pPr>
              <w:spacing w:after="0"/>
              <w:rPr>
                <w:sz w:val="12"/>
                <w:szCs w:val="12"/>
                <w:color w:val="auto"/>
              </w:rPr>
            </w:pPr>
          </w:p>
        </w:tc>
        <w:tc>
          <w:tcPr>
            <w:tcW w:w="460" w:type="dxa"/>
            <w:vAlign w:val="bottom"/>
            <w:tcBorders>
              <w:top w:val="single" w:sz="8" w:color="009CCC"/>
            </w:tcBorders>
          </w:tcPr>
          <w:p>
            <w:pPr>
              <w:spacing w:after="0"/>
              <w:rPr>
                <w:sz w:val="12"/>
                <w:szCs w:val="12"/>
                <w:color w:val="auto"/>
              </w:rPr>
            </w:pPr>
          </w:p>
        </w:tc>
        <w:tc>
          <w:tcPr>
            <w:tcW w:w="980" w:type="dxa"/>
            <w:vAlign w:val="bottom"/>
            <w:tcBorders>
              <w:top w:val="single" w:sz="8" w:color="009CCC"/>
            </w:tcBorders>
            <w:gridSpan w:val="2"/>
          </w:tcPr>
          <w:p>
            <w:pPr>
              <w:jc w:val="right"/>
              <w:ind w:right="19"/>
              <w:spacing w:after="0"/>
              <w:rPr>
                <w:sz w:val="20"/>
                <w:szCs w:val="20"/>
                <w:color w:val="auto"/>
              </w:rPr>
            </w:pPr>
            <w:r>
              <w:rPr>
                <w:rFonts w:ascii="Arial" w:cs="Arial" w:eastAsia="Arial" w:hAnsi="Arial"/>
                <w:sz w:val="12"/>
                <w:szCs w:val="12"/>
                <w:b w:val="1"/>
                <w:bCs w:val="1"/>
                <w:color w:val="009CCC"/>
              </w:rPr>
              <w:t>Principal Life</w:t>
            </w:r>
          </w:p>
        </w:tc>
        <w:tc>
          <w:tcPr>
            <w:tcW w:w="180" w:type="dxa"/>
            <w:vAlign w:val="bottom"/>
            <w:tcBorders>
              <w:top w:val="single" w:sz="8" w:color="009CCC"/>
            </w:tcBorders>
          </w:tcPr>
          <w:p>
            <w:pPr>
              <w:spacing w:after="0"/>
              <w:rPr>
                <w:sz w:val="12"/>
                <w:szCs w:val="12"/>
                <w:color w:val="auto"/>
              </w:rPr>
            </w:pPr>
          </w:p>
        </w:tc>
        <w:tc>
          <w:tcPr>
            <w:tcW w:w="440" w:type="dxa"/>
            <w:vAlign w:val="bottom"/>
            <w:tcBorders>
              <w:top w:val="single" w:sz="8" w:color="009CCC"/>
            </w:tcBorders>
          </w:tcPr>
          <w:p>
            <w:pPr>
              <w:spacing w:after="0"/>
              <w:rPr>
                <w:sz w:val="12"/>
                <w:szCs w:val="12"/>
                <w:color w:val="auto"/>
              </w:rPr>
            </w:pPr>
          </w:p>
        </w:tc>
      </w:tr>
      <w:tr>
        <w:trPr>
          <w:trHeight w:val="137"/>
        </w:trPr>
        <w:tc>
          <w:tcPr>
            <w:tcW w:w="20" w:type="dxa"/>
            <w:vAlign w:val="bottom"/>
          </w:tcPr>
          <w:p>
            <w:pPr>
              <w:spacing w:after="0"/>
              <w:rPr>
                <w:sz w:val="11"/>
                <w:szCs w:val="11"/>
                <w:color w:val="auto"/>
              </w:rPr>
            </w:pPr>
          </w:p>
        </w:tc>
        <w:tc>
          <w:tcPr>
            <w:tcW w:w="2960" w:type="dxa"/>
            <w:vAlign w:val="bottom"/>
          </w:tcPr>
          <w:p>
            <w:pPr>
              <w:spacing w:after="0"/>
              <w:rPr>
                <w:sz w:val="11"/>
                <w:szCs w:val="11"/>
                <w:color w:val="auto"/>
              </w:rPr>
            </w:pPr>
          </w:p>
        </w:tc>
        <w:tc>
          <w:tcPr>
            <w:tcW w:w="28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980" w:type="dxa"/>
            <w:vAlign w:val="bottom"/>
            <w:gridSpan w:val="2"/>
          </w:tcPr>
          <w:p>
            <w:pPr>
              <w:jc w:val="right"/>
              <w:ind w:right="19"/>
              <w:spacing w:after="0"/>
              <w:rPr>
                <w:sz w:val="20"/>
                <w:szCs w:val="20"/>
                <w:color w:val="auto"/>
              </w:rPr>
            </w:pPr>
            <w:r>
              <w:rPr>
                <w:rFonts w:ascii="Arial" w:cs="Arial" w:eastAsia="Arial" w:hAnsi="Arial"/>
                <w:sz w:val="12"/>
                <w:szCs w:val="12"/>
                <w:b w:val="1"/>
                <w:bCs w:val="1"/>
                <w:color w:val="009CCC"/>
              </w:rPr>
              <w:t>Contributions</w:t>
            </w:r>
          </w:p>
        </w:tc>
        <w:tc>
          <w:tcPr>
            <w:tcW w:w="180" w:type="dxa"/>
            <w:vAlign w:val="bottom"/>
          </w:tcPr>
          <w:p>
            <w:pPr>
              <w:spacing w:after="0"/>
              <w:rPr>
                <w:sz w:val="11"/>
                <w:szCs w:val="11"/>
                <w:color w:val="auto"/>
              </w:rPr>
            </w:pPr>
          </w:p>
        </w:tc>
        <w:tc>
          <w:tcPr>
            <w:tcW w:w="440" w:type="dxa"/>
            <w:vAlign w:val="bottom"/>
          </w:tcPr>
          <w:p>
            <w:pPr>
              <w:spacing w:after="0"/>
              <w:rPr>
                <w:sz w:val="11"/>
                <w:szCs w:val="11"/>
                <w:color w:val="auto"/>
              </w:rPr>
            </w:pPr>
          </w:p>
        </w:tc>
      </w:tr>
      <w:tr>
        <w:trPr>
          <w:trHeight w:val="137"/>
        </w:trPr>
        <w:tc>
          <w:tcPr>
            <w:tcW w:w="20" w:type="dxa"/>
            <w:vAlign w:val="bottom"/>
          </w:tcPr>
          <w:p>
            <w:pPr>
              <w:spacing w:after="0"/>
              <w:rPr>
                <w:sz w:val="11"/>
                <w:szCs w:val="11"/>
                <w:color w:val="auto"/>
              </w:rPr>
            </w:pPr>
          </w:p>
        </w:tc>
        <w:tc>
          <w:tcPr>
            <w:tcW w:w="2960" w:type="dxa"/>
            <w:vAlign w:val="bottom"/>
          </w:tcPr>
          <w:p>
            <w:pPr>
              <w:spacing w:after="0"/>
              <w:rPr>
                <w:sz w:val="11"/>
                <w:szCs w:val="11"/>
                <w:color w:val="auto"/>
              </w:rPr>
            </w:pPr>
          </w:p>
        </w:tc>
        <w:tc>
          <w:tcPr>
            <w:tcW w:w="3260" w:type="dxa"/>
            <w:vAlign w:val="bottom"/>
            <w:gridSpan w:val="2"/>
          </w:tcPr>
          <w:p>
            <w:pPr>
              <w:jc w:val="right"/>
              <w:ind w:right="19"/>
              <w:spacing w:after="0"/>
              <w:rPr>
                <w:sz w:val="20"/>
                <w:szCs w:val="20"/>
                <w:color w:val="auto"/>
              </w:rPr>
            </w:pPr>
            <w:r>
              <w:rPr>
                <w:rFonts w:ascii="Arial" w:cs="Arial" w:eastAsia="Arial" w:hAnsi="Arial"/>
                <w:sz w:val="12"/>
                <w:szCs w:val="12"/>
                <w:b w:val="1"/>
                <w:bCs w:val="1"/>
                <w:color w:val="009CCC"/>
              </w:rPr>
              <w:t>Perquisites &amp;</w:t>
            </w:r>
          </w:p>
        </w:tc>
        <w:tc>
          <w:tcPr>
            <w:tcW w:w="980" w:type="dxa"/>
            <w:vAlign w:val="bottom"/>
            <w:gridSpan w:val="2"/>
          </w:tcPr>
          <w:p>
            <w:pPr>
              <w:jc w:val="right"/>
              <w:ind w:right="19"/>
              <w:spacing w:after="0"/>
              <w:rPr>
                <w:sz w:val="20"/>
                <w:szCs w:val="20"/>
                <w:color w:val="auto"/>
              </w:rPr>
            </w:pPr>
            <w:r>
              <w:rPr>
                <w:rFonts w:ascii="Arial" w:cs="Arial" w:eastAsia="Arial" w:hAnsi="Arial"/>
                <w:sz w:val="12"/>
                <w:szCs w:val="12"/>
                <w:b w:val="1"/>
                <w:bCs w:val="1"/>
                <w:color w:val="009CCC"/>
              </w:rPr>
              <w:t>to Defined</w:t>
            </w:r>
          </w:p>
        </w:tc>
        <w:tc>
          <w:tcPr>
            <w:tcW w:w="180" w:type="dxa"/>
            <w:vAlign w:val="bottom"/>
          </w:tcPr>
          <w:p>
            <w:pPr>
              <w:spacing w:after="0"/>
              <w:rPr>
                <w:sz w:val="11"/>
                <w:szCs w:val="11"/>
                <w:color w:val="auto"/>
              </w:rPr>
            </w:pPr>
          </w:p>
        </w:tc>
        <w:tc>
          <w:tcPr>
            <w:tcW w:w="440" w:type="dxa"/>
            <w:vAlign w:val="bottom"/>
          </w:tcPr>
          <w:p>
            <w:pPr>
              <w:spacing w:after="0"/>
              <w:rPr>
                <w:sz w:val="11"/>
                <w:szCs w:val="11"/>
                <w:color w:val="auto"/>
              </w:rPr>
            </w:pPr>
          </w:p>
        </w:tc>
      </w:tr>
      <w:tr>
        <w:trPr>
          <w:trHeight w:val="135"/>
        </w:trPr>
        <w:tc>
          <w:tcPr>
            <w:tcW w:w="20" w:type="dxa"/>
            <w:vAlign w:val="bottom"/>
          </w:tcPr>
          <w:p>
            <w:pPr>
              <w:spacing w:after="0"/>
              <w:rPr>
                <w:sz w:val="11"/>
                <w:szCs w:val="11"/>
                <w:color w:val="auto"/>
              </w:rPr>
            </w:pPr>
          </w:p>
        </w:tc>
        <w:tc>
          <w:tcPr>
            <w:tcW w:w="2960" w:type="dxa"/>
            <w:vAlign w:val="bottom"/>
          </w:tcPr>
          <w:p>
            <w:pPr>
              <w:spacing w:after="0"/>
              <w:rPr>
                <w:sz w:val="11"/>
                <w:szCs w:val="11"/>
                <w:color w:val="auto"/>
              </w:rPr>
            </w:pPr>
          </w:p>
        </w:tc>
        <w:tc>
          <w:tcPr>
            <w:tcW w:w="3260" w:type="dxa"/>
            <w:vAlign w:val="bottom"/>
            <w:gridSpan w:val="2"/>
          </w:tcPr>
          <w:p>
            <w:pPr>
              <w:jc w:val="right"/>
              <w:ind w:right="19"/>
              <w:spacing w:after="0" w:line="135" w:lineRule="exact"/>
              <w:rPr>
                <w:sz w:val="20"/>
                <w:szCs w:val="20"/>
                <w:color w:val="auto"/>
              </w:rPr>
            </w:pPr>
            <w:r>
              <w:rPr>
                <w:rFonts w:ascii="Arial" w:cs="Arial" w:eastAsia="Arial" w:hAnsi="Arial"/>
                <w:sz w:val="12"/>
                <w:szCs w:val="12"/>
                <w:b w:val="1"/>
                <w:bCs w:val="1"/>
                <w:color w:val="009CCC"/>
              </w:rPr>
              <w:t>Other Personal</w:t>
            </w:r>
          </w:p>
        </w:tc>
        <w:tc>
          <w:tcPr>
            <w:tcW w:w="980" w:type="dxa"/>
            <w:vAlign w:val="bottom"/>
            <w:gridSpan w:val="2"/>
          </w:tcPr>
          <w:p>
            <w:pPr>
              <w:jc w:val="right"/>
              <w:ind w:right="19"/>
              <w:spacing w:after="0" w:line="135" w:lineRule="exact"/>
              <w:rPr>
                <w:sz w:val="20"/>
                <w:szCs w:val="20"/>
                <w:color w:val="auto"/>
              </w:rPr>
            </w:pPr>
            <w:r>
              <w:rPr>
                <w:rFonts w:ascii="Arial" w:cs="Arial" w:eastAsia="Arial" w:hAnsi="Arial"/>
                <w:sz w:val="12"/>
                <w:szCs w:val="12"/>
                <w:b w:val="1"/>
                <w:bCs w:val="1"/>
                <w:color w:val="009CCC"/>
              </w:rPr>
              <w:t>Contribution</w:t>
            </w:r>
          </w:p>
        </w:tc>
        <w:tc>
          <w:tcPr>
            <w:tcW w:w="180" w:type="dxa"/>
            <w:vAlign w:val="bottom"/>
          </w:tcPr>
          <w:p>
            <w:pPr>
              <w:spacing w:after="0"/>
              <w:rPr>
                <w:sz w:val="11"/>
                <w:szCs w:val="11"/>
                <w:color w:val="auto"/>
              </w:rPr>
            </w:pPr>
          </w:p>
        </w:tc>
        <w:tc>
          <w:tcPr>
            <w:tcW w:w="440" w:type="dxa"/>
            <w:vAlign w:val="bottom"/>
          </w:tcPr>
          <w:p>
            <w:pPr>
              <w:spacing w:after="0"/>
              <w:rPr>
                <w:sz w:val="11"/>
                <w:szCs w:val="11"/>
                <w:color w:val="auto"/>
              </w:rPr>
            </w:pPr>
          </w:p>
        </w:tc>
      </w:tr>
      <w:tr>
        <w:trPr>
          <w:trHeight w:val="173"/>
        </w:trPr>
        <w:tc>
          <w:tcPr>
            <w:tcW w:w="2980" w:type="dxa"/>
            <w:vAlign w:val="bottom"/>
            <w:tcBorders>
              <w:bottom w:val="single" w:sz="8" w:color="7B7C80"/>
            </w:tcBorders>
            <w:gridSpan w:val="2"/>
          </w:tcPr>
          <w:p>
            <w:pPr>
              <w:spacing w:after="0"/>
              <w:rPr>
                <w:sz w:val="20"/>
                <w:szCs w:val="20"/>
                <w:color w:val="auto"/>
              </w:rPr>
            </w:pPr>
            <w:r>
              <w:rPr>
                <w:rFonts w:ascii="Arial" w:cs="Arial" w:eastAsia="Arial" w:hAnsi="Arial"/>
                <w:sz w:val="12"/>
                <w:szCs w:val="12"/>
                <w:b w:val="1"/>
                <w:bCs w:val="1"/>
                <w:color w:val="009CCC"/>
              </w:rPr>
              <w:t>Name</w:t>
            </w:r>
          </w:p>
        </w:tc>
        <w:tc>
          <w:tcPr>
            <w:tcW w:w="3260" w:type="dxa"/>
            <w:vAlign w:val="bottom"/>
            <w:tcBorders>
              <w:bottom w:val="single" w:sz="8" w:color="7B7C80"/>
            </w:tcBorders>
            <w:gridSpan w:val="2"/>
          </w:tcPr>
          <w:p>
            <w:pPr>
              <w:jc w:val="right"/>
              <w:ind w:right="19"/>
              <w:spacing w:after="0" w:line="173" w:lineRule="exact"/>
              <w:rPr>
                <w:sz w:val="20"/>
                <w:szCs w:val="20"/>
                <w:color w:val="auto"/>
              </w:rPr>
            </w:pPr>
            <w:r>
              <w:rPr>
                <w:rFonts w:ascii="Arial" w:cs="Arial" w:eastAsia="Arial" w:hAnsi="Arial"/>
                <w:sz w:val="12"/>
                <w:szCs w:val="12"/>
                <w:b w:val="1"/>
                <w:bCs w:val="1"/>
                <w:color w:val="009CCC"/>
              </w:rPr>
              <w:t>Benefits</w:t>
            </w:r>
            <w:r>
              <w:rPr>
                <w:rFonts w:ascii="Arial" w:cs="Arial" w:eastAsia="Arial" w:hAnsi="Arial"/>
                <w:sz w:val="18"/>
                <w:szCs w:val="18"/>
                <w:b w:val="1"/>
                <w:bCs w:val="1"/>
                <w:color w:val="009CCC"/>
                <w:vertAlign w:val="superscript"/>
              </w:rPr>
              <w:t>(a)</w:t>
            </w:r>
          </w:p>
        </w:tc>
        <w:tc>
          <w:tcPr>
            <w:tcW w:w="400" w:type="dxa"/>
            <w:vAlign w:val="bottom"/>
            <w:tcBorders>
              <w:bottom w:val="single" w:sz="8" w:color="7B7C80"/>
            </w:tcBorders>
          </w:tcPr>
          <w:p>
            <w:pPr>
              <w:spacing w:after="0"/>
              <w:rPr>
                <w:sz w:val="15"/>
                <w:szCs w:val="15"/>
                <w:color w:val="auto"/>
              </w:rPr>
            </w:pPr>
          </w:p>
        </w:tc>
        <w:tc>
          <w:tcPr>
            <w:tcW w:w="580" w:type="dxa"/>
            <w:vAlign w:val="bottom"/>
            <w:tcBorders>
              <w:bottom w:val="single" w:sz="8" w:color="7B7C80"/>
            </w:tcBorders>
          </w:tcPr>
          <w:p>
            <w:pPr>
              <w:jc w:val="right"/>
              <w:ind w:right="19"/>
              <w:spacing w:after="0" w:line="173" w:lineRule="exact"/>
              <w:rPr>
                <w:sz w:val="20"/>
                <w:szCs w:val="20"/>
                <w:color w:val="auto"/>
              </w:rPr>
            </w:pPr>
            <w:r>
              <w:rPr>
                <w:rFonts w:ascii="Arial" w:cs="Arial" w:eastAsia="Arial" w:hAnsi="Arial"/>
                <w:sz w:val="12"/>
                <w:szCs w:val="12"/>
                <w:b w:val="1"/>
                <w:bCs w:val="1"/>
                <w:color w:val="009CCC"/>
              </w:rPr>
              <w:t>Plans</w:t>
            </w:r>
            <w:r>
              <w:rPr>
                <w:rFonts w:ascii="Arial" w:cs="Arial" w:eastAsia="Arial" w:hAnsi="Arial"/>
                <w:sz w:val="18"/>
                <w:szCs w:val="18"/>
                <w:b w:val="1"/>
                <w:bCs w:val="1"/>
                <w:color w:val="009CCC"/>
                <w:vertAlign w:val="superscript"/>
              </w:rPr>
              <w:t>(b)</w:t>
            </w:r>
          </w:p>
        </w:tc>
        <w:tc>
          <w:tcPr>
            <w:tcW w:w="180" w:type="dxa"/>
            <w:vAlign w:val="bottom"/>
            <w:tcBorders>
              <w:bottom w:val="single" w:sz="8" w:color="7B7C80"/>
            </w:tcBorders>
          </w:tcPr>
          <w:p>
            <w:pPr>
              <w:spacing w:after="0"/>
              <w:rPr>
                <w:sz w:val="15"/>
                <w:szCs w:val="15"/>
                <w:color w:val="auto"/>
              </w:rPr>
            </w:pPr>
          </w:p>
        </w:tc>
        <w:tc>
          <w:tcPr>
            <w:tcW w:w="44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129"/>
        </w:trPr>
        <w:tc>
          <w:tcPr>
            <w:tcW w:w="20" w:type="dxa"/>
            <w:vAlign w:val="bottom"/>
          </w:tcPr>
          <w:p>
            <w:pPr>
              <w:spacing w:after="0"/>
              <w:rPr>
                <w:sz w:val="11"/>
                <w:szCs w:val="11"/>
                <w:color w:val="auto"/>
              </w:rPr>
            </w:pPr>
          </w:p>
        </w:tc>
        <w:tc>
          <w:tcPr>
            <w:tcW w:w="2960" w:type="dxa"/>
            <w:vAlign w:val="bottom"/>
            <w:tcBorders>
              <w:bottom w:val="single" w:sz="8" w:color="7B7C80"/>
            </w:tcBorders>
            <w:shd w:val="clear" w:color="auto" w:fill="E7E6E7"/>
          </w:tcPr>
          <w:p>
            <w:pPr>
              <w:spacing w:after="0" w:line="129" w:lineRule="exact"/>
              <w:rPr>
                <w:sz w:val="20"/>
                <w:szCs w:val="20"/>
                <w:color w:val="auto"/>
              </w:rPr>
            </w:pPr>
            <w:r>
              <w:rPr>
                <w:rFonts w:ascii="Arial" w:cs="Arial" w:eastAsia="Arial" w:hAnsi="Arial"/>
                <w:sz w:val="12"/>
                <w:szCs w:val="12"/>
                <w:color w:val="7B7C80"/>
              </w:rPr>
              <w:t>Houston</w:t>
            </w:r>
          </w:p>
        </w:tc>
        <w:tc>
          <w:tcPr>
            <w:tcW w:w="280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w w:val="97"/>
              </w:rPr>
              <w:t>18,881</w:t>
            </w:r>
          </w:p>
        </w:tc>
        <w:tc>
          <w:tcPr>
            <w:tcW w:w="40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217,486</w:t>
            </w:r>
          </w:p>
        </w:tc>
        <w:tc>
          <w:tcPr>
            <w:tcW w:w="18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w w:val="96"/>
              </w:rPr>
              <w:t>236,367</w:t>
            </w:r>
          </w:p>
        </w:tc>
      </w:tr>
      <w:tr>
        <w:trPr>
          <w:trHeight w:val="129"/>
        </w:trPr>
        <w:tc>
          <w:tcPr>
            <w:tcW w:w="2980" w:type="dxa"/>
            <w:vAlign w:val="bottom"/>
            <w:tcBorders>
              <w:bottom w:val="single" w:sz="8" w:color="7B7C80"/>
            </w:tcBorders>
            <w:gridSpan w:val="2"/>
          </w:tcPr>
          <w:p>
            <w:pPr>
              <w:spacing w:after="0" w:line="129" w:lineRule="exact"/>
              <w:rPr>
                <w:sz w:val="20"/>
                <w:szCs w:val="20"/>
                <w:color w:val="auto"/>
              </w:rPr>
            </w:pPr>
            <w:r>
              <w:rPr>
                <w:rFonts w:ascii="Arial" w:cs="Arial" w:eastAsia="Arial" w:hAnsi="Arial"/>
                <w:sz w:val="12"/>
                <w:szCs w:val="12"/>
                <w:color w:val="7B7C80"/>
              </w:rPr>
              <w:t>Strable</w:t>
            </w:r>
          </w:p>
        </w:tc>
        <w:tc>
          <w:tcPr>
            <w:tcW w:w="280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tcPr>
          <w:p>
            <w:pPr>
              <w:jc w:val="right"/>
              <w:ind w:right="19"/>
              <w:spacing w:after="0" w:line="129" w:lineRule="exact"/>
              <w:rPr>
                <w:sz w:val="20"/>
                <w:szCs w:val="20"/>
                <w:color w:val="auto"/>
              </w:rPr>
            </w:pPr>
            <w:r>
              <w:rPr>
                <w:rFonts w:ascii="Arial" w:cs="Arial" w:eastAsia="Arial" w:hAnsi="Arial"/>
                <w:sz w:val="12"/>
                <w:szCs w:val="12"/>
                <w:color w:val="7B7C80"/>
              </w:rPr>
              <w:t>2,803</w:t>
            </w:r>
          </w:p>
        </w:tc>
        <w:tc>
          <w:tcPr>
            <w:tcW w:w="40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19"/>
              <w:spacing w:after="0" w:line="129" w:lineRule="exact"/>
              <w:rPr>
                <w:sz w:val="20"/>
                <w:szCs w:val="20"/>
                <w:color w:val="auto"/>
              </w:rPr>
            </w:pPr>
            <w:r>
              <w:rPr>
                <w:rFonts w:ascii="Arial" w:cs="Arial" w:eastAsia="Arial" w:hAnsi="Arial"/>
                <w:sz w:val="12"/>
                <w:szCs w:val="12"/>
                <w:color w:val="7B7C80"/>
              </w:rPr>
              <w:t>60,168</w:t>
            </w:r>
          </w:p>
        </w:tc>
        <w:tc>
          <w:tcPr>
            <w:tcW w:w="18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62,971</w:t>
            </w:r>
          </w:p>
        </w:tc>
      </w:tr>
      <w:tr>
        <w:trPr>
          <w:trHeight w:val="129"/>
        </w:trPr>
        <w:tc>
          <w:tcPr>
            <w:tcW w:w="20" w:type="dxa"/>
            <w:vAlign w:val="bottom"/>
          </w:tcPr>
          <w:p>
            <w:pPr>
              <w:spacing w:after="0"/>
              <w:rPr>
                <w:sz w:val="11"/>
                <w:szCs w:val="11"/>
                <w:color w:val="auto"/>
              </w:rPr>
            </w:pPr>
          </w:p>
        </w:tc>
        <w:tc>
          <w:tcPr>
            <w:tcW w:w="2960" w:type="dxa"/>
            <w:vAlign w:val="bottom"/>
            <w:tcBorders>
              <w:bottom w:val="single" w:sz="8" w:color="7B7C80"/>
            </w:tcBorders>
            <w:shd w:val="clear" w:color="auto" w:fill="E7E6E7"/>
          </w:tcPr>
          <w:p>
            <w:pPr>
              <w:spacing w:after="0" w:line="129" w:lineRule="exact"/>
              <w:rPr>
                <w:sz w:val="20"/>
                <w:szCs w:val="20"/>
                <w:color w:val="auto"/>
              </w:rPr>
            </w:pPr>
            <w:r>
              <w:rPr>
                <w:rFonts w:ascii="Arial" w:cs="Arial" w:eastAsia="Arial" w:hAnsi="Arial"/>
                <w:sz w:val="12"/>
                <w:szCs w:val="12"/>
                <w:color w:val="7B7C80"/>
              </w:rPr>
              <w:t>Everett</w:t>
            </w:r>
          </w:p>
        </w:tc>
        <w:tc>
          <w:tcPr>
            <w:tcW w:w="280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3,607</w:t>
            </w:r>
          </w:p>
        </w:tc>
        <w:tc>
          <w:tcPr>
            <w:tcW w:w="40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51,006</w:t>
            </w:r>
          </w:p>
        </w:tc>
        <w:tc>
          <w:tcPr>
            <w:tcW w:w="18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54,613</w:t>
            </w:r>
          </w:p>
        </w:tc>
      </w:tr>
      <w:tr>
        <w:trPr>
          <w:trHeight w:val="129"/>
        </w:trPr>
        <w:tc>
          <w:tcPr>
            <w:tcW w:w="2980" w:type="dxa"/>
            <w:vAlign w:val="bottom"/>
            <w:tcBorders>
              <w:bottom w:val="single" w:sz="8" w:color="7B7C80"/>
            </w:tcBorders>
            <w:gridSpan w:val="2"/>
          </w:tcPr>
          <w:p>
            <w:pPr>
              <w:spacing w:after="0" w:line="129" w:lineRule="exact"/>
              <w:rPr>
                <w:sz w:val="20"/>
                <w:szCs w:val="20"/>
                <w:color w:val="auto"/>
              </w:rPr>
            </w:pPr>
            <w:r>
              <w:rPr>
                <w:rFonts w:ascii="Arial" w:cs="Arial" w:eastAsia="Arial" w:hAnsi="Arial"/>
                <w:sz w:val="12"/>
                <w:szCs w:val="12"/>
                <w:color w:val="7B7C80"/>
              </w:rPr>
              <w:t>Lillis</w:t>
            </w:r>
          </w:p>
        </w:tc>
        <w:tc>
          <w:tcPr>
            <w:tcW w:w="280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tcPr>
          <w:p>
            <w:pPr>
              <w:jc w:val="right"/>
              <w:ind w:right="19"/>
              <w:spacing w:after="0" w:line="129" w:lineRule="exact"/>
              <w:rPr>
                <w:sz w:val="20"/>
                <w:szCs w:val="20"/>
                <w:color w:val="auto"/>
              </w:rPr>
            </w:pPr>
            <w:r>
              <w:rPr>
                <w:rFonts w:ascii="Arial" w:cs="Arial" w:eastAsia="Arial" w:hAnsi="Arial"/>
                <w:sz w:val="12"/>
                <w:szCs w:val="12"/>
                <w:color w:val="7B7C80"/>
              </w:rPr>
              <w:t>0</w:t>
            </w:r>
          </w:p>
        </w:tc>
        <w:tc>
          <w:tcPr>
            <w:tcW w:w="40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19"/>
              <w:spacing w:after="0" w:line="129" w:lineRule="exact"/>
              <w:rPr>
                <w:sz w:val="20"/>
                <w:szCs w:val="20"/>
                <w:color w:val="auto"/>
              </w:rPr>
            </w:pPr>
            <w:r>
              <w:rPr>
                <w:rFonts w:ascii="Arial" w:cs="Arial" w:eastAsia="Arial" w:hAnsi="Arial"/>
                <w:sz w:val="12"/>
                <w:szCs w:val="12"/>
                <w:color w:val="7B7C80"/>
              </w:rPr>
              <w:t>23,478</w:t>
            </w:r>
          </w:p>
        </w:tc>
        <w:tc>
          <w:tcPr>
            <w:tcW w:w="18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23,478</w:t>
            </w:r>
          </w:p>
        </w:tc>
      </w:tr>
      <w:tr>
        <w:trPr>
          <w:trHeight w:val="129"/>
        </w:trPr>
        <w:tc>
          <w:tcPr>
            <w:tcW w:w="20" w:type="dxa"/>
            <w:vAlign w:val="bottom"/>
          </w:tcPr>
          <w:p>
            <w:pPr>
              <w:spacing w:after="0"/>
              <w:rPr>
                <w:sz w:val="11"/>
                <w:szCs w:val="11"/>
                <w:color w:val="auto"/>
              </w:rPr>
            </w:pPr>
          </w:p>
        </w:tc>
        <w:tc>
          <w:tcPr>
            <w:tcW w:w="2960" w:type="dxa"/>
            <w:vAlign w:val="bottom"/>
            <w:tcBorders>
              <w:bottom w:val="single" w:sz="8" w:color="7B7C80"/>
            </w:tcBorders>
            <w:shd w:val="clear" w:color="auto" w:fill="E7E6E7"/>
          </w:tcPr>
          <w:p>
            <w:pPr>
              <w:spacing w:after="0" w:line="129" w:lineRule="exact"/>
              <w:rPr>
                <w:sz w:val="20"/>
                <w:szCs w:val="20"/>
                <w:color w:val="auto"/>
              </w:rPr>
            </w:pPr>
            <w:r>
              <w:rPr>
                <w:rFonts w:ascii="Arial" w:cs="Arial" w:eastAsia="Arial" w:hAnsi="Arial"/>
                <w:sz w:val="12"/>
                <w:szCs w:val="12"/>
                <w:color w:val="7B7C80"/>
              </w:rPr>
              <w:t>McCaughan</w:t>
            </w:r>
          </w:p>
        </w:tc>
        <w:tc>
          <w:tcPr>
            <w:tcW w:w="280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7B7C80"/>
            </w:tcBorders>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182</w:t>
            </w:r>
          </w:p>
        </w:tc>
        <w:tc>
          <w:tcPr>
            <w:tcW w:w="40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13,500</w:t>
            </w:r>
          </w:p>
        </w:tc>
        <w:tc>
          <w:tcPr>
            <w:tcW w:w="18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13,682</w:t>
            </w:r>
          </w:p>
        </w:tc>
      </w:tr>
      <w:tr>
        <w:trPr>
          <w:trHeight w:val="132"/>
        </w:trPr>
        <w:tc>
          <w:tcPr>
            <w:tcW w:w="2980" w:type="dxa"/>
            <w:vAlign w:val="bottom"/>
            <w:tcBorders>
              <w:bottom w:val="single" w:sz="8" w:color="009CCC"/>
            </w:tcBorders>
            <w:gridSpan w:val="2"/>
          </w:tcPr>
          <w:p>
            <w:pPr>
              <w:spacing w:after="0" w:line="129" w:lineRule="exact"/>
              <w:rPr>
                <w:sz w:val="20"/>
                <w:szCs w:val="20"/>
                <w:color w:val="auto"/>
              </w:rPr>
            </w:pPr>
            <w:r>
              <w:rPr>
                <w:rFonts w:ascii="Arial" w:cs="Arial" w:eastAsia="Arial" w:hAnsi="Arial"/>
                <w:sz w:val="12"/>
                <w:szCs w:val="12"/>
                <w:color w:val="7B7C80"/>
              </w:rPr>
              <w:t>Valdés</w:t>
            </w:r>
          </w:p>
        </w:tc>
        <w:tc>
          <w:tcPr>
            <w:tcW w:w="2800" w:type="dxa"/>
            <w:vAlign w:val="bottom"/>
            <w:tcBorders>
              <w:bottom w:val="single" w:sz="8" w:color="009CCC"/>
            </w:tcBorders>
          </w:tcPr>
          <w:p>
            <w:pPr>
              <w:jc w:val="right"/>
              <w:spacing w:after="0" w:line="129" w:lineRule="exact"/>
              <w:rPr>
                <w:sz w:val="20"/>
                <w:szCs w:val="20"/>
                <w:color w:val="auto"/>
              </w:rPr>
            </w:pPr>
            <w:r>
              <w:rPr>
                <w:rFonts w:ascii="Arial" w:cs="Arial" w:eastAsia="Arial" w:hAnsi="Arial"/>
                <w:sz w:val="12"/>
                <w:szCs w:val="12"/>
                <w:color w:val="7B7C80"/>
              </w:rPr>
              <w:t>$</w:t>
            </w:r>
          </w:p>
        </w:tc>
        <w:tc>
          <w:tcPr>
            <w:tcW w:w="460" w:type="dxa"/>
            <w:vAlign w:val="bottom"/>
            <w:tcBorders>
              <w:bottom w:val="single" w:sz="8" w:color="009CCC"/>
            </w:tcBorders>
          </w:tcPr>
          <w:p>
            <w:pPr>
              <w:jc w:val="right"/>
              <w:ind w:right="19"/>
              <w:spacing w:after="0" w:line="129" w:lineRule="exact"/>
              <w:rPr>
                <w:sz w:val="20"/>
                <w:szCs w:val="20"/>
                <w:color w:val="auto"/>
              </w:rPr>
            </w:pPr>
            <w:r>
              <w:rPr>
                <w:rFonts w:ascii="Arial" w:cs="Arial" w:eastAsia="Arial" w:hAnsi="Arial"/>
                <w:sz w:val="12"/>
                <w:szCs w:val="12"/>
                <w:color w:val="7B7C80"/>
                <w:w w:val="97"/>
              </w:rPr>
              <w:t>16,407</w:t>
            </w:r>
          </w:p>
        </w:tc>
        <w:tc>
          <w:tcPr>
            <w:tcW w:w="400" w:type="dxa"/>
            <w:vAlign w:val="bottom"/>
            <w:tcBorders>
              <w:bottom w:val="single" w:sz="8" w:color="009CCC"/>
            </w:tcBorders>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009CCC"/>
            </w:tcBorders>
          </w:tcPr>
          <w:p>
            <w:pPr>
              <w:jc w:val="right"/>
              <w:ind w:right="19"/>
              <w:spacing w:after="0" w:line="129" w:lineRule="exact"/>
              <w:rPr>
                <w:sz w:val="20"/>
                <w:szCs w:val="20"/>
                <w:color w:val="auto"/>
              </w:rPr>
            </w:pPr>
            <w:r>
              <w:rPr>
                <w:rFonts w:ascii="Arial" w:cs="Arial" w:eastAsia="Arial" w:hAnsi="Arial"/>
                <w:sz w:val="12"/>
                <w:szCs w:val="12"/>
                <w:color w:val="7B7C80"/>
              </w:rPr>
              <w:t>60,587</w:t>
            </w:r>
          </w:p>
        </w:tc>
        <w:tc>
          <w:tcPr>
            <w:tcW w:w="180" w:type="dxa"/>
            <w:vAlign w:val="bottom"/>
            <w:tcBorders>
              <w:bottom w:val="single" w:sz="8" w:color="009CCC"/>
            </w:tcBorders>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tcBorders>
              <w:bottom w:val="single" w:sz="8" w:color="009CCC"/>
            </w:tcBorders>
          </w:tcPr>
          <w:p>
            <w:pPr>
              <w:jc w:val="right"/>
              <w:spacing w:after="0" w:line="129" w:lineRule="exact"/>
              <w:rPr>
                <w:sz w:val="20"/>
                <w:szCs w:val="20"/>
                <w:color w:val="auto"/>
              </w:rPr>
            </w:pPr>
            <w:r>
              <w:rPr>
                <w:rFonts w:ascii="Arial" w:cs="Arial" w:eastAsia="Arial" w:hAnsi="Arial"/>
                <w:sz w:val="12"/>
                <w:szCs w:val="12"/>
                <w:color w:val="7B7C80"/>
              </w:rPr>
              <w:t>76,994</w:t>
            </w:r>
          </w:p>
        </w:tc>
      </w:tr>
    </w:tbl>
    <w:p>
      <w:pPr>
        <w:spacing w:after="0" w:line="187" w:lineRule="exact"/>
        <w:rPr>
          <w:sz w:val="20"/>
          <w:szCs w:val="20"/>
          <w:color w:val="auto"/>
        </w:rPr>
      </w:pPr>
    </w:p>
    <w:p>
      <w:pPr>
        <w:ind w:left="2160" w:hanging="452"/>
        <w:spacing w:after="0" w:line="253" w:lineRule="auto"/>
        <w:tabs>
          <w:tab w:leader="none" w:pos="2160" w:val="left"/>
        </w:tabs>
        <w:numPr>
          <w:ilvl w:val="0"/>
          <w:numId w:val="51"/>
        </w:numPr>
        <w:rPr>
          <w:rFonts w:ascii="Arial" w:cs="Arial" w:eastAsia="Arial" w:hAnsi="Arial"/>
          <w:sz w:val="12"/>
          <w:szCs w:val="12"/>
          <w:color w:val="7B7C80"/>
        </w:rPr>
      </w:pPr>
      <w:r>
        <w:rPr>
          <w:rFonts w:ascii="Arial" w:cs="Arial" w:eastAsia="Arial" w:hAnsi="Arial"/>
          <w:sz w:val="12"/>
          <w:szCs w:val="12"/>
          <w:color w:val="7B7C80"/>
        </w:rPr>
        <w:t>Represents the incremental aggregate cost to Principal for all perquisites provided during the year. Amounts include the value of an annual physical examination, business spousal travel, and gifts given to all sales conference attendees.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3195320</wp:posOffset>
            </wp:positionH>
            <wp:positionV relativeFrom="paragraph">
              <wp:posOffset>103505</wp:posOffset>
            </wp:positionV>
            <wp:extent cx="960120" cy="28384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3"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42</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45" w:name="page46"/>
    <w:bookmarkEnd w:id="45"/>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4" w:lineRule="exact"/>
        <w:rPr>
          <w:sz w:val="20"/>
          <w:szCs w:val="20"/>
          <w:color w:val="auto"/>
        </w:rPr>
      </w:pPr>
    </w:p>
    <w:p>
      <w:pPr>
        <w:ind w:left="2160" w:right="20" w:hanging="452"/>
        <w:spacing w:after="0" w:line="253" w:lineRule="auto"/>
        <w:tabs>
          <w:tab w:leader="none" w:pos="2160" w:val="left"/>
        </w:tabs>
        <w:numPr>
          <w:ilvl w:val="0"/>
          <w:numId w:val="52"/>
        </w:numPr>
        <w:rPr>
          <w:rFonts w:ascii="Arial" w:cs="Arial" w:eastAsia="Arial" w:hAnsi="Arial"/>
          <w:sz w:val="12"/>
          <w:szCs w:val="12"/>
          <w:color w:val="7B7C80"/>
        </w:rPr>
      </w:pPr>
      <w:r>
        <w:rPr>
          <w:rFonts w:ascii="Arial" w:cs="Arial" w:eastAsia="Arial" w:hAnsi="Arial"/>
          <w:sz w:val="12"/>
          <w:szCs w:val="12"/>
          <w:color w:val="7B7C80"/>
        </w:rPr>
        <w:t>The amounts shown below are Principal Life's matching contributions to the 401(k) Plan and the Excess Plan. The Excess Plan's matching contributions are also included in Principal Life's contributions in the NonQualified Deferred Compensation table on page 50.</w:t>
      </w:r>
    </w:p>
    <w:p>
      <w:pPr>
        <w:spacing w:after="0" w:line="178" w:lineRule="exact"/>
        <w:rPr>
          <w:sz w:val="20"/>
          <w:szCs w:val="20"/>
          <w:color w:val="auto"/>
        </w:rPr>
      </w:pPr>
    </w:p>
    <w:tbl>
      <w:tblPr>
        <w:tblLayout w:type="fixed"/>
        <w:tblInd w:w="1500" w:type="dxa"/>
        <w:tblCellMar>
          <w:top w:w="0" w:type="dxa"/>
          <w:left w:w="0" w:type="dxa"/>
          <w:bottom w:w="0" w:type="dxa"/>
          <w:right w:w="0" w:type="dxa"/>
        </w:tblCellMar>
      </w:tblPr>
      <w:tr>
        <w:trPr>
          <w:trHeight w:val="139"/>
        </w:trPr>
        <w:tc>
          <w:tcPr>
            <w:tcW w:w="3320" w:type="dxa"/>
            <w:vAlign w:val="bottom"/>
            <w:tcBorders>
              <w:top w:val="single" w:sz="8" w:color="009CCC"/>
            </w:tcBorders>
          </w:tcPr>
          <w:p>
            <w:pPr>
              <w:spacing w:after="0"/>
              <w:rPr>
                <w:sz w:val="12"/>
                <w:szCs w:val="12"/>
                <w:color w:val="auto"/>
              </w:rPr>
            </w:pPr>
          </w:p>
        </w:tc>
        <w:tc>
          <w:tcPr>
            <w:tcW w:w="3220" w:type="dxa"/>
            <w:vAlign w:val="bottom"/>
            <w:tcBorders>
              <w:top w:val="single" w:sz="8" w:color="009CCC"/>
            </w:tcBorders>
            <w:gridSpan w:val="2"/>
          </w:tcPr>
          <w:p>
            <w:pPr>
              <w:jc w:val="right"/>
              <w:ind w:right="39"/>
              <w:spacing w:after="0"/>
              <w:rPr>
                <w:sz w:val="20"/>
                <w:szCs w:val="20"/>
                <w:color w:val="auto"/>
              </w:rPr>
            </w:pPr>
            <w:r>
              <w:rPr>
                <w:rFonts w:ascii="Arial" w:cs="Arial" w:eastAsia="Arial" w:hAnsi="Arial"/>
                <w:sz w:val="12"/>
                <w:szCs w:val="12"/>
                <w:b w:val="1"/>
                <w:bCs w:val="1"/>
                <w:color w:val="009CCC"/>
              </w:rPr>
              <w:t>401(k) Matching</w:t>
            </w:r>
          </w:p>
        </w:tc>
        <w:tc>
          <w:tcPr>
            <w:tcW w:w="1460" w:type="dxa"/>
            <w:vAlign w:val="bottom"/>
            <w:tcBorders>
              <w:top w:val="single" w:sz="8" w:color="009CCC"/>
            </w:tcBorders>
            <w:gridSpan w:val="2"/>
          </w:tcPr>
          <w:p>
            <w:pPr>
              <w:jc w:val="right"/>
              <w:ind w:right="39"/>
              <w:spacing w:after="0"/>
              <w:rPr>
                <w:sz w:val="20"/>
                <w:szCs w:val="20"/>
                <w:color w:val="auto"/>
              </w:rPr>
            </w:pPr>
            <w:r>
              <w:rPr>
                <w:rFonts w:ascii="Arial" w:cs="Arial" w:eastAsia="Arial" w:hAnsi="Arial"/>
                <w:sz w:val="12"/>
                <w:szCs w:val="12"/>
                <w:b w:val="1"/>
                <w:bCs w:val="1"/>
                <w:color w:val="009CCC"/>
              </w:rPr>
              <w:t>Excess Plan Matching</w:t>
            </w:r>
          </w:p>
        </w:tc>
        <w:tc>
          <w:tcPr>
            <w:tcW w:w="160" w:type="dxa"/>
            <w:vAlign w:val="bottom"/>
            <w:tcBorders>
              <w:top w:val="single" w:sz="8" w:color="009CCC"/>
            </w:tcBorders>
          </w:tcPr>
          <w:p>
            <w:pPr>
              <w:spacing w:after="0"/>
              <w:rPr>
                <w:sz w:val="12"/>
                <w:szCs w:val="12"/>
                <w:color w:val="auto"/>
              </w:rPr>
            </w:pPr>
          </w:p>
        </w:tc>
        <w:tc>
          <w:tcPr>
            <w:tcW w:w="440" w:type="dxa"/>
            <w:vAlign w:val="bottom"/>
            <w:tcBorders>
              <w:top w:val="single" w:sz="8" w:color="009CCC"/>
            </w:tcBorders>
          </w:tcPr>
          <w:p>
            <w:pPr>
              <w:spacing w:after="0"/>
              <w:rPr>
                <w:sz w:val="12"/>
                <w:szCs w:val="12"/>
                <w:color w:val="auto"/>
              </w:rPr>
            </w:pPr>
          </w:p>
        </w:tc>
      </w:tr>
      <w:tr>
        <w:trPr>
          <w:trHeight w:val="137"/>
        </w:trPr>
        <w:tc>
          <w:tcPr>
            <w:tcW w:w="3320" w:type="dxa"/>
            <w:vAlign w:val="bottom"/>
          </w:tcPr>
          <w:p>
            <w:pPr>
              <w:spacing w:after="0"/>
              <w:rPr>
                <w:sz w:val="11"/>
                <w:szCs w:val="11"/>
                <w:color w:val="auto"/>
              </w:rPr>
            </w:pPr>
          </w:p>
        </w:tc>
        <w:tc>
          <w:tcPr>
            <w:tcW w:w="3220" w:type="dxa"/>
            <w:vAlign w:val="bottom"/>
            <w:gridSpan w:val="2"/>
          </w:tcPr>
          <w:p>
            <w:pPr>
              <w:jc w:val="right"/>
              <w:ind w:right="39"/>
              <w:spacing w:after="0"/>
              <w:rPr>
                <w:sz w:val="20"/>
                <w:szCs w:val="20"/>
                <w:color w:val="auto"/>
              </w:rPr>
            </w:pPr>
            <w:r>
              <w:rPr>
                <w:rFonts w:ascii="Arial" w:cs="Arial" w:eastAsia="Arial" w:hAnsi="Arial"/>
                <w:sz w:val="12"/>
                <w:szCs w:val="12"/>
                <w:b w:val="1"/>
                <w:bCs w:val="1"/>
                <w:color w:val="009CCC"/>
              </w:rPr>
              <w:t>Contribution Made by</w:t>
            </w:r>
          </w:p>
        </w:tc>
        <w:tc>
          <w:tcPr>
            <w:tcW w:w="1460" w:type="dxa"/>
            <w:vAlign w:val="bottom"/>
            <w:gridSpan w:val="2"/>
          </w:tcPr>
          <w:p>
            <w:pPr>
              <w:jc w:val="right"/>
              <w:ind w:right="39"/>
              <w:spacing w:after="0"/>
              <w:rPr>
                <w:sz w:val="20"/>
                <w:szCs w:val="20"/>
                <w:color w:val="auto"/>
              </w:rPr>
            </w:pPr>
            <w:r>
              <w:rPr>
                <w:rFonts w:ascii="Arial" w:cs="Arial" w:eastAsia="Arial" w:hAnsi="Arial"/>
                <w:sz w:val="12"/>
                <w:szCs w:val="12"/>
                <w:b w:val="1"/>
                <w:bCs w:val="1"/>
                <w:color w:val="009CCC"/>
              </w:rPr>
              <w:t>Contribution Made</w:t>
            </w:r>
          </w:p>
        </w:tc>
        <w:tc>
          <w:tcPr>
            <w:tcW w:w="160" w:type="dxa"/>
            <w:vAlign w:val="bottom"/>
          </w:tcPr>
          <w:p>
            <w:pPr>
              <w:spacing w:after="0"/>
              <w:rPr>
                <w:sz w:val="11"/>
                <w:szCs w:val="11"/>
                <w:color w:val="auto"/>
              </w:rPr>
            </w:pPr>
          </w:p>
        </w:tc>
        <w:tc>
          <w:tcPr>
            <w:tcW w:w="440" w:type="dxa"/>
            <w:vAlign w:val="bottom"/>
          </w:tcPr>
          <w:p>
            <w:pPr>
              <w:spacing w:after="0"/>
              <w:rPr>
                <w:sz w:val="11"/>
                <w:szCs w:val="11"/>
                <w:color w:val="auto"/>
              </w:rPr>
            </w:pPr>
          </w:p>
        </w:tc>
      </w:tr>
      <w:tr>
        <w:trPr>
          <w:trHeight w:val="161"/>
        </w:trPr>
        <w:tc>
          <w:tcPr>
            <w:tcW w:w="3320" w:type="dxa"/>
            <w:vAlign w:val="bottom"/>
          </w:tcPr>
          <w:p>
            <w:pPr>
              <w:spacing w:after="0"/>
              <w:rPr>
                <w:sz w:val="20"/>
                <w:szCs w:val="20"/>
                <w:color w:val="auto"/>
              </w:rPr>
            </w:pPr>
            <w:r>
              <w:rPr>
                <w:rFonts w:ascii="Arial" w:cs="Arial" w:eastAsia="Arial" w:hAnsi="Arial"/>
                <w:sz w:val="12"/>
                <w:szCs w:val="12"/>
                <w:b w:val="1"/>
                <w:bCs w:val="1"/>
                <w:color w:val="009CCC"/>
              </w:rPr>
              <w:t>Named Executive Officer</w:t>
            </w:r>
          </w:p>
        </w:tc>
        <w:tc>
          <w:tcPr>
            <w:tcW w:w="3220" w:type="dxa"/>
            <w:vAlign w:val="bottom"/>
            <w:gridSpan w:val="2"/>
          </w:tcPr>
          <w:p>
            <w:pPr>
              <w:jc w:val="right"/>
              <w:ind w:right="39"/>
              <w:spacing w:after="0"/>
              <w:rPr>
                <w:sz w:val="20"/>
                <w:szCs w:val="20"/>
                <w:color w:val="auto"/>
              </w:rPr>
            </w:pPr>
            <w:r>
              <w:rPr>
                <w:rFonts w:ascii="Arial" w:cs="Arial" w:eastAsia="Arial" w:hAnsi="Arial"/>
                <w:sz w:val="12"/>
                <w:szCs w:val="12"/>
                <w:b w:val="1"/>
                <w:bCs w:val="1"/>
                <w:color w:val="009CCC"/>
              </w:rPr>
              <w:t>Principal Life</w:t>
            </w:r>
          </w:p>
        </w:tc>
        <w:tc>
          <w:tcPr>
            <w:tcW w:w="1460" w:type="dxa"/>
            <w:vAlign w:val="bottom"/>
            <w:gridSpan w:val="2"/>
          </w:tcPr>
          <w:p>
            <w:pPr>
              <w:jc w:val="right"/>
              <w:ind w:right="39"/>
              <w:spacing w:after="0"/>
              <w:rPr>
                <w:sz w:val="20"/>
                <w:szCs w:val="20"/>
                <w:color w:val="auto"/>
              </w:rPr>
            </w:pPr>
            <w:r>
              <w:rPr>
                <w:rFonts w:ascii="Arial" w:cs="Arial" w:eastAsia="Arial" w:hAnsi="Arial"/>
                <w:sz w:val="12"/>
                <w:szCs w:val="12"/>
                <w:b w:val="1"/>
                <w:bCs w:val="1"/>
                <w:color w:val="009CCC"/>
              </w:rPr>
              <w:t>by Principal Life</w:t>
            </w:r>
          </w:p>
        </w:tc>
        <w:tc>
          <w:tcPr>
            <w:tcW w:w="160" w:type="dxa"/>
            <w:vAlign w:val="bottom"/>
          </w:tcPr>
          <w:p>
            <w:pPr>
              <w:spacing w:after="0"/>
              <w:rPr>
                <w:sz w:val="13"/>
                <w:szCs w:val="13"/>
                <w:color w:val="auto"/>
              </w:rPr>
            </w:pPr>
          </w:p>
        </w:tc>
        <w:tc>
          <w:tcPr>
            <w:tcW w:w="440" w:type="dxa"/>
            <w:vAlign w:val="bottom"/>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21"/>
        </w:trPr>
        <w:tc>
          <w:tcPr>
            <w:tcW w:w="3320" w:type="dxa"/>
            <w:vAlign w:val="bottom"/>
            <w:tcBorders>
              <w:bottom w:val="single" w:sz="8" w:color="7B7C80"/>
            </w:tcBorders>
          </w:tcPr>
          <w:p>
            <w:pPr>
              <w:spacing w:after="0" w:line="20" w:lineRule="exact"/>
              <w:rPr>
                <w:sz w:val="1"/>
                <w:szCs w:val="1"/>
                <w:color w:val="auto"/>
              </w:rPr>
            </w:pPr>
          </w:p>
        </w:tc>
        <w:tc>
          <w:tcPr>
            <w:tcW w:w="266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820" w:type="dxa"/>
            <w:vAlign w:val="bottom"/>
            <w:tcBorders>
              <w:bottom w:val="single" w:sz="8" w:color="7B7C80"/>
            </w:tcBorders>
          </w:tcPr>
          <w:p>
            <w:pPr>
              <w:spacing w:after="0" w:line="20" w:lineRule="exact"/>
              <w:rPr>
                <w:sz w:val="1"/>
                <w:szCs w:val="1"/>
                <w:color w:val="auto"/>
              </w:rPr>
            </w:pPr>
          </w:p>
        </w:tc>
        <w:tc>
          <w:tcPr>
            <w:tcW w:w="640" w:type="dxa"/>
            <w:vAlign w:val="bottom"/>
            <w:tcBorders>
              <w:bottom w:val="single" w:sz="8" w:color="7B7C80"/>
            </w:tcBorders>
          </w:tcPr>
          <w:p>
            <w:pPr>
              <w:spacing w:after="0" w:line="20" w:lineRule="exact"/>
              <w:rPr>
                <w:sz w:val="1"/>
                <w:szCs w:val="1"/>
                <w:color w:val="auto"/>
              </w:rPr>
            </w:pPr>
          </w:p>
        </w:tc>
        <w:tc>
          <w:tcPr>
            <w:tcW w:w="160" w:type="dxa"/>
            <w:vAlign w:val="bottom"/>
            <w:tcBorders>
              <w:bottom w:val="single" w:sz="8" w:color="7B7C80"/>
            </w:tcBorders>
          </w:tcPr>
          <w:p>
            <w:pPr>
              <w:spacing w:after="0" w:line="20" w:lineRule="exact"/>
              <w:rPr>
                <w:sz w:val="1"/>
                <w:szCs w:val="1"/>
                <w:color w:val="auto"/>
              </w:rPr>
            </w:pPr>
          </w:p>
        </w:tc>
        <w:tc>
          <w:tcPr>
            <w:tcW w:w="440" w:type="dxa"/>
            <w:vAlign w:val="bottom"/>
            <w:tcBorders>
              <w:bottom w:val="single" w:sz="8" w:color="7B7C80"/>
            </w:tcBorders>
          </w:tcPr>
          <w:p>
            <w:pPr>
              <w:spacing w:after="0" w:line="20" w:lineRule="exact"/>
              <w:rPr>
                <w:sz w:val="1"/>
                <w:szCs w:val="1"/>
                <w:color w:val="auto"/>
              </w:rPr>
            </w:pPr>
          </w:p>
        </w:tc>
      </w:tr>
      <w:tr>
        <w:trPr>
          <w:trHeight w:val="129"/>
        </w:trPr>
        <w:tc>
          <w:tcPr>
            <w:tcW w:w="332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Houston</w:t>
            </w:r>
          </w:p>
        </w:tc>
        <w:tc>
          <w:tcPr>
            <w:tcW w:w="266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13,500</w:t>
            </w:r>
          </w:p>
        </w:tc>
        <w:tc>
          <w:tcPr>
            <w:tcW w:w="82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203,986</w:t>
            </w:r>
          </w:p>
        </w:tc>
        <w:tc>
          <w:tcPr>
            <w:tcW w:w="1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w w:val="96"/>
              </w:rPr>
              <w:t>217,486</w:t>
            </w:r>
          </w:p>
        </w:tc>
      </w:tr>
      <w:tr>
        <w:trPr>
          <w:trHeight w:val="34"/>
        </w:trPr>
        <w:tc>
          <w:tcPr>
            <w:tcW w:w="3320" w:type="dxa"/>
            <w:vAlign w:val="bottom"/>
            <w:tcBorders>
              <w:bottom w:val="single" w:sz="8" w:color="7B7C80"/>
            </w:tcBorders>
          </w:tcPr>
          <w:p>
            <w:pPr>
              <w:spacing w:after="0"/>
              <w:rPr>
                <w:sz w:val="2"/>
                <w:szCs w:val="2"/>
                <w:color w:val="auto"/>
              </w:rPr>
            </w:pPr>
          </w:p>
        </w:tc>
        <w:tc>
          <w:tcPr>
            <w:tcW w:w="266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820" w:type="dxa"/>
            <w:vAlign w:val="bottom"/>
            <w:tcBorders>
              <w:bottom w:val="single" w:sz="8" w:color="7B7C80"/>
            </w:tcBorders>
          </w:tcPr>
          <w:p>
            <w:pPr>
              <w:spacing w:after="0"/>
              <w:rPr>
                <w:sz w:val="2"/>
                <w:szCs w:val="2"/>
                <w:color w:val="auto"/>
              </w:rPr>
            </w:pPr>
          </w:p>
        </w:tc>
        <w:tc>
          <w:tcPr>
            <w:tcW w:w="640" w:type="dxa"/>
            <w:vAlign w:val="bottom"/>
            <w:tcBorders>
              <w:bottom w:val="single" w:sz="8" w:color="7B7C80"/>
            </w:tcBorders>
          </w:tcPr>
          <w:p>
            <w:pPr>
              <w:spacing w:after="0"/>
              <w:rPr>
                <w:sz w:val="2"/>
                <w:szCs w:val="2"/>
                <w:color w:val="auto"/>
              </w:rPr>
            </w:pPr>
          </w:p>
        </w:tc>
        <w:tc>
          <w:tcPr>
            <w:tcW w:w="16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r>
      <w:tr>
        <w:trPr>
          <w:trHeight w:val="142"/>
        </w:trPr>
        <w:tc>
          <w:tcPr>
            <w:tcW w:w="3320" w:type="dxa"/>
            <w:vAlign w:val="bottom"/>
          </w:tcPr>
          <w:p>
            <w:pPr>
              <w:spacing w:after="0"/>
              <w:rPr>
                <w:sz w:val="20"/>
                <w:szCs w:val="20"/>
                <w:color w:val="auto"/>
              </w:rPr>
            </w:pPr>
            <w:r>
              <w:rPr>
                <w:rFonts w:ascii="Arial" w:cs="Arial" w:eastAsia="Arial" w:hAnsi="Arial"/>
                <w:sz w:val="12"/>
                <w:szCs w:val="12"/>
                <w:color w:val="7B7C80"/>
              </w:rPr>
              <w:t>Strable</w:t>
            </w:r>
          </w:p>
        </w:tc>
        <w:tc>
          <w:tcPr>
            <w:tcW w:w="2660" w:type="dxa"/>
            <w:vAlign w:val="bottom"/>
          </w:tcPr>
          <w:p>
            <w:pPr>
              <w:jc w:val="right"/>
              <w:ind w:right="19"/>
              <w:spacing w:after="0"/>
              <w:rPr>
                <w:sz w:val="20"/>
                <w:szCs w:val="20"/>
                <w:color w:val="auto"/>
              </w:rPr>
            </w:pPr>
            <w:r>
              <w:rPr>
                <w:rFonts w:ascii="Arial" w:cs="Arial" w:eastAsia="Arial" w:hAnsi="Arial"/>
                <w:sz w:val="12"/>
                <w:szCs w:val="12"/>
                <w:color w:val="7B7C80"/>
              </w:rPr>
              <w:t>$</w:t>
            </w:r>
          </w:p>
        </w:tc>
        <w:tc>
          <w:tcPr>
            <w:tcW w:w="560" w:type="dxa"/>
            <w:vAlign w:val="bottom"/>
          </w:tcPr>
          <w:p>
            <w:pPr>
              <w:jc w:val="right"/>
              <w:ind w:right="39"/>
              <w:spacing w:after="0"/>
              <w:rPr>
                <w:sz w:val="20"/>
                <w:szCs w:val="20"/>
                <w:color w:val="auto"/>
              </w:rPr>
            </w:pPr>
            <w:r>
              <w:rPr>
                <w:rFonts w:ascii="Arial" w:cs="Arial" w:eastAsia="Arial" w:hAnsi="Arial"/>
                <w:sz w:val="12"/>
                <w:szCs w:val="12"/>
                <w:color w:val="7B7C80"/>
              </w:rPr>
              <w:t>13,500</w:t>
            </w:r>
          </w:p>
        </w:tc>
        <w:tc>
          <w:tcPr>
            <w:tcW w:w="820" w:type="dxa"/>
            <w:vAlign w:val="bottom"/>
          </w:tcPr>
          <w:p>
            <w:pPr>
              <w:jc w:val="right"/>
              <w:ind w:right="39"/>
              <w:spacing w:after="0"/>
              <w:rPr>
                <w:sz w:val="20"/>
                <w:szCs w:val="20"/>
                <w:color w:val="auto"/>
              </w:rPr>
            </w:pPr>
            <w:r>
              <w:rPr>
                <w:rFonts w:ascii="Arial" w:cs="Arial" w:eastAsia="Arial" w:hAnsi="Arial"/>
                <w:sz w:val="12"/>
                <w:szCs w:val="12"/>
                <w:color w:val="7B7C80"/>
              </w:rPr>
              <w:t>$</w:t>
            </w:r>
          </w:p>
        </w:tc>
        <w:tc>
          <w:tcPr>
            <w:tcW w:w="640" w:type="dxa"/>
            <w:vAlign w:val="bottom"/>
          </w:tcPr>
          <w:p>
            <w:pPr>
              <w:jc w:val="right"/>
              <w:ind w:right="39"/>
              <w:spacing w:after="0"/>
              <w:rPr>
                <w:sz w:val="20"/>
                <w:szCs w:val="20"/>
                <w:color w:val="auto"/>
              </w:rPr>
            </w:pPr>
            <w:r>
              <w:rPr>
                <w:rFonts w:ascii="Arial" w:cs="Arial" w:eastAsia="Arial" w:hAnsi="Arial"/>
                <w:sz w:val="12"/>
                <w:szCs w:val="12"/>
                <w:color w:val="7B7C80"/>
              </w:rPr>
              <w:t>46,668</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440" w:type="dxa"/>
            <w:vAlign w:val="bottom"/>
          </w:tcPr>
          <w:p>
            <w:pPr>
              <w:jc w:val="right"/>
              <w:spacing w:after="0"/>
              <w:rPr>
                <w:sz w:val="20"/>
                <w:szCs w:val="20"/>
                <w:color w:val="auto"/>
              </w:rPr>
            </w:pPr>
            <w:r>
              <w:rPr>
                <w:rFonts w:ascii="Arial" w:cs="Arial" w:eastAsia="Arial" w:hAnsi="Arial"/>
                <w:sz w:val="12"/>
                <w:szCs w:val="12"/>
                <w:color w:val="7B7C80"/>
              </w:rPr>
              <w:t>60,168</w:t>
            </w:r>
          </w:p>
        </w:tc>
      </w:tr>
      <w:tr>
        <w:trPr>
          <w:trHeight w:val="21"/>
        </w:trPr>
        <w:tc>
          <w:tcPr>
            <w:tcW w:w="3320" w:type="dxa"/>
            <w:vAlign w:val="bottom"/>
            <w:tcBorders>
              <w:bottom w:val="single" w:sz="8" w:color="7B7C80"/>
            </w:tcBorders>
          </w:tcPr>
          <w:p>
            <w:pPr>
              <w:spacing w:after="0" w:line="20" w:lineRule="exact"/>
              <w:rPr>
                <w:sz w:val="1"/>
                <w:szCs w:val="1"/>
                <w:color w:val="auto"/>
              </w:rPr>
            </w:pPr>
          </w:p>
        </w:tc>
        <w:tc>
          <w:tcPr>
            <w:tcW w:w="266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820" w:type="dxa"/>
            <w:vAlign w:val="bottom"/>
            <w:tcBorders>
              <w:bottom w:val="single" w:sz="8" w:color="7B7C80"/>
            </w:tcBorders>
          </w:tcPr>
          <w:p>
            <w:pPr>
              <w:spacing w:after="0" w:line="20" w:lineRule="exact"/>
              <w:rPr>
                <w:sz w:val="1"/>
                <w:szCs w:val="1"/>
                <w:color w:val="auto"/>
              </w:rPr>
            </w:pPr>
          </w:p>
        </w:tc>
        <w:tc>
          <w:tcPr>
            <w:tcW w:w="640" w:type="dxa"/>
            <w:vAlign w:val="bottom"/>
            <w:tcBorders>
              <w:bottom w:val="single" w:sz="8" w:color="7B7C80"/>
            </w:tcBorders>
          </w:tcPr>
          <w:p>
            <w:pPr>
              <w:spacing w:after="0" w:line="20" w:lineRule="exact"/>
              <w:rPr>
                <w:sz w:val="1"/>
                <w:szCs w:val="1"/>
                <w:color w:val="auto"/>
              </w:rPr>
            </w:pPr>
          </w:p>
        </w:tc>
        <w:tc>
          <w:tcPr>
            <w:tcW w:w="160" w:type="dxa"/>
            <w:vAlign w:val="bottom"/>
            <w:tcBorders>
              <w:bottom w:val="single" w:sz="8" w:color="7B7C80"/>
            </w:tcBorders>
          </w:tcPr>
          <w:p>
            <w:pPr>
              <w:spacing w:after="0" w:line="20" w:lineRule="exact"/>
              <w:rPr>
                <w:sz w:val="1"/>
                <w:szCs w:val="1"/>
                <w:color w:val="auto"/>
              </w:rPr>
            </w:pPr>
          </w:p>
        </w:tc>
        <w:tc>
          <w:tcPr>
            <w:tcW w:w="440" w:type="dxa"/>
            <w:vAlign w:val="bottom"/>
            <w:tcBorders>
              <w:bottom w:val="single" w:sz="8" w:color="7B7C80"/>
            </w:tcBorders>
          </w:tcPr>
          <w:p>
            <w:pPr>
              <w:spacing w:after="0" w:line="20" w:lineRule="exact"/>
              <w:rPr>
                <w:sz w:val="1"/>
                <w:szCs w:val="1"/>
                <w:color w:val="auto"/>
              </w:rPr>
            </w:pPr>
          </w:p>
        </w:tc>
      </w:tr>
      <w:tr>
        <w:trPr>
          <w:trHeight w:val="129"/>
        </w:trPr>
        <w:tc>
          <w:tcPr>
            <w:tcW w:w="332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Everett</w:t>
            </w:r>
          </w:p>
        </w:tc>
        <w:tc>
          <w:tcPr>
            <w:tcW w:w="266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13,500</w:t>
            </w:r>
          </w:p>
        </w:tc>
        <w:tc>
          <w:tcPr>
            <w:tcW w:w="82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37,506</w:t>
            </w:r>
          </w:p>
        </w:tc>
        <w:tc>
          <w:tcPr>
            <w:tcW w:w="1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51,006</w:t>
            </w:r>
          </w:p>
        </w:tc>
      </w:tr>
      <w:tr>
        <w:trPr>
          <w:trHeight w:val="34"/>
        </w:trPr>
        <w:tc>
          <w:tcPr>
            <w:tcW w:w="3320" w:type="dxa"/>
            <w:vAlign w:val="bottom"/>
            <w:tcBorders>
              <w:bottom w:val="single" w:sz="8" w:color="7B7C80"/>
            </w:tcBorders>
          </w:tcPr>
          <w:p>
            <w:pPr>
              <w:spacing w:after="0"/>
              <w:rPr>
                <w:sz w:val="2"/>
                <w:szCs w:val="2"/>
                <w:color w:val="auto"/>
              </w:rPr>
            </w:pPr>
          </w:p>
        </w:tc>
        <w:tc>
          <w:tcPr>
            <w:tcW w:w="266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820" w:type="dxa"/>
            <w:vAlign w:val="bottom"/>
            <w:tcBorders>
              <w:bottom w:val="single" w:sz="8" w:color="7B7C80"/>
            </w:tcBorders>
          </w:tcPr>
          <w:p>
            <w:pPr>
              <w:spacing w:after="0"/>
              <w:rPr>
                <w:sz w:val="2"/>
                <w:szCs w:val="2"/>
                <w:color w:val="auto"/>
              </w:rPr>
            </w:pPr>
          </w:p>
        </w:tc>
        <w:tc>
          <w:tcPr>
            <w:tcW w:w="640" w:type="dxa"/>
            <w:vAlign w:val="bottom"/>
            <w:tcBorders>
              <w:bottom w:val="single" w:sz="8" w:color="7B7C80"/>
            </w:tcBorders>
          </w:tcPr>
          <w:p>
            <w:pPr>
              <w:spacing w:after="0"/>
              <w:rPr>
                <w:sz w:val="2"/>
                <w:szCs w:val="2"/>
                <w:color w:val="auto"/>
              </w:rPr>
            </w:pPr>
          </w:p>
        </w:tc>
        <w:tc>
          <w:tcPr>
            <w:tcW w:w="16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r>
      <w:tr>
        <w:trPr>
          <w:trHeight w:val="142"/>
        </w:trPr>
        <w:tc>
          <w:tcPr>
            <w:tcW w:w="3320" w:type="dxa"/>
            <w:vAlign w:val="bottom"/>
          </w:tcPr>
          <w:p>
            <w:pPr>
              <w:spacing w:after="0"/>
              <w:rPr>
                <w:sz w:val="20"/>
                <w:szCs w:val="20"/>
                <w:color w:val="auto"/>
              </w:rPr>
            </w:pPr>
            <w:r>
              <w:rPr>
                <w:rFonts w:ascii="Arial" w:cs="Arial" w:eastAsia="Arial" w:hAnsi="Arial"/>
                <w:sz w:val="12"/>
                <w:szCs w:val="12"/>
                <w:color w:val="7B7C80"/>
              </w:rPr>
              <w:t>Lillis</w:t>
            </w:r>
          </w:p>
        </w:tc>
        <w:tc>
          <w:tcPr>
            <w:tcW w:w="2660" w:type="dxa"/>
            <w:vAlign w:val="bottom"/>
          </w:tcPr>
          <w:p>
            <w:pPr>
              <w:jc w:val="right"/>
              <w:ind w:right="19"/>
              <w:spacing w:after="0"/>
              <w:rPr>
                <w:sz w:val="20"/>
                <w:szCs w:val="20"/>
                <w:color w:val="auto"/>
              </w:rPr>
            </w:pPr>
            <w:r>
              <w:rPr>
                <w:rFonts w:ascii="Arial" w:cs="Arial" w:eastAsia="Arial" w:hAnsi="Arial"/>
                <w:sz w:val="12"/>
                <w:szCs w:val="12"/>
                <w:color w:val="7B7C80"/>
              </w:rPr>
              <w:t>$</w:t>
            </w:r>
          </w:p>
        </w:tc>
        <w:tc>
          <w:tcPr>
            <w:tcW w:w="560" w:type="dxa"/>
            <w:vAlign w:val="bottom"/>
          </w:tcPr>
          <w:p>
            <w:pPr>
              <w:jc w:val="right"/>
              <w:ind w:right="39"/>
              <w:spacing w:after="0"/>
              <w:rPr>
                <w:sz w:val="20"/>
                <w:szCs w:val="20"/>
                <w:color w:val="auto"/>
              </w:rPr>
            </w:pPr>
            <w:r>
              <w:rPr>
                <w:rFonts w:ascii="Arial" w:cs="Arial" w:eastAsia="Arial" w:hAnsi="Arial"/>
                <w:sz w:val="12"/>
                <w:szCs w:val="12"/>
                <w:color w:val="7B7C80"/>
              </w:rPr>
              <w:t>6,817</w:t>
            </w:r>
          </w:p>
        </w:tc>
        <w:tc>
          <w:tcPr>
            <w:tcW w:w="820" w:type="dxa"/>
            <w:vAlign w:val="bottom"/>
          </w:tcPr>
          <w:p>
            <w:pPr>
              <w:jc w:val="right"/>
              <w:ind w:right="39"/>
              <w:spacing w:after="0"/>
              <w:rPr>
                <w:sz w:val="20"/>
                <w:szCs w:val="20"/>
                <w:color w:val="auto"/>
              </w:rPr>
            </w:pPr>
            <w:r>
              <w:rPr>
                <w:rFonts w:ascii="Arial" w:cs="Arial" w:eastAsia="Arial" w:hAnsi="Arial"/>
                <w:sz w:val="12"/>
                <w:szCs w:val="12"/>
                <w:color w:val="7B7C80"/>
              </w:rPr>
              <w:t>$</w:t>
            </w:r>
          </w:p>
        </w:tc>
        <w:tc>
          <w:tcPr>
            <w:tcW w:w="640" w:type="dxa"/>
            <w:vAlign w:val="bottom"/>
          </w:tcPr>
          <w:p>
            <w:pPr>
              <w:jc w:val="right"/>
              <w:ind w:right="39"/>
              <w:spacing w:after="0"/>
              <w:rPr>
                <w:sz w:val="20"/>
                <w:szCs w:val="20"/>
                <w:color w:val="auto"/>
              </w:rPr>
            </w:pPr>
            <w:r>
              <w:rPr>
                <w:rFonts w:ascii="Arial" w:cs="Arial" w:eastAsia="Arial" w:hAnsi="Arial"/>
                <w:sz w:val="12"/>
                <w:szCs w:val="12"/>
                <w:color w:val="7B7C80"/>
              </w:rPr>
              <w:t>16,661</w:t>
            </w:r>
          </w:p>
        </w:tc>
        <w:tc>
          <w:tcPr>
            <w:tcW w:w="160" w:type="dxa"/>
            <w:vAlign w:val="bottom"/>
          </w:tcPr>
          <w:p>
            <w:pPr>
              <w:jc w:val="right"/>
              <w:spacing w:after="0"/>
              <w:rPr>
                <w:sz w:val="20"/>
                <w:szCs w:val="20"/>
                <w:color w:val="auto"/>
              </w:rPr>
            </w:pPr>
            <w:r>
              <w:rPr>
                <w:rFonts w:ascii="Arial" w:cs="Arial" w:eastAsia="Arial" w:hAnsi="Arial"/>
                <w:sz w:val="12"/>
                <w:szCs w:val="12"/>
                <w:color w:val="7B7C80"/>
              </w:rPr>
              <w:t>$</w:t>
            </w:r>
          </w:p>
        </w:tc>
        <w:tc>
          <w:tcPr>
            <w:tcW w:w="440" w:type="dxa"/>
            <w:vAlign w:val="bottom"/>
          </w:tcPr>
          <w:p>
            <w:pPr>
              <w:jc w:val="right"/>
              <w:spacing w:after="0"/>
              <w:rPr>
                <w:sz w:val="20"/>
                <w:szCs w:val="20"/>
                <w:color w:val="auto"/>
              </w:rPr>
            </w:pPr>
            <w:r>
              <w:rPr>
                <w:rFonts w:ascii="Arial" w:cs="Arial" w:eastAsia="Arial" w:hAnsi="Arial"/>
                <w:sz w:val="12"/>
                <w:szCs w:val="12"/>
                <w:color w:val="7B7C80"/>
              </w:rPr>
              <w:t>23,478</w:t>
            </w:r>
          </w:p>
        </w:tc>
      </w:tr>
      <w:tr>
        <w:trPr>
          <w:trHeight w:val="21"/>
        </w:trPr>
        <w:tc>
          <w:tcPr>
            <w:tcW w:w="3320" w:type="dxa"/>
            <w:vAlign w:val="bottom"/>
            <w:tcBorders>
              <w:bottom w:val="single" w:sz="8" w:color="7B7C80"/>
            </w:tcBorders>
          </w:tcPr>
          <w:p>
            <w:pPr>
              <w:spacing w:after="0" w:line="20" w:lineRule="exact"/>
              <w:rPr>
                <w:sz w:val="1"/>
                <w:szCs w:val="1"/>
                <w:color w:val="auto"/>
              </w:rPr>
            </w:pPr>
          </w:p>
        </w:tc>
        <w:tc>
          <w:tcPr>
            <w:tcW w:w="2660" w:type="dxa"/>
            <w:vAlign w:val="bottom"/>
            <w:tcBorders>
              <w:bottom w:val="single" w:sz="8" w:color="7B7C80"/>
            </w:tcBorders>
          </w:tcPr>
          <w:p>
            <w:pPr>
              <w:spacing w:after="0" w:line="20" w:lineRule="exact"/>
              <w:rPr>
                <w:sz w:val="1"/>
                <w:szCs w:val="1"/>
                <w:color w:val="auto"/>
              </w:rPr>
            </w:pPr>
          </w:p>
        </w:tc>
        <w:tc>
          <w:tcPr>
            <w:tcW w:w="560" w:type="dxa"/>
            <w:vAlign w:val="bottom"/>
            <w:tcBorders>
              <w:bottom w:val="single" w:sz="8" w:color="7B7C80"/>
            </w:tcBorders>
          </w:tcPr>
          <w:p>
            <w:pPr>
              <w:spacing w:after="0" w:line="20" w:lineRule="exact"/>
              <w:rPr>
                <w:sz w:val="1"/>
                <w:szCs w:val="1"/>
                <w:color w:val="auto"/>
              </w:rPr>
            </w:pPr>
          </w:p>
        </w:tc>
        <w:tc>
          <w:tcPr>
            <w:tcW w:w="820" w:type="dxa"/>
            <w:vAlign w:val="bottom"/>
            <w:tcBorders>
              <w:bottom w:val="single" w:sz="8" w:color="7B7C80"/>
            </w:tcBorders>
          </w:tcPr>
          <w:p>
            <w:pPr>
              <w:spacing w:after="0" w:line="20" w:lineRule="exact"/>
              <w:rPr>
                <w:sz w:val="1"/>
                <w:szCs w:val="1"/>
                <w:color w:val="auto"/>
              </w:rPr>
            </w:pPr>
          </w:p>
        </w:tc>
        <w:tc>
          <w:tcPr>
            <w:tcW w:w="640" w:type="dxa"/>
            <w:vAlign w:val="bottom"/>
            <w:tcBorders>
              <w:bottom w:val="single" w:sz="8" w:color="7B7C80"/>
            </w:tcBorders>
          </w:tcPr>
          <w:p>
            <w:pPr>
              <w:spacing w:after="0" w:line="20" w:lineRule="exact"/>
              <w:rPr>
                <w:sz w:val="1"/>
                <w:szCs w:val="1"/>
                <w:color w:val="auto"/>
              </w:rPr>
            </w:pPr>
          </w:p>
        </w:tc>
        <w:tc>
          <w:tcPr>
            <w:tcW w:w="160" w:type="dxa"/>
            <w:vAlign w:val="bottom"/>
            <w:tcBorders>
              <w:bottom w:val="single" w:sz="8" w:color="7B7C80"/>
            </w:tcBorders>
          </w:tcPr>
          <w:p>
            <w:pPr>
              <w:spacing w:after="0" w:line="20" w:lineRule="exact"/>
              <w:rPr>
                <w:sz w:val="1"/>
                <w:szCs w:val="1"/>
                <w:color w:val="auto"/>
              </w:rPr>
            </w:pPr>
          </w:p>
        </w:tc>
        <w:tc>
          <w:tcPr>
            <w:tcW w:w="440" w:type="dxa"/>
            <w:vAlign w:val="bottom"/>
            <w:tcBorders>
              <w:bottom w:val="single" w:sz="8" w:color="7B7C80"/>
            </w:tcBorders>
          </w:tcPr>
          <w:p>
            <w:pPr>
              <w:spacing w:after="0" w:line="20" w:lineRule="exact"/>
              <w:rPr>
                <w:sz w:val="1"/>
                <w:szCs w:val="1"/>
                <w:color w:val="auto"/>
              </w:rPr>
            </w:pPr>
          </w:p>
        </w:tc>
      </w:tr>
      <w:tr>
        <w:trPr>
          <w:trHeight w:val="129"/>
        </w:trPr>
        <w:tc>
          <w:tcPr>
            <w:tcW w:w="3320" w:type="dxa"/>
            <w:vAlign w:val="bottom"/>
            <w:shd w:val="clear" w:color="auto" w:fill="E7E6E7"/>
          </w:tcPr>
          <w:p>
            <w:pPr>
              <w:spacing w:after="0" w:line="129" w:lineRule="exact"/>
              <w:rPr>
                <w:sz w:val="20"/>
                <w:szCs w:val="20"/>
                <w:color w:val="auto"/>
              </w:rPr>
            </w:pPr>
            <w:r>
              <w:rPr>
                <w:rFonts w:ascii="Arial" w:cs="Arial" w:eastAsia="Arial" w:hAnsi="Arial"/>
                <w:sz w:val="12"/>
                <w:szCs w:val="12"/>
                <w:color w:val="7B7C80"/>
              </w:rPr>
              <w:t>McCaughan</w:t>
            </w:r>
          </w:p>
        </w:tc>
        <w:tc>
          <w:tcPr>
            <w:tcW w:w="2660" w:type="dxa"/>
            <w:vAlign w:val="bottom"/>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w:t>
            </w:r>
          </w:p>
        </w:tc>
        <w:tc>
          <w:tcPr>
            <w:tcW w:w="56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13,500</w:t>
            </w:r>
          </w:p>
        </w:tc>
        <w:tc>
          <w:tcPr>
            <w:tcW w:w="82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w:t>
            </w:r>
          </w:p>
        </w:tc>
        <w:tc>
          <w:tcPr>
            <w:tcW w:w="64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0</w:t>
            </w:r>
          </w:p>
        </w:tc>
        <w:tc>
          <w:tcPr>
            <w:tcW w:w="16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4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13,500</w:t>
            </w:r>
          </w:p>
        </w:tc>
      </w:tr>
      <w:tr>
        <w:trPr>
          <w:trHeight w:val="34"/>
        </w:trPr>
        <w:tc>
          <w:tcPr>
            <w:tcW w:w="3320" w:type="dxa"/>
            <w:vAlign w:val="bottom"/>
            <w:tcBorders>
              <w:bottom w:val="single" w:sz="8" w:color="7B7C80"/>
            </w:tcBorders>
          </w:tcPr>
          <w:p>
            <w:pPr>
              <w:spacing w:after="0"/>
              <w:rPr>
                <w:sz w:val="2"/>
                <w:szCs w:val="2"/>
                <w:color w:val="auto"/>
              </w:rPr>
            </w:pPr>
          </w:p>
        </w:tc>
        <w:tc>
          <w:tcPr>
            <w:tcW w:w="266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820" w:type="dxa"/>
            <w:vAlign w:val="bottom"/>
            <w:tcBorders>
              <w:bottom w:val="single" w:sz="8" w:color="7B7C80"/>
            </w:tcBorders>
          </w:tcPr>
          <w:p>
            <w:pPr>
              <w:spacing w:after="0"/>
              <w:rPr>
                <w:sz w:val="2"/>
                <w:szCs w:val="2"/>
                <w:color w:val="auto"/>
              </w:rPr>
            </w:pPr>
          </w:p>
        </w:tc>
        <w:tc>
          <w:tcPr>
            <w:tcW w:w="640" w:type="dxa"/>
            <w:vAlign w:val="bottom"/>
            <w:tcBorders>
              <w:bottom w:val="single" w:sz="8" w:color="7B7C80"/>
            </w:tcBorders>
          </w:tcPr>
          <w:p>
            <w:pPr>
              <w:spacing w:after="0"/>
              <w:rPr>
                <w:sz w:val="2"/>
                <w:szCs w:val="2"/>
                <w:color w:val="auto"/>
              </w:rPr>
            </w:pPr>
          </w:p>
        </w:tc>
        <w:tc>
          <w:tcPr>
            <w:tcW w:w="16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r>
      <w:tr>
        <w:trPr>
          <w:trHeight w:val="155"/>
        </w:trPr>
        <w:tc>
          <w:tcPr>
            <w:tcW w:w="3320" w:type="dxa"/>
            <w:vAlign w:val="bottom"/>
            <w:tcBorders>
              <w:bottom w:val="single" w:sz="8" w:color="009CCC"/>
            </w:tcBorders>
          </w:tcPr>
          <w:p>
            <w:pPr>
              <w:spacing w:after="0"/>
              <w:rPr>
                <w:sz w:val="20"/>
                <w:szCs w:val="20"/>
                <w:color w:val="auto"/>
              </w:rPr>
            </w:pPr>
            <w:r>
              <w:rPr>
                <w:rFonts w:ascii="Arial" w:cs="Arial" w:eastAsia="Arial" w:hAnsi="Arial"/>
                <w:sz w:val="12"/>
                <w:szCs w:val="12"/>
                <w:color w:val="7B7C80"/>
              </w:rPr>
              <w:t>Valdés</w:t>
            </w:r>
          </w:p>
        </w:tc>
        <w:tc>
          <w:tcPr>
            <w:tcW w:w="2660" w:type="dxa"/>
            <w:vAlign w:val="bottom"/>
            <w:tcBorders>
              <w:bottom w:val="single" w:sz="8" w:color="009CCC"/>
            </w:tcBorders>
          </w:tcPr>
          <w:p>
            <w:pPr>
              <w:jc w:val="right"/>
              <w:ind w:right="19"/>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009CCC"/>
            </w:tcBorders>
          </w:tcPr>
          <w:p>
            <w:pPr>
              <w:jc w:val="right"/>
              <w:ind w:right="39"/>
              <w:spacing w:after="0"/>
              <w:rPr>
                <w:sz w:val="20"/>
                <w:szCs w:val="20"/>
                <w:color w:val="auto"/>
              </w:rPr>
            </w:pPr>
            <w:r>
              <w:rPr>
                <w:rFonts w:ascii="Arial" w:cs="Arial" w:eastAsia="Arial" w:hAnsi="Arial"/>
                <w:sz w:val="12"/>
                <w:szCs w:val="12"/>
                <w:color w:val="7B7C80"/>
              </w:rPr>
              <w:t>13,500</w:t>
            </w:r>
          </w:p>
        </w:tc>
        <w:tc>
          <w:tcPr>
            <w:tcW w:w="820" w:type="dxa"/>
            <w:vAlign w:val="bottom"/>
            <w:tcBorders>
              <w:bottom w:val="single" w:sz="8" w:color="009CCC"/>
            </w:tcBorders>
          </w:tcPr>
          <w:p>
            <w:pPr>
              <w:jc w:val="right"/>
              <w:ind w:right="39"/>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009CCC"/>
            </w:tcBorders>
          </w:tcPr>
          <w:p>
            <w:pPr>
              <w:jc w:val="right"/>
              <w:ind w:right="39"/>
              <w:spacing w:after="0"/>
              <w:rPr>
                <w:sz w:val="20"/>
                <w:szCs w:val="20"/>
                <w:color w:val="auto"/>
              </w:rPr>
            </w:pPr>
            <w:r>
              <w:rPr>
                <w:rFonts w:ascii="Arial" w:cs="Arial" w:eastAsia="Arial" w:hAnsi="Arial"/>
                <w:sz w:val="12"/>
                <w:szCs w:val="12"/>
                <w:color w:val="7B7C80"/>
              </w:rPr>
              <w:t>47,087</w:t>
            </w:r>
          </w:p>
        </w:tc>
        <w:tc>
          <w:tcPr>
            <w:tcW w:w="16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w:t>
            </w:r>
          </w:p>
        </w:tc>
        <w:tc>
          <w:tcPr>
            <w:tcW w:w="44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60,587</w:t>
            </w:r>
          </w:p>
        </w:tc>
      </w:tr>
    </w:tbl>
    <w:p>
      <w:pPr>
        <w:spacing w:after="0" w:line="187" w:lineRule="exact"/>
        <w:rPr>
          <w:sz w:val="20"/>
          <w:szCs w:val="20"/>
          <w:color w:val="auto"/>
        </w:rPr>
      </w:pPr>
    </w:p>
    <w:p>
      <w:pPr>
        <w:ind w:left="1820" w:hanging="455"/>
        <w:spacing w:after="0"/>
        <w:tabs>
          <w:tab w:leader="none" w:pos="1820" w:val="left"/>
        </w:tabs>
        <w:numPr>
          <w:ilvl w:val="0"/>
          <w:numId w:val="53"/>
        </w:numPr>
        <w:rPr>
          <w:rFonts w:ascii="Arial" w:cs="Arial" w:eastAsia="Arial" w:hAnsi="Arial"/>
          <w:sz w:val="12"/>
          <w:szCs w:val="12"/>
          <w:color w:val="7B7C80"/>
        </w:rPr>
      </w:pPr>
      <w:r>
        <w:rPr>
          <w:rFonts w:ascii="Arial" w:cs="Arial" w:eastAsia="Arial" w:hAnsi="Arial"/>
          <w:sz w:val="12"/>
          <w:szCs w:val="12"/>
          <w:color w:val="7B7C80"/>
        </w:rPr>
        <w:t>Sum of the total dollar value of the other columns in this table.</w:t>
      </w:r>
    </w:p>
    <w:p>
      <w:pPr>
        <w:spacing w:after="0" w:line="163"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Grants of Plan Based Awards for Fiscal Year End December 31, 2017</w:t>
      </w:r>
    </w:p>
    <w:p>
      <w:pPr>
        <w:spacing w:after="0" w:line="178" w:lineRule="exact"/>
        <w:rPr>
          <w:sz w:val="20"/>
          <w:szCs w:val="20"/>
          <w:color w:val="auto"/>
        </w:rPr>
      </w:pPr>
    </w:p>
    <w:tbl>
      <w:tblPr>
        <w:tblLayout w:type="fixed"/>
        <w:tblInd w:w="1360" w:type="dxa"/>
        <w:tblCellMar>
          <w:top w:w="0" w:type="dxa"/>
          <w:left w:w="0" w:type="dxa"/>
          <w:bottom w:w="0" w:type="dxa"/>
          <w:right w:w="0" w:type="dxa"/>
        </w:tblCellMar>
      </w:tblPr>
      <w:tr>
        <w:trPr>
          <w:trHeight w:val="149"/>
        </w:trPr>
        <w:tc>
          <w:tcPr>
            <w:tcW w:w="800" w:type="dxa"/>
            <w:vAlign w:val="bottom"/>
            <w:tcBorders>
              <w:top w:val="single" w:sz="8" w:color="009CCC"/>
            </w:tcBorders>
          </w:tcPr>
          <w:p>
            <w:pPr>
              <w:spacing w:after="0"/>
              <w:rPr>
                <w:sz w:val="12"/>
                <w:szCs w:val="12"/>
                <w:color w:val="auto"/>
              </w:rPr>
            </w:pPr>
          </w:p>
        </w:tc>
        <w:tc>
          <w:tcPr>
            <w:tcW w:w="820" w:type="dxa"/>
            <w:vAlign w:val="bottom"/>
            <w:tcBorders>
              <w:top w:val="single" w:sz="8" w:color="009CCC"/>
            </w:tcBorders>
          </w:tcPr>
          <w:p>
            <w:pPr>
              <w:spacing w:after="0"/>
              <w:rPr>
                <w:sz w:val="12"/>
                <w:szCs w:val="12"/>
                <w:color w:val="auto"/>
              </w:rPr>
            </w:pPr>
          </w:p>
        </w:tc>
        <w:tc>
          <w:tcPr>
            <w:tcW w:w="2300" w:type="dxa"/>
            <w:vAlign w:val="bottom"/>
            <w:tcBorders>
              <w:top w:val="single" w:sz="8" w:color="009CCC"/>
            </w:tcBorders>
            <w:gridSpan w:val="6"/>
          </w:tcPr>
          <w:p>
            <w:pPr>
              <w:ind w:left="360"/>
              <w:spacing w:after="0"/>
              <w:rPr>
                <w:sz w:val="20"/>
                <w:szCs w:val="20"/>
                <w:color w:val="auto"/>
              </w:rPr>
            </w:pPr>
            <w:r>
              <w:rPr>
                <w:rFonts w:ascii="Arial" w:cs="Arial" w:eastAsia="Arial" w:hAnsi="Arial"/>
                <w:sz w:val="12"/>
                <w:szCs w:val="12"/>
                <w:b w:val="1"/>
                <w:bCs w:val="1"/>
                <w:color w:val="009CCC"/>
              </w:rPr>
              <w:t>Estimated Future Payouts</w:t>
            </w:r>
          </w:p>
        </w:tc>
        <w:tc>
          <w:tcPr>
            <w:tcW w:w="1980" w:type="dxa"/>
            <w:vAlign w:val="bottom"/>
            <w:tcBorders>
              <w:top w:val="single" w:sz="8" w:color="009CCC"/>
            </w:tcBorders>
            <w:gridSpan w:val="4"/>
          </w:tcPr>
          <w:p>
            <w:pPr>
              <w:jc w:val="center"/>
              <w:ind w:right="120"/>
              <w:spacing w:after="0"/>
              <w:rPr>
                <w:sz w:val="20"/>
                <w:szCs w:val="20"/>
                <w:color w:val="auto"/>
              </w:rPr>
            </w:pPr>
            <w:r>
              <w:rPr>
                <w:rFonts w:ascii="Arial" w:cs="Arial" w:eastAsia="Arial" w:hAnsi="Arial"/>
                <w:sz w:val="12"/>
                <w:szCs w:val="12"/>
                <w:b w:val="1"/>
                <w:bCs w:val="1"/>
                <w:color w:val="009CCC"/>
              </w:rPr>
              <w:t>Estimated Future Payouts</w:t>
            </w:r>
          </w:p>
        </w:tc>
        <w:tc>
          <w:tcPr>
            <w:tcW w:w="520" w:type="dxa"/>
            <w:vAlign w:val="bottom"/>
            <w:tcBorders>
              <w:top w:val="single" w:sz="8" w:color="009CCC"/>
            </w:tcBorders>
          </w:tcPr>
          <w:p>
            <w:pPr>
              <w:spacing w:after="0"/>
              <w:rPr>
                <w:sz w:val="12"/>
                <w:szCs w:val="12"/>
                <w:color w:val="auto"/>
              </w:rPr>
            </w:pPr>
          </w:p>
        </w:tc>
        <w:tc>
          <w:tcPr>
            <w:tcW w:w="660" w:type="dxa"/>
            <w:vAlign w:val="bottom"/>
            <w:tcBorders>
              <w:top w:val="single" w:sz="8" w:color="009CCC"/>
            </w:tcBorders>
          </w:tcPr>
          <w:p>
            <w:pPr>
              <w:spacing w:after="0"/>
              <w:rPr>
                <w:sz w:val="12"/>
                <w:szCs w:val="12"/>
                <w:color w:val="auto"/>
              </w:rPr>
            </w:pPr>
          </w:p>
        </w:tc>
        <w:tc>
          <w:tcPr>
            <w:tcW w:w="140" w:type="dxa"/>
            <w:vAlign w:val="bottom"/>
            <w:tcBorders>
              <w:top w:val="single" w:sz="8" w:color="009CCC"/>
            </w:tcBorders>
          </w:tcPr>
          <w:p>
            <w:pPr>
              <w:spacing w:after="0"/>
              <w:rPr>
                <w:sz w:val="12"/>
                <w:szCs w:val="12"/>
                <w:color w:val="auto"/>
              </w:rPr>
            </w:pPr>
          </w:p>
        </w:tc>
        <w:tc>
          <w:tcPr>
            <w:tcW w:w="560" w:type="dxa"/>
            <w:vAlign w:val="bottom"/>
            <w:tcBorders>
              <w:top w:val="single" w:sz="8" w:color="009CCC"/>
            </w:tcBorders>
          </w:tcPr>
          <w:p>
            <w:pPr>
              <w:spacing w:after="0"/>
              <w:rPr>
                <w:sz w:val="12"/>
                <w:szCs w:val="12"/>
                <w:color w:val="auto"/>
              </w:rPr>
            </w:pPr>
          </w:p>
        </w:tc>
        <w:tc>
          <w:tcPr>
            <w:tcW w:w="120" w:type="dxa"/>
            <w:vAlign w:val="bottom"/>
            <w:tcBorders>
              <w:top w:val="single" w:sz="8" w:color="009CCC"/>
            </w:tcBorders>
          </w:tcPr>
          <w:p>
            <w:pPr>
              <w:spacing w:after="0"/>
              <w:rPr>
                <w:sz w:val="12"/>
                <w:szCs w:val="12"/>
                <w:color w:val="auto"/>
              </w:rPr>
            </w:pPr>
          </w:p>
        </w:tc>
        <w:tc>
          <w:tcPr>
            <w:tcW w:w="540" w:type="dxa"/>
            <w:vAlign w:val="bottom"/>
            <w:tcBorders>
              <w:top w:val="single" w:sz="8" w:color="009CCC"/>
            </w:tcBorders>
          </w:tcPr>
          <w:p>
            <w:pPr>
              <w:spacing w:after="0"/>
              <w:rPr>
                <w:sz w:val="12"/>
                <w:szCs w:val="12"/>
                <w:color w:val="auto"/>
              </w:rPr>
            </w:pPr>
          </w:p>
        </w:tc>
      </w:tr>
      <w:tr>
        <w:trPr>
          <w:trHeight w:val="137"/>
        </w:trPr>
        <w:tc>
          <w:tcPr>
            <w:tcW w:w="8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300" w:type="dxa"/>
            <w:vAlign w:val="bottom"/>
            <w:gridSpan w:val="6"/>
          </w:tcPr>
          <w:p>
            <w:pPr>
              <w:ind w:left="320"/>
              <w:spacing w:after="0"/>
              <w:rPr>
                <w:sz w:val="20"/>
                <w:szCs w:val="20"/>
                <w:color w:val="auto"/>
              </w:rPr>
            </w:pPr>
            <w:r>
              <w:rPr>
                <w:rFonts w:ascii="Arial" w:cs="Arial" w:eastAsia="Arial" w:hAnsi="Arial"/>
                <w:sz w:val="12"/>
                <w:szCs w:val="12"/>
                <w:b w:val="1"/>
                <w:bCs w:val="1"/>
                <w:color w:val="009CCC"/>
              </w:rPr>
              <w:t>Under Non Equity Incentive</w:t>
            </w:r>
          </w:p>
        </w:tc>
        <w:tc>
          <w:tcPr>
            <w:tcW w:w="1980" w:type="dxa"/>
            <w:vAlign w:val="bottom"/>
            <w:gridSpan w:val="4"/>
          </w:tcPr>
          <w:p>
            <w:pPr>
              <w:jc w:val="center"/>
              <w:ind w:right="100"/>
              <w:spacing w:after="0"/>
              <w:rPr>
                <w:sz w:val="20"/>
                <w:szCs w:val="20"/>
                <w:color w:val="auto"/>
              </w:rPr>
            </w:pPr>
            <w:r>
              <w:rPr>
                <w:rFonts w:ascii="Arial" w:cs="Arial" w:eastAsia="Arial" w:hAnsi="Arial"/>
                <w:sz w:val="12"/>
                <w:szCs w:val="12"/>
                <w:b w:val="1"/>
                <w:bCs w:val="1"/>
                <w:color w:val="009CCC"/>
              </w:rPr>
              <w:t>Under Equity Incentive</w:t>
            </w:r>
          </w:p>
        </w:tc>
        <w:tc>
          <w:tcPr>
            <w:tcW w:w="520" w:type="dxa"/>
            <w:vAlign w:val="bottom"/>
          </w:tcPr>
          <w:p>
            <w:pPr>
              <w:jc w:val="right"/>
              <w:ind w:right="19"/>
              <w:spacing w:after="0"/>
              <w:rPr>
                <w:sz w:val="20"/>
                <w:szCs w:val="20"/>
                <w:color w:val="auto"/>
              </w:rPr>
            </w:pPr>
            <w:r>
              <w:rPr>
                <w:rFonts w:ascii="Arial" w:cs="Arial" w:eastAsia="Arial" w:hAnsi="Arial"/>
                <w:sz w:val="12"/>
                <w:szCs w:val="12"/>
                <w:b w:val="1"/>
                <w:bCs w:val="1"/>
                <w:color w:val="009CCC"/>
              </w:rPr>
              <w:t>Other</w:t>
            </w:r>
          </w:p>
        </w:tc>
        <w:tc>
          <w:tcPr>
            <w:tcW w:w="660" w:type="dxa"/>
            <w:vAlign w:val="bottom"/>
          </w:tcPr>
          <w:p>
            <w:pPr>
              <w:jc w:val="right"/>
              <w:spacing w:after="0"/>
              <w:rPr>
                <w:sz w:val="20"/>
                <w:szCs w:val="20"/>
                <w:color w:val="auto"/>
              </w:rPr>
            </w:pPr>
            <w:r>
              <w:rPr>
                <w:rFonts w:ascii="Arial" w:cs="Arial" w:eastAsia="Arial" w:hAnsi="Arial"/>
                <w:sz w:val="12"/>
                <w:szCs w:val="12"/>
                <w:b w:val="1"/>
                <w:bCs w:val="1"/>
                <w:color w:val="009CCC"/>
              </w:rPr>
              <w:t>Other</w:t>
            </w:r>
          </w:p>
        </w:tc>
        <w:tc>
          <w:tcPr>
            <w:tcW w:w="14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tcPr>
          <w:p>
            <w:pPr>
              <w:spacing w:after="0"/>
              <w:rPr>
                <w:sz w:val="11"/>
                <w:szCs w:val="11"/>
                <w:color w:val="auto"/>
              </w:rPr>
            </w:pPr>
          </w:p>
        </w:tc>
      </w:tr>
      <w:tr>
        <w:trPr>
          <w:trHeight w:val="160"/>
        </w:trPr>
        <w:tc>
          <w:tcPr>
            <w:tcW w:w="800" w:type="dxa"/>
            <w:vAlign w:val="bottom"/>
          </w:tcPr>
          <w:p>
            <w:pPr>
              <w:spacing w:after="0"/>
              <w:rPr>
                <w:sz w:val="13"/>
                <w:szCs w:val="13"/>
                <w:color w:val="auto"/>
              </w:rPr>
            </w:pPr>
          </w:p>
        </w:tc>
        <w:tc>
          <w:tcPr>
            <w:tcW w:w="820" w:type="dxa"/>
            <w:vAlign w:val="bottom"/>
          </w:tcPr>
          <w:p>
            <w:pPr>
              <w:jc w:val="right"/>
              <w:spacing w:after="0"/>
              <w:rPr>
                <w:sz w:val="20"/>
                <w:szCs w:val="20"/>
                <w:color w:val="auto"/>
              </w:rPr>
            </w:pPr>
            <w:r>
              <w:rPr>
                <w:rFonts w:ascii="Arial" w:cs="Arial" w:eastAsia="Arial" w:hAnsi="Arial"/>
                <w:sz w:val="12"/>
                <w:szCs w:val="12"/>
                <w:b w:val="1"/>
                <w:bCs w:val="1"/>
                <w:color w:val="009CCC"/>
              </w:rPr>
              <w:t>Grant</w:t>
            </w:r>
          </w:p>
        </w:tc>
        <w:tc>
          <w:tcPr>
            <w:tcW w:w="680" w:type="dxa"/>
            <w:vAlign w:val="bottom"/>
            <w:tcBorders>
              <w:bottom w:val="single" w:sz="8" w:color="009CCC"/>
            </w:tcBorders>
          </w:tcPr>
          <w:p>
            <w:pPr>
              <w:spacing w:after="0"/>
              <w:rPr>
                <w:sz w:val="13"/>
                <w:szCs w:val="13"/>
                <w:color w:val="auto"/>
              </w:rPr>
            </w:pPr>
          </w:p>
        </w:tc>
        <w:tc>
          <w:tcPr>
            <w:tcW w:w="840" w:type="dxa"/>
            <w:vAlign w:val="bottom"/>
            <w:tcBorders>
              <w:bottom w:val="single" w:sz="8" w:color="009CCC"/>
            </w:tcBorders>
            <w:gridSpan w:val="3"/>
          </w:tcPr>
          <w:p>
            <w:pPr>
              <w:jc w:val="right"/>
              <w:spacing w:after="0"/>
              <w:rPr>
                <w:sz w:val="20"/>
                <w:szCs w:val="20"/>
                <w:color w:val="auto"/>
              </w:rPr>
            </w:pPr>
            <w:r>
              <w:rPr>
                <w:rFonts w:ascii="Arial" w:cs="Arial" w:eastAsia="Arial" w:hAnsi="Arial"/>
                <w:sz w:val="12"/>
                <w:szCs w:val="12"/>
                <w:b w:val="1"/>
                <w:bCs w:val="1"/>
                <w:color w:val="009CCC"/>
              </w:rPr>
              <w:t>Plan Awards</w:t>
            </w:r>
          </w:p>
        </w:tc>
        <w:tc>
          <w:tcPr>
            <w:tcW w:w="720" w:type="dxa"/>
            <w:vAlign w:val="bottom"/>
            <w:tcBorders>
              <w:bottom w:val="single" w:sz="8" w:color="009CCC"/>
            </w:tcBorders>
          </w:tcPr>
          <w:p>
            <w:pPr>
              <w:spacing w:after="0"/>
              <w:rPr>
                <w:sz w:val="13"/>
                <w:szCs w:val="13"/>
                <w:color w:val="auto"/>
              </w:rPr>
            </w:pPr>
          </w:p>
        </w:tc>
        <w:tc>
          <w:tcPr>
            <w:tcW w:w="60" w:type="dxa"/>
            <w:vAlign w:val="bottom"/>
          </w:tcPr>
          <w:p>
            <w:pPr>
              <w:spacing w:after="0"/>
              <w:rPr>
                <w:sz w:val="13"/>
                <w:szCs w:val="13"/>
                <w:color w:val="auto"/>
              </w:rPr>
            </w:pPr>
          </w:p>
        </w:tc>
        <w:tc>
          <w:tcPr>
            <w:tcW w:w="1420" w:type="dxa"/>
            <w:vAlign w:val="bottom"/>
            <w:tcBorders>
              <w:bottom w:val="single" w:sz="8" w:color="009CCC"/>
            </w:tcBorders>
            <w:gridSpan w:val="2"/>
          </w:tcPr>
          <w:p>
            <w:pPr>
              <w:jc w:val="center"/>
              <w:ind w:left="399"/>
              <w:spacing w:after="0" w:line="160" w:lineRule="exact"/>
              <w:rPr>
                <w:sz w:val="20"/>
                <w:szCs w:val="20"/>
                <w:color w:val="auto"/>
              </w:rPr>
            </w:pPr>
            <w:r>
              <w:rPr>
                <w:rFonts w:ascii="Arial" w:cs="Arial" w:eastAsia="Arial" w:hAnsi="Arial"/>
                <w:sz w:val="12"/>
                <w:szCs w:val="12"/>
                <w:b w:val="1"/>
                <w:bCs w:val="1"/>
                <w:color w:val="009CCC"/>
                <w:w w:val="96"/>
              </w:rPr>
              <w:t>Plan Awards</w:t>
            </w:r>
            <w:r>
              <w:rPr>
                <w:rFonts w:ascii="Arial" w:cs="Arial" w:eastAsia="Arial" w:hAnsi="Arial"/>
                <w:sz w:val="18"/>
                <w:szCs w:val="18"/>
                <w:b w:val="1"/>
                <w:bCs w:val="1"/>
                <w:color w:val="009CCC"/>
                <w:w w:val="96"/>
                <w:vertAlign w:val="superscript"/>
              </w:rPr>
              <w:t>(2)</w:t>
            </w:r>
          </w:p>
        </w:tc>
        <w:tc>
          <w:tcPr>
            <w:tcW w:w="440" w:type="dxa"/>
            <w:vAlign w:val="bottom"/>
            <w:tcBorders>
              <w:bottom w:val="single" w:sz="8" w:color="009CCC"/>
            </w:tcBorders>
          </w:tcPr>
          <w:p>
            <w:pPr>
              <w:spacing w:after="0"/>
              <w:rPr>
                <w:sz w:val="13"/>
                <w:szCs w:val="13"/>
                <w:color w:val="auto"/>
              </w:rPr>
            </w:pPr>
          </w:p>
        </w:tc>
        <w:tc>
          <w:tcPr>
            <w:tcW w:w="120" w:type="dxa"/>
            <w:vAlign w:val="bottom"/>
          </w:tcPr>
          <w:p>
            <w:pPr>
              <w:spacing w:after="0"/>
              <w:rPr>
                <w:sz w:val="13"/>
                <w:szCs w:val="13"/>
                <w:color w:val="auto"/>
              </w:rPr>
            </w:pPr>
          </w:p>
        </w:tc>
        <w:tc>
          <w:tcPr>
            <w:tcW w:w="520" w:type="dxa"/>
            <w:vAlign w:val="bottom"/>
          </w:tcPr>
          <w:p>
            <w:pPr>
              <w:jc w:val="right"/>
              <w:ind w:right="19"/>
              <w:spacing w:after="0"/>
              <w:rPr>
                <w:sz w:val="20"/>
                <w:szCs w:val="20"/>
                <w:color w:val="auto"/>
              </w:rPr>
            </w:pPr>
            <w:r>
              <w:rPr>
                <w:rFonts w:ascii="Arial" w:cs="Arial" w:eastAsia="Arial" w:hAnsi="Arial"/>
                <w:sz w:val="12"/>
                <w:szCs w:val="12"/>
                <w:b w:val="1"/>
                <w:bCs w:val="1"/>
                <w:color w:val="009CCC"/>
              </w:rPr>
              <w:t>Stock</w:t>
            </w:r>
          </w:p>
        </w:tc>
        <w:tc>
          <w:tcPr>
            <w:tcW w:w="660" w:type="dxa"/>
            <w:vAlign w:val="bottom"/>
          </w:tcPr>
          <w:p>
            <w:pPr>
              <w:jc w:val="right"/>
              <w:spacing w:after="0"/>
              <w:rPr>
                <w:sz w:val="20"/>
                <w:szCs w:val="20"/>
                <w:color w:val="auto"/>
              </w:rPr>
            </w:pPr>
            <w:r>
              <w:rPr>
                <w:rFonts w:ascii="Arial" w:cs="Arial" w:eastAsia="Arial" w:hAnsi="Arial"/>
                <w:sz w:val="12"/>
                <w:szCs w:val="12"/>
                <w:b w:val="1"/>
                <w:bCs w:val="1"/>
                <w:color w:val="009CCC"/>
              </w:rPr>
              <w:t>Option</w:t>
            </w:r>
          </w:p>
        </w:tc>
        <w:tc>
          <w:tcPr>
            <w:tcW w:w="140" w:type="dxa"/>
            <w:vAlign w:val="bottom"/>
          </w:tcPr>
          <w:p>
            <w:pPr>
              <w:spacing w:after="0"/>
              <w:rPr>
                <w:sz w:val="13"/>
                <w:szCs w:val="13"/>
                <w:color w:val="auto"/>
              </w:rPr>
            </w:pPr>
          </w:p>
        </w:tc>
        <w:tc>
          <w:tcPr>
            <w:tcW w:w="560" w:type="dxa"/>
            <w:vAlign w:val="bottom"/>
          </w:tcPr>
          <w:p>
            <w:pPr>
              <w:jc w:val="right"/>
              <w:spacing w:after="0"/>
              <w:rPr>
                <w:sz w:val="20"/>
                <w:szCs w:val="20"/>
                <w:color w:val="auto"/>
              </w:rPr>
            </w:pPr>
            <w:r>
              <w:rPr>
                <w:rFonts w:ascii="Arial" w:cs="Arial" w:eastAsia="Arial" w:hAnsi="Arial"/>
                <w:sz w:val="12"/>
                <w:szCs w:val="12"/>
                <w:b w:val="1"/>
                <w:bCs w:val="1"/>
                <w:color w:val="009CCC"/>
              </w:rPr>
              <w:t>Exercise</w:t>
            </w:r>
          </w:p>
        </w:tc>
        <w:tc>
          <w:tcPr>
            <w:tcW w:w="120" w:type="dxa"/>
            <w:vAlign w:val="bottom"/>
          </w:tcPr>
          <w:p>
            <w:pPr>
              <w:spacing w:after="0"/>
              <w:rPr>
                <w:sz w:val="13"/>
                <w:szCs w:val="13"/>
                <w:color w:val="auto"/>
              </w:rPr>
            </w:pPr>
          </w:p>
        </w:tc>
        <w:tc>
          <w:tcPr>
            <w:tcW w:w="540" w:type="dxa"/>
            <w:vAlign w:val="bottom"/>
          </w:tcPr>
          <w:p>
            <w:pPr>
              <w:jc w:val="right"/>
              <w:spacing w:after="0"/>
              <w:rPr>
                <w:sz w:val="20"/>
                <w:szCs w:val="20"/>
                <w:color w:val="auto"/>
              </w:rPr>
            </w:pPr>
            <w:r>
              <w:rPr>
                <w:rFonts w:ascii="Arial" w:cs="Arial" w:eastAsia="Arial" w:hAnsi="Arial"/>
                <w:sz w:val="12"/>
                <w:szCs w:val="12"/>
                <w:b w:val="1"/>
                <w:bCs w:val="1"/>
                <w:color w:val="009CCC"/>
              </w:rPr>
              <w:t>Fair</w:t>
            </w:r>
          </w:p>
        </w:tc>
      </w:tr>
      <w:tr>
        <w:trPr>
          <w:trHeight w:val="152"/>
        </w:trPr>
        <w:tc>
          <w:tcPr>
            <w:tcW w:w="80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82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Date</w:t>
            </w:r>
          </w:p>
        </w:tc>
        <w:tc>
          <w:tcPr>
            <w:tcW w:w="680" w:type="dxa"/>
            <w:vAlign w:val="bottom"/>
            <w:tcBorders>
              <w:bottom w:val="single" w:sz="8" w:color="7B7C80"/>
            </w:tcBorders>
          </w:tcPr>
          <w:p>
            <w:pPr>
              <w:ind w:left="60"/>
              <w:spacing w:after="0"/>
              <w:rPr>
                <w:sz w:val="20"/>
                <w:szCs w:val="20"/>
                <w:color w:val="auto"/>
              </w:rPr>
            </w:pPr>
            <w:r>
              <w:rPr>
                <w:rFonts w:ascii="Arial" w:cs="Arial" w:eastAsia="Arial" w:hAnsi="Arial"/>
                <w:sz w:val="12"/>
                <w:szCs w:val="12"/>
                <w:b w:val="1"/>
                <w:bCs w:val="1"/>
                <w:color w:val="009CCC"/>
              </w:rPr>
              <w:t>Threshold</w:t>
            </w:r>
          </w:p>
        </w:tc>
        <w:tc>
          <w:tcPr>
            <w:tcW w:w="120" w:type="dxa"/>
            <w:vAlign w:val="bottom"/>
            <w:tcBorders>
              <w:bottom w:val="single" w:sz="8" w:color="7B7C80"/>
            </w:tcBorders>
          </w:tcPr>
          <w:p>
            <w:pPr>
              <w:spacing w:after="0"/>
              <w:rPr>
                <w:sz w:val="13"/>
                <w:szCs w:val="13"/>
                <w:color w:val="auto"/>
              </w:rPr>
            </w:pPr>
          </w:p>
        </w:tc>
        <w:tc>
          <w:tcPr>
            <w:tcW w:w="58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Target</w:t>
            </w:r>
          </w:p>
        </w:tc>
        <w:tc>
          <w:tcPr>
            <w:tcW w:w="140" w:type="dxa"/>
            <w:vAlign w:val="bottom"/>
            <w:tcBorders>
              <w:bottom w:val="single" w:sz="8" w:color="7B7C80"/>
            </w:tcBorders>
          </w:tcPr>
          <w:p>
            <w:pPr>
              <w:spacing w:after="0"/>
              <w:rPr>
                <w:sz w:val="13"/>
                <w:szCs w:val="13"/>
                <w:color w:val="auto"/>
              </w:rPr>
            </w:pPr>
          </w:p>
        </w:tc>
        <w:tc>
          <w:tcPr>
            <w:tcW w:w="720" w:type="dxa"/>
            <w:vAlign w:val="bottom"/>
            <w:tcBorders>
              <w:bottom w:val="single" w:sz="8" w:color="7B7C80"/>
            </w:tcBorders>
          </w:tcPr>
          <w:p>
            <w:pPr>
              <w:jc w:val="right"/>
              <w:spacing w:after="0" w:line="152" w:lineRule="exact"/>
              <w:rPr>
                <w:sz w:val="20"/>
                <w:szCs w:val="20"/>
                <w:color w:val="auto"/>
              </w:rPr>
            </w:pPr>
            <w:r>
              <w:rPr>
                <w:rFonts w:ascii="Arial" w:cs="Arial" w:eastAsia="Arial" w:hAnsi="Arial"/>
                <w:sz w:val="12"/>
                <w:szCs w:val="12"/>
                <w:b w:val="1"/>
                <w:bCs w:val="1"/>
                <w:color w:val="009CCC"/>
              </w:rPr>
              <w:t>Maximum</w:t>
            </w:r>
            <w:r>
              <w:rPr>
                <w:rFonts w:ascii="Arial" w:cs="Arial" w:eastAsia="Arial" w:hAnsi="Arial"/>
                <w:sz w:val="17"/>
                <w:szCs w:val="17"/>
                <w:b w:val="1"/>
                <w:bCs w:val="1"/>
                <w:color w:val="009CCC"/>
                <w:vertAlign w:val="superscript"/>
              </w:rPr>
              <w:t>(1)</w:t>
            </w:r>
          </w:p>
        </w:tc>
        <w:tc>
          <w:tcPr>
            <w:tcW w:w="60" w:type="dxa"/>
            <w:vAlign w:val="bottom"/>
            <w:tcBorders>
              <w:bottom w:val="single" w:sz="8" w:color="7B7C80"/>
            </w:tcBorders>
          </w:tcPr>
          <w:p>
            <w:pPr>
              <w:spacing w:after="0"/>
              <w:rPr>
                <w:sz w:val="13"/>
                <w:szCs w:val="13"/>
                <w:color w:val="auto"/>
              </w:rPr>
            </w:pPr>
          </w:p>
        </w:tc>
        <w:tc>
          <w:tcPr>
            <w:tcW w:w="2500" w:type="dxa"/>
            <w:vAlign w:val="bottom"/>
            <w:tcBorders>
              <w:bottom w:val="single" w:sz="8" w:color="7B7C80"/>
            </w:tcBorders>
            <w:gridSpan w:val="5"/>
          </w:tcPr>
          <w:p>
            <w:pPr>
              <w:jc w:val="right"/>
              <w:ind w:right="19"/>
              <w:spacing w:after="0"/>
              <w:rPr>
                <w:sz w:val="20"/>
                <w:szCs w:val="20"/>
                <w:color w:val="auto"/>
              </w:rPr>
            </w:pPr>
            <w:r>
              <w:rPr>
                <w:rFonts w:ascii="Arial" w:cs="Arial" w:eastAsia="Arial" w:hAnsi="Arial"/>
                <w:sz w:val="12"/>
                <w:szCs w:val="12"/>
                <w:b w:val="1"/>
                <w:bCs w:val="1"/>
                <w:color w:val="009CCC"/>
              </w:rPr>
              <w:t>Threshold  Target  Maximum  Awards</w:t>
            </w:r>
          </w:p>
        </w:tc>
        <w:tc>
          <w:tcPr>
            <w:tcW w:w="660" w:type="dxa"/>
            <w:vAlign w:val="bottom"/>
            <w:tcBorders>
              <w:bottom w:val="single" w:sz="8" w:color="7B7C80"/>
            </w:tcBorders>
          </w:tcPr>
          <w:p>
            <w:pPr>
              <w:jc w:val="right"/>
              <w:spacing w:after="0" w:line="152" w:lineRule="exact"/>
              <w:rPr>
                <w:sz w:val="20"/>
                <w:szCs w:val="20"/>
                <w:color w:val="auto"/>
              </w:rPr>
            </w:pPr>
            <w:r>
              <w:rPr>
                <w:rFonts w:ascii="Arial" w:cs="Arial" w:eastAsia="Arial" w:hAnsi="Arial"/>
                <w:sz w:val="12"/>
                <w:szCs w:val="12"/>
                <w:b w:val="1"/>
                <w:bCs w:val="1"/>
                <w:color w:val="009CCC"/>
              </w:rPr>
              <w:t>Awards</w:t>
            </w:r>
            <w:r>
              <w:rPr>
                <w:rFonts w:ascii="Arial" w:cs="Arial" w:eastAsia="Arial" w:hAnsi="Arial"/>
                <w:sz w:val="17"/>
                <w:szCs w:val="17"/>
                <w:b w:val="1"/>
                <w:bCs w:val="1"/>
                <w:color w:val="009CCC"/>
                <w:vertAlign w:val="superscript"/>
              </w:rPr>
              <w:t>(3)</w:t>
            </w:r>
          </w:p>
        </w:tc>
        <w:tc>
          <w:tcPr>
            <w:tcW w:w="140" w:type="dxa"/>
            <w:vAlign w:val="bottom"/>
            <w:tcBorders>
              <w:bottom w:val="single" w:sz="8" w:color="7B7C80"/>
            </w:tcBorders>
          </w:tcPr>
          <w:p>
            <w:pPr>
              <w:spacing w:after="0"/>
              <w:rPr>
                <w:sz w:val="13"/>
                <w:szCs w:val="13"/>
                <w:color w:val="auto"/>
              </w:rPr>
            </w:pPr>
          </w:p>
        </w:tc>
        <w:tc>
          <w:tcPr>
            <w:tcW w:w="560" w:type="dxa"/>
            <w:vAlign w:val="bottom"/>
            <w:tcBorders>
              <w:bottom w:val="single" w:sz="8" w:color="7B7C80"/>
            </w:tcBorders>
          </w:tcPr>
          <w:p>
            <w:pPr>
              <w:jc w:val="right"/>
              <w:spacing w:after="0" w:line="152" w:lineRule="exact"/>
              <w:rPr>
                <w:sz w:val="20"/>
                <w:szCs w:val="20"/>
                <w:color w:val="auto"/>
              </w:rPr>
            </w:pPr>
            <w:r>
              <w:rPr>
                <w:rFonts w:ascii="Arial" w:cs="Arial" w:eastAsia="Arial" w:hAnsi="Arial"/>
                <w:sz w:val="12"/>
                <w:szCs w:val="12"/>
                <w:b w:val="1"/>
                <w:bCs w:val="1"/>
                <w:color w:val="009CCC"/>
              </w:rPr>
              <w:t>Price</w:t>
            </w:r>
            <w:r>
              <w:rPr>
                <w:rFonts w:ascii="Arial" w:cs="Arial" w:eastAsia="Arial" w:hAnsi="Arial"/>
                <w:sz w:val="17"/>
                <w:szCs w:val="17"/>
                <w:b w:val="1"/>
                <w:bCs w:val="1"/>
                <w:color w:val="009CCC"/>
                <w:vertAlign w:val="superscript"/>
              </w:rPr>
              <w:t>(4)</w:t>
            </w:r>
          </w:p>
        </w:tc>
        <w:tc>
          <w:tcPr>
            <w:tcW w:w="120" w:type="dxa"/>
            <w:vAlign w:val="bottom"/>
            <w:tcBorders>
              <w:bottom w:val="single" w:sz="8" w:color="7B7C80"/>
            </w:tcBorders>
          </w:tcPr>
          <w:p>
            <w:pPr>
              <w:spacing w:after="0"/>
              <w:rPr>
                <w:sz w:val="13"/>
                <w:szCs w:val="13"/>
                <w:color w:val="auto"/>
              </w:rPr>
            </w:pPr>
          </w:p>
        </w:tc>
        <w:tc>
          <w:tcPr>
            <w:tcW w:w="540" w:type="dxa"/>
            <w:vAlign w:val="bottom"/>
            <w:tcBorders>
              <w:bottom w:val="single" w:sz="8" w:color="7B7C80"/>
            </w:tcBorders>
          </w:tcPr>
          <w:p>
            <w:pPr>
              <w:jc w:val="right"/>
              <w:spacing w:after="0" w:line="152" w:lineRule="exact"/>
              <w:rPr>
                <w:sz w:val="20"/>
                <w:szCs w:val="20"/>
                <w:color w:val="auto"/>
              </w:rPr>
            </w:pPr>
            <w:r>
              <w:rPr>
                <w:rFonts w:ascii="Arial" w:cs="Arial" w:eastAsia="Arial" w:hAnsi="Arial"/>
                <w:sz w:val="12"/>
                <w:szCs w:val="12"/>
                <w:b w:val="1"/>
                <w:bCs w:val="1"/>
                <w:color w:val="009CCC"/>
              </w:rPr>
              <w:t>Value</w:t>
            </w:r>
            <w:r>
              <w:rPr>
                <w:rFonts w:ascii="Arial" w:cs="Arial" w:eastAsia="Arial" w:hAnsi="Arial"/>
                <w:sz w:val="17"/>
                <w:szCs w:val="17"/>
                <w:b w:val="1"/>
                <w:bCs w:val="1"/>
                <w:color w:val="009CCC"/>
                <w:vertAlign w:val="superscript"/>
              </w:rPr>
              <w:t>(5)</w:t>
            </w:r>
          </w:p>
        </w:tc>
      </w:tr>
      <w:tr>
        <w:trPr>
          <w:trHeight w:val="129"/>
        </w:trPr>
        <w:tc>
          <w:tcPr>
            <w:tcW w:w="800" w:type="dxa"/>
            <w:vAlign w:val="bottom"/>
          </w:tcPr>
          <w:p>
            <w:pPr>
              <w:spacing w:after="0" w:line="129" w:lineRule="exact"/>
              <w:rPr>
                <w:sz w:val="20"/>
                <w:szCs w:val="20"/>
                <w:color w:val="auto"/>
              </w:rPr>
            </w:pPr>
            <w:r>
              <w:rPr>
                <w:rFonts w:ascii="Arial" w:cs="Arial" w:eastAsia="Arial" w:hAnsi="Arial"/>
                <w:sz w:val="12"/>
                <w:szCs w:val="12"/>
                <w:color w:val="7B7C80"/>
              </w:rPr>
              <w:t>Houston</w:t>
            </w:r>
          </w:p>
        </w:tc>
        <w:tc>
          <w:tcPr>
            <w:tcW w:w="820" w:type="dxa"/>
            <w:vAlign w:val="bottom"/>
            <w:shd w:val="clear" w:color="auto" w:fill="E7E6E7"/>
          </w:tcPr>
          <w:p>
            <w:pPr>
              <w:spacing w:after="0"/>
              <w:rPr>
                <w:sz w:val="11"/>
                <w:szCs w:val="11"/>
                <w:color w:val="auto"/>
              </w:rPr>
            </w:pPr>
          </w:p>
        </w:tc>
        <w:tc>
          <w:tcPr>
            <w:tcW w:w="800" w:type="dxa"/>
            <w:vAlign w:val="bottom"/>
            <w:gridSpan w:val="2"/>
            <w:shd w:val="clear" w:color="auto" w:fill="E7E6E7"/>
          </w:tcPr>
          <w:p>
            <w:pPr>
              <w:ind w:left="460"/>
              <w:spacing w:after="0" w:line="129" w:lineRule="exact"/>
              <w:rPr>
                <w:sz w:val="20"/>
                <w:szCs w:val="20"/>
                <w:color w:val="auto"/>
              </w:rPr>
            </w:pPr>
            <w:r>
              <w:rPr>
                <w:rFonts w:ascii="Arial" w:cs="Arial" w:eastAsia="Arial" w:hAnsi="Arial"/>
                <w:sz w:val="12"/>
                <w:szCs w:val="12"/>
                <w:color w:val="7B7C80"/>
              </w:rPr>
              <w:t>N/A $</w:t>
            </w:r>
          </w:p>
        </w:tc>
        <w:tc>
          <w:tcPr>
            <w:tcW w:w="5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3,150,000</w:t>
            </w:r>
          </w:p>
        </w:tc>
        <w:tc>
          <w:tcPr>
            <w:tcW w:w="1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780" w:type="dxa"/>
            <w:vAlign w:val="bottom"/>
            <w:gridSpan w:val="2"/>
            <w:shd w:val="clear" w:color="auto" w:fill="E7E6E7"/>
          </w:tcPr>
          <w:p>
            <w:pPr>
              <w:jc w:val="right"/>
              <w:ind w:right="60"/>
              <w:spacing w:after="0" w:line="129" w:lineRule="exact"/>
              <w:rPr>
                <w:sz w:val="20"/>
                <w:szCs w:val="20"/>
                <w:color w:val="auto"/>
              </w:rPr>
            </w:pPr>
            <w:r>
              <w:rPr>
                <w:rFonts w:ascii="Arial" w:cs="Arial" w:eastAsia="Arial" w:hAnsi="Arial"/>
                <w:sz w:val="12"/>
                <w:szCs w:val="12"/>
                <w:color w:val="7B7C80"/>
              </w:rPr>
              <w:t>12,100,000</w:t>
            </w:r>
          </w:p>
        </w:tc>
        <w:tc>
          <w:tcPr>
            <w:tcW w:w="72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440" w:type="dxa"/>
            <w:vAlign w:val="bottom"/>
            <w:shd w:val="clear" w:color="auto" w:fill="E7E6E7"/>
          </w:tcPr>
          <w:p>
            <w:pPr>
              <w:spacing w:after="0"/>
              <w:rPr>
                <w:sz w:val="11"/>
                <w:szCs w:val="11"/>
                <w:color w:val="auto"/>
              </w:rPr>
            </w:pPr>
          </w:p>
        </w:tc>
        <w:tc>
          <w:tcPr>
            <w:tcW w:w="12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660" w:type="dxa"/>
            <w:vAlign w:val="bottom"/>
            <w:shd w:val="clear" w:color="auto" w:fill="E7E6E7"/>
          </w:tcPr>
          <w:p>
            <w:pPr>
              <w:spacing w:after="0"/>
              <w:rPr>
                <w:sz w:val="11"/>
                <w:szCs w:val="11"/>
                <w:color w:val="auto"/>
              </w:rPr>
            </w:pPr>
          </w:p>
        </w:tc>
        <w:tc>
          <w:tcPr>
            <w:tcW w:w="140" w:type="dxa"/>
            <w:vAlign w:val="bottom"/>
            <w:shd w:val="clear" w:color="auto" w:fill="E7E6E7"/>
          </w:tcPr>
          <w:p>
            <w:pPr>
              <w:spacing w:after="0"/>
              <w:rPr>
                <w:sz w:val="11"/>
                <w:szCs w:val="11"/>
                <w:color w:val="auto"/>
              </w:rPr>
            </w:pPr>
          </w:p>
        </w:tc>
        <w:tc>
          <w:tcPr>
            <w:tcW w:w="560" w:type="dxa"/>
            <w:vAlign w:val="bottom"/>
            <w:shd w:val="clear" w:color="auto" w:fill="E7E6E7"/>
          </w:tcPr>
          <w:p>
            <w:pPr>
              <w:spacing w:after="0"/>
              <w:rPr>
                <w:sz w:val="11"/>
                <w:szCs w:val="11"/>
                <w:color w:val="auto"/>
              </w:rPr>
            </w:pPr>
          </w:p>
        </w:tc>
        <w:tc>
          <w:tcPr>
            <w:tcW w:w="120" w:type="dxa"/>
            <w:vAlign w:val="bottom"/>
            <w:shd w:val="clear" w:color="auto" w:fill="E7E6E7"/>
          </w:tcPr>
          <w:p>
            <w:pPr>
              <w:spacing w:after="0"/>
              <w:rPr>
                <w:sz w:val="11"/>
                <w:szCs w:val="11"/>
                <w:color w:val="auto"/>
              </w:rPr>
            </w:pPr>
          </w:p>
        </w:tc>
        <w:tc>
          <w:tcPr>
            <w:tcW w:w="540" w:type="dxa"/>
            <w:vAlign w:val="bottom"/>
            <w:shd w:val="clear" w:color="auto" w:fill="E7E6E7"/>
          </w:tcPr>
          <w:p>
            <w:pPr>
              <w:spacing w:after="0"/>
              <w:rPr>
                <w:sz w:val="11"/>
                <w:szCs w:val="11"/>
                <w:color w:val="auto"/>
              </w:rPr>
            </w:pPr>
          </w:p>
        </w:tc>
      </w:tr>
      <w:tr>
        <w:trPr>
          <w:trHeight w:val="151"/>
        </w:trPr>
        <w:tc>
          <w:tcPr>
            <w:tcW w:w="800" w:type="dxa"/>
            <w:vAlign w:val="bottom"/>
          </w:tcPr>
          <w:p>
            <w:pPr>
              <w:spacing w:after="0"/>
              <w:rPr>
                <w:sz w:val="13"/>
                <w:szCs w:val="13"/>
                <w:color w:val="auto"/>
              </w:rPr>
            </w:pPr>
          </w:p>
        </w:tc>
        <w:tc>
          <w:tcPr>
            <w:tcW w:w="820" w:type="dxa"/>
            <w:vAlign w:val="bottom"/>
          </w:tcPr>
          <w:p>
            <w:pPr>
              <w:jc w:val="right"/>
              <w:spacing w:after="0"/>
              <w:rPr>
                <w:sz w:val="20"/>
                <w:szCs w:val="20"/>
                <w:color w:val="auto"/>
              </w:rPr>
            </w:pPr>
            <w:r>
              <w:rPr>
                <w:rFonts w:ascii="Arial" w:cs="Arial" w:eastAsia="Arial" w:hAnsi="Arial"/>
                <w:sz w:val="12"/>
                <w:szCs w:val="12"/>
                <w:color w:val="7B7C80"/>
              </w:rPr>
              <w:t>02/27/2017</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7B7C80"/>
              </w:rPr>
              <w:t>9,856</w:t>
            </w:r>
          </w:p>
        </w:tc>
        <w:tc>
          <w:tcPr>
            <w:tcW w:w="700" w:type="dxa"/>
            <w:vAlign w:val="bottom"/>
          </w:tcPr>
          <w:p>
            <w:pPr>
              <w:jc w:val="right"/>
              <w:ind w:right="199"/>
              <w:spacing w:after="0"/>
              <w:rPr>
                <w:sz w:val="20"/>
                <w:szCs w:val="20"/>
                <w:color w:val="auto"/>
              </w:rPr>
            </w:pPr>
            <w:r>
              <w:rPr>
                <w:rFonts w:ascii="Arial" w:cs="Arial" w:eastAsia="Arial" w:hAnsi="Arial"/>
                <w:sz w:val="12"/>
                <w:szCs w:val="12"/>
                <w:color w:val="7B7C80"/>
              </w:rPr>
              <w:t>39,423</w:t>
            </w:r>
          </w:p>
        </w:tc>
        <w:tc>
          <w:tcPr>
            <w:tcW w:w="560" w:type="dxa"/>
            <w:vAlign w:val="bottom"/>
            <w:gridSpan w:val="2"/>
          </w:tcPr>
          <w:p>
            <w:pPr>
              <w:jc w:val="right"/>
              <w:ind w:right="120"/>
              <w:spacing w:after="0"/>
              <w:rPr>
                <w:sz w:val="20"/>
                <w:szCs w:val="20"/>
                <w:color w:val="auto"/>
              </w:rPr>
            </w:pPr>
            <w:r>
              <w:rPr>
                <w:rFonts w:ascii="Arial" w:cs="Arial" w:eastAsia="Arial" w:hAnsi="Arial"/>
                <w:sz w:val="12"/>
                <w:szCs w:val="12"/>
                <w:color w:val="7B7C80"/>
              </w:rPr>
              <w:t>59,135</w:t>
            </w:r>
          </w:p>
        </w:tc>
        <w:tc>
          <w:tcPr>
            <w:tcW w:w="5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40" w:type="dxa"/>
            <w:vAlign w:val="bottom"/>
          </w:tcPr>
          <w:p>
            <w:pPr>
              <w:jc w:val="right"/>
              <w:spacing w:after="0"/>
              <w:rPr>
                <w:sz w:val="20"/>
                <w:szCs w:val="20"/>
                <w:color w:val="auto"/>
              </w:rPr>
            </w:pPr>
            <w:r>
              <w:rPr>
                <w:rFonts w:ascii="Arial" w:cs="Arial" w:eastAsia="Arial" w:hAnsi="Arial"/>
                <w:sz w:val="12"/>
                <w:szCs w:val="12"/>
                <w:color w:val="7B7C80"/>
              </w:rPr>
              <w:t>$</w:t>
            </w:r>
          </w:p>
        </w:tc>
        <w:tc>
          <w:tcPr>
            <w:tcW w:w="560" w:type="dxa"/>
            <w:vAlign w:val="bottom"/>
          </w:tcPr>
          <w:p>
            <w:pPr>
              <w:jc w:val="right"/>
              <w:spacing w:after="0"/>
              <w:rPr>
                <w:sz w:val="20"/>
                <w:szCs w:val="20"/>
                <w:color w:val="auto"/>
              </w:rPr>
            </w:pPr>
            <w:r>
              <w:rPr>
                <w:rFonts w:ascii="Arial" w:cs="Arial" w:eastAsia="Arial" w:hAnsi="Arial"/>
                <w:sz w:val="12"/>
                <w:szCs w:val="12"/>
                <w:color w:val="7B7C80"/>
              </w:rPr>
              <w:t>62.78</w:t>
            </w: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540" w:type="dxa"/>
            <w:vAlign w:val="bottom"/>
          </w:tcPr>
          <w:p>
            <w:pPr>
              <w:jc w:val="right"/>
              <w:spacing w:after="0"/>
              <w:rPr>
                <w:sz w:val="20"/>
                <w:szCs w:val="20"/>
                <w:color w:val="auto"/>
              </w:rPr>
            </w:pPr>
            <w:r>
              <w:rPr>
                <w:rFonts w:ascii="Arial" w:cs="Arial" w:eastAsia="Arial" w:hAnsi="Arial"/>
                <w:sz w:val="12"/>
                <w:szCs w:val="12"/>
                <w:color w:val="7B7C80"/>
                <w:w w:val="97"/>
              </w:rPr>
              <w:t>2,474,976</w:t>
            </w:r>
          </w:p>
        </w:tc>
      </w:tr>
      <w:tr>
        <w:trPr>
          <w:trHeight w:val="33"/>
        </w:trPr>
        <w:tc>
          <w:tcPr>
            <w:tcW w:w="800" w:type="dxa"/>
            <w:vAlign w:val="bottom"/>
          </w:tcPr>
          <w:p>
            <w:pPr>
              <w:spacing w:after="0"/>
              <w:rPr>
                <w:sz w:val="2"/>
                <w:szCs w:val="2"/>
                <w:color w:val="auto"/>
              </w:rPr>
            </w:pPr>
          </w:p>
        </w:tc>
        <w:tc>
          <w:tcPr>
            <w:tcW w:w="8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40" w:type="dxa"/>
            <w:vAlign w:val="bottom"/>
          </w:tcPr>
          <w:p>
            <w:pPr>
              <w:spacing w:after="0"/>
              <w:rPr>
                <w:sz w:val="2"/>
                <w:szCs w:val="2"/>
                <w:color w:val="auto"/>
              </w:rPr>
            </w:pPr>
          </w:p>
        </w:tc>
        <w:tc>
          <w:tcPr>
            <w:tcW w:w="720" w:type="dxa"/>
            <w:vAlign w:val="bottom"/>
          </w:tcPr>
          <w:p>
            <w:pPr>
              <w:spacing w:after="0"/>
              <w:rPr>
                <w:sz w:val="2"/>
                <w:szCs w:val="2"/>
                <w:color w:val="auto"/>
              </w:rPr>
            </w:pPr>
          </w:p>
        </w:tc>
        <w:tc>
          <w:tcPr>
            <w:tcW w:w="60" w:type="dxa"/>
            <w:vAlign w:val="bottom"/>
          </w:tcPr>
          <w:p>
            <w:pPr>
              <w:spacing w:after="0"/>
              <w:rPr>
                <w:sz w:val="2"/>
                <w:szCs w:val="2"/>
                <w:color w:val="auto"/>
              </w:rPr>
            </w:pPr>
          </w:p>
        </w:tc>
        <w:tc>
          <w:tcPr>
            <w:tcW w:w="720" w:type="dxa"/>
            <w:vAlign w:val="bottom"/>
          </w:tcPr>
          <w:p>
            <w:pPr>
              <w:spacing w:after="0"/>
              <w:rPr>
                <w:sz w:val="2"/>
                <w:szCs w:val="2"/>
                <w:color w:val="auto"/>
              </w:rPr>
            </w:pPr>
          </w:p>
        </w:tc>
        <w:tc>
          <w:tcPr>
            <w:tcW w:w="7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20" w:type="dxa"/>
            <w:vAlign w:val="bottom"/>
          </w:tcPr>
          <w:p>
            <w:pPr>
              <w:spacing w:after="0"/>
              <w:rPr>
                <w:sz w:val="2"/>
                <w:szCs w:val="2"/>
                <w:color w:val="auto"/>
              </w:rPr>
            </w:pPr>
          </w:p>
        </w:tc>
        <w:tc>
          <w:tcPr>
            <w:tcW w:w="520" w:type="dxa"/>
            <w:vAlign w:val="bottom"/>
          </w:tcPr>
          <w:p>
            <w:pPr>
              <w:spacing w:after="0"/>
              <w:rPr>
                <w:sz w:val="2"/>
                <w:szCs w:val="2"/>
                <w:color w:val="auto"/>
              </w:rPr>
            </w:pPr>
          </w:p>
        </w:tc>
        <w:tc>
          <w:tcPr>
            <w:tcW w:w="660" w:type="dxa"/>
            <w:vAlign w:val="bottom"/>
          </w:tcPr>
          <w:p>
            <w:pPr>
              <w:spacing w:after="0"/>
              <w:rPr>
                <w:sz w:val="2"/>
                <w:szCs w:val="2"/>
                <w:color w:val="auto"/>
              </w:rPr>
            </w:pPr>
          </w:p>
        </w:tc>
        <w:tc>
          <w:tcPr>
            <w:tcW w:w="140" w:type="dxa"/>
            <w:vAlign w:val="bottom"/>
          </w:tcPr>
          <w:p>
            <w:pPr>
              <w:spacing w:after="0"/>
              <w:rPr>
                <w:sz w:val="2"/>
                <w:szCs w:val="2"/>
                <w:color w:val="auto"/>
              </w:rPr>
            </w:pPr>
          </w:p>
        </w:tc>
        <w:tc>
          <w:tcPr>
            <w:tcW w:w="560" w:type="dxa"/>
            <w:vAlign w:val="bottom"/>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Pr>
          <w:p>
            <w:pPr>
              <w:spacing w:after="0"/>
              <w:rPr>
                <w:sz w:val="2"/>
                <w:szCs w:val="2"/>
                <w:color w:val="auto"/>
              </w:rPr>
            </w:pPr>
          </w:p>
        </w:tc>
      </w:tr>
      <w:tr>
        <w:trPr>
          <w:trHeight w:val="183"/>
        </w:trPr>
        <w:tc>
          <w:tcPr>
            <w:tcW w:w="800" w:type="dxa"/>
            <w:vAlign w:val="bottom"/>
          </w:tcPr>
          <w:p>
            <w:pPr>
              <w:spacing w:after="0"/>
              <w:rPr>
                <w:sz w:val="15"/>
                <w:szCs w:val="15"/>
                <w:color w:val="auto"/>
              </w:rPr>
            </w:pPr>
          </w:p>
        </w:tc>
        <w:tc>
          <w:tcPr>
            <w:tcW w:w="8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02/27/2017</w:t>
            </w:r>
          </w:p>
        </w:tc>
        <w:tc>
          <w:tcPr>
            <w:tcW w:w="680" w:type="dxa"/>
            <w:vAlign w:val="bottom"/>
            <w:tcBorders>
              <w:bottom w:val="single" w:sz="8" w:color="E7E6E7"/>
            </w:tcBorders>
            <w:shd w:val="clear" w:color="auto" w:fill="E7E6E7"/>
          </w:tcPr>
          <w:p>
            <w:pPr>
              <w:spacing w:after="0"/>
              <w:rPr>
                <w:sz w:val="15"/>
                <w:szCs w:val="15"/>
                <w:color w:val="auto"/>
              </w:rPr>
            </w:pPr>
          </w:p>
        </w:tc>
        <w:tc>
          <w:tcPr>
            <w:tcW w:w="120" w:type="dxa"/>
            <w:vAlign w:val="bottom"/>
            <w:tcBorders>
              <w:bottom w:val="single" w:sz="8" w:color="E7E6E7"/>
            </w:tcBorders>
            <w:shd w:val="clear" w:color="auto" w:fill="E7E6E7"/>
          </w:tcPr>
          <w:p>
            <w:pPr>
              <w:spacing w:after="0"/>
              <w:rPr>
                <w:sz w:val="15"/>
                <w:szCs w:val="15"/>
                <w:color w:val="auto"/>
              </w:rPr>
            </w:pPr>
          </w:p>
        </w:tc>
        <w:tc>
          <w:tcPr>
            <w:tcW w:w="580" w:type="dxa"/>
            <w:vAlign w:val="bottom"/>
            <w:tcBorders>
              <w:bottom w:val="single" w:sz="8" w:color="E7E6E7"/>
            </w:tcBorders>
            <w:shd w:val="clear" w:color="auto" w:fill="E7E6E7"/>
          </w:tcPr>
          <w:p>
            <w:pPr>
              <w:spacing w:after="0"/>
              <w:rPr>
                <w:sz w:val="15"/>
                <w:szCs w:val="15"/>
                <w:color w:val="auto"/>
              </w:rPr>
            </w:pPr>
          </w:p>
        </w:tc>
        <w:tc>
          <w:tcPr>
            <w:tcW w:w="140" w:type="dxa"/>
            <w:vAlign w:val="bottom"/>
            <w:tcBorders>
              <w:bottom w:val="single" w:sz="8" w:color="E7E6E7"/>
            </w:tcBorders>
            <w:shd w:val="clear" w:color="auto" w:fill="E7E6E7"/>
          </w:tcPr>
          <w:p>
            <w:pPr>
              <w:spacing w:after="0"/>
              <w:rPr>
                <w:sz w:val="15"/>
                <w:szCs w:val="15"/>
                <w:color w:val="auto"/>
              </w:rPr>
            </w:pPr>
          </w:p>
        </w:tc>
        <w:tc>
          <w:tcPr>
            <w:tcW w:w="720" w:type="dxa"/>
            <w:vAlign w:val="bottom"/>
            <w:tcBorders>
              <w:bottom w:val="single" w:sz="8" w:color="E7E6E7"/>
            </w:tcBorders>
            <w:shd w:val="clear" w:color="auto" w:fill="E7E6E7"/>
          </w:tcPr>
          <w:p>
            <w:pPr>
              <w:spacing w:after="0"/>
              <w:rPr>
                <w:sz w:val="15"/>
                <w:szCs w:val="15"/>
                <w:color w:val="auto"/>
              </w:rPr>
            </w:pPr>
          </w:p>
        </w:tc>
        <w:tc>
          <w:tcPr>
            <w:tcW w:w="60" w:type="dxa"/>
            <w:vAlign w:val="bottom"/>
            <w:tcBorders>
              <w:bottom w:val="single" w:sz="8" w:color="E7E6E7"/>
            </w:tcBorders>
            <w:shd w:val="clear" w:color="auto" w:fill="E7E6E7"/>
          </w:tcPr>
          <w:p>
            <w:pPr>
              <w:spacing w:after="0"/>
              <w:rPr>
                <w:sz w:val="15"/>
                <w:szCs w:val="15"/>
                <w:color w:val="auto"/>
              </w:rPr>
            </w:pPr>
          </w:p>
        </w:tc>
        <w:tc>
          <w:tcPr>
            <w:tcW w:w="720" w:type="dxa"/>
            <w:vAlign w:val="bottom"/>
            <w:tcBorders>
              <w:bottom w:val="single" w:sz="8" w:color="E7E6E7"/>
            </w:tcBorders>
            <w:shd w:val="clear" w:color="auto" w:fill="E7E6E7"/>
          </w:tcPr>
          <w:p>
            <w:pPr>
              <w:spacing w:after="0"/>
              <w:rPr>
                <w:sz w:val="15"/>
                <w:szCs w:val="15"/>
                <w:color w:val="auto"/>
              </w:rPr>
            </w:pPr>
          </w:p>
        </w:tc>
        <w:tc>
          <w:tcPr>
            <w:tcW w:w="700" w:type="dxa"/>
            <w:vAlign w:val="bottom"/>
            <w:tcBorders>
              <w:bottom w:val="single" w:sz="8" w:color="E7E6E7"/>
            </w:tcBorders>
            <w:shd w:val="clear" w:color="auto" w:fill="E7E6E7"/>
          </w:tcPr>
          <w:p>
            <w:pPr>
              <w:spacing w:after="0"/>
              <w:rPr>
                <w:sz w:val="15"/>
                <w:szCs w:val="15"/>
                <w:color w:val="auto"/>
              </w:rPr>
            </w:pPr>
          </w:p>
        </w:tc>
        <w:tc>
          <w:tcPr>
            <w:tcW w:w="440" w:type="dxa"/>
            <w:vAlign w:val="bottom"/>
            <w:tcBorders>
              <w:bottom w:val="single" w:sz="8" w:color="E7E6E7"/>
            </w:tcBorders>
            <w:shd w:val="clear" w:color="auto" w:fill="E7E6E7"/>
          </w:tcPr>
          <w:p>
            <w:pPr>
              <w:spacing w:after="0"/>
              <w:rPr>
                <w:sz w:val="15"/>
                <w:szCs w:val="15"/>
                <w:color w:val="auto"/>
              </w:rPr>
            </w:pPr>
          </w:p>
        </w:tc>
        <w:tc>
          <w:tcPr>
            <w:tcW w:w="120" w:type="dxa"/>
            <w:vAlign w:val="bottom"/>
            <w:tcBorders>
              <w:bottom w:val="single" w:sz="8" w:color="E7E6E7"/>
            </w:tcBorders>
            <w:shd w:val="clear" w:color="auto" w:fill="E7E6E7"/>
          </w:tcPr>
          <w:p>
            <w:pPr>
              <w:spacing w:after="0"/>
              <w:rPr>
                <w:sz w:val="15"/>
                <w:szCs w:val="15"/>
                <w:color w:val="auto"/>
              </w:rPr>
            </w:pPr>
          </w:p>
        </w:tc>
        <w:tc>
          <w:tcPr>
            <w:tcW w:w="520" w:type="dxa"/>
            <w:vAlign w:val="bottom"/>
            <w:tcBorders>
              <w:bottom w:val="single" w:sz="8" w:color="E7E6E7"/>
            </w:tcBorders>
            <w:shd w:val="clear" w:color="auto" w:fill="E7E6E7"/>
          </w:tcPr>
          <w:p>
            <w:pPr>
              <w:spacing w:after="0"/>
              <w:rPr>
                <w:sz w:val="15"/>
                <w:szCs w:val="15"/>
                <w:color w:val="auto"/>
              </w:rPr>
            </w:pPr>
          </w:p>
        </w:tc>
        <w:tc>
          <w:tcPr>
            <w:tcW w:w="6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161,660</w:t>
            </w:r>
          </w:p>
        </w:tc>
        <w:tc>
          <w:tcPr>
            <w:tcW w:w="1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15.31</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w w:val="97"/>
              </w:rPr>
              <w:t>2,475,015</w:t>
            </w:r>
          </w:p>
        </w:tc>
      </w:tr>
      <w:tr>
        <w:trPr>
          <w:trHeight w:val="129"/>
        </w:trPr>
        <w:tc>
          <w:tcPr>
            <w:tcW w:w="800" w:type="dxa"/>
            <w:vAlign w:val="bottom"/>
            <w:tcBorders>
              <w:top w:val="single" w:sz="8" w:color="7B7C80"/>
            </w:tcBorders>
          </w:tcPr>
          <w:p>
            <w:pPr>
              <w:spacing w:after="0" w:line="129" w:lineRule="exact"/>
              <w:rPr>
                <w:sz w:val="20"/>
                <w:szCs w:val="20"/>
                <w:color w:val="auto"/>
              </w:rPr>
            </w:pPr>
            <w:r>
              <w:rPr>
                <w:rFonts w:ascii="Arial" w:cs="Arial" w:eastAsia="Arial" w:hAnsi="Arial"/>
                <w:sz w:val="12"/>
                <w:szCs w:val="12"/>
                <w:color w:val="7B7C80"/>
              </w:rPr>
              <w:t>Strable</w:t>
            </w:r>
          </w:p>
        </w:tc>
        <w:tc>
          <w:tcPr>
            <w:tcW w:w="820" w:type="dxa"/>
            <w:vAlign w:val="bottom"/>
            <w:tcBorders>
              <w:top w:val="single" w:sz="8" w:color="7B7C80"/>
            </w:tcBorders>
          </w:tcPr>
          <w:p>
            <w:pPr>
              <w:spacing w:after="0"/>
              <w:rPr>
                <w:sz w:val="11"/>
                <w:szCs w:val="11"/>
                <w:color w:val="auto"/>
              </w:rPr>
            </w:pPr>
          </w:p>
        </w:tc>
        <w:tc>
          <w:tcPr>
            <w:tcW w:w="680" w:type="dxa"/>
            <w:vAlign w:val="bottom"/>
            <w:tcBorders>
              <w:top w:val="single" w:sz="8" w:color="7B7C80"/>
            </w:tcBorders>
          </w:tcPr>
          <w:p>
            <w:pPr>
              <w:ind w:left="460"/>
              <w:spacing w:after="0" w:line="129" w:lineRule="exact"/>
              <w:rPr>
                <w:sz w:val="20"/>
                <w:szCs w:val="20"/>
                <w:color w:val="auto"/>
              </w:rPr>
            </w:pPr>
            <w:r>
              <w:rPr>
                <w:rFonts w:ascii="Arial" w:cs="Arial" w:eastAsia="Arial" w:hAnsi="Arial"/>
                <w:sz w:val="12"/>
                <w:szCs w:val="12"/>
                <w:color w:val="7B7C80"/>
                <w:w w:val="99"/>
              </w:rPr>
              <w:t>N/A</w:t>
            </w:r>
          </w:p>
        </w:tc>
        <w:tc>
          <w:tcPr>
            <w:tcW w:w="120" w:type="dxa"/>
            <w:vAlign w:val="bottom"/>
            <w:tcBorders>
              <w:top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Borders>
              <w:top w:val="single" w:sz="8" w:color="7B7C80"/>
            </w:tcBorders>
          </w:tcPr>
          <w:p>
            <w:pPr>
              <w:jc w:val="right"/>
              <w:spacing w:after="0" w:line="129" w:lineRule="exact"/>
              <w:rPr>
                <w:sz w:val="20"/>
                <w:szCs w:val="20"/>
                <w:color w:val="auto"/>
              </w:rPr>
            </w:pPr>
            <w:r>
              <w:rPr>
                <w:rFonts w:ascii="Arial" w:cs="Arial" w:eastAsia="Arial" w:hAnsi="Arial"/>
                <w:sz w:val="12"/>
                <w:szCs w:val="12"/>
                <w:color w:val="7B7C80"/>
              </w:rPr>
              <w:t>843,000</w:t>
            </w:r>
          </w:p>
        </w:tc>
        <w:tc>
          <w:tcPr>
            <w:tcW w:w="140" w:type="dxa"/>
            <w:vAlign w:val="bottom"/>
            <w:tcBorders>
              <w:top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720" w:type="dxa"/>
            <w:vAlign w:val="bottom"/>
            <w:tcBorders>
              <w:top w:val="single" w:sz="8" w:color="7B7C80"/>
            </w:tcBorders>
          </w:tcPr>
          <w:p>
            <w:pPr>
              <w:jc w:val="right"/>
              <w:spacing w:after="0" w:line="129" w:lineRule="exact"/>
              <w:rPr>
                <w:sz w:val="20"/>
                <w:szCs w:val="20"/>
                <w:color w:val="auto"/>
              </w:rPr>
            </w:pPr>
            <w:r>
              <w:rPr>
                <w:rFonts w:ascii="Arial" w:cs="Arial" w:eastAsia="Arial" w:hAnsi="Arial"/>
                <w:sz w:val="12"/>
                <w:szCs w:val="12"/>
                <w:color w:val="7B7C80"/>
              </w:rPr>
              <w:t>3,500,000</w:t>
            </w:r>
          </w:p>
        </w:tc>
        <w:tc>
          <w:tcPr>
            <w:tcW w:w="60" w:type="dxa"/>
            <w:vAlign w:val="bottom"/>
            <w:tcBorders>
              <w:top w:val="single" w:sz="8" w:color="7B7C80"/>
            </w:tcBorders>
          </w:tcPr>
          <w:p>
            <w:pPr>
              <w:spacing w:after="0"/>
              <w:rPr>
                <w:sz w:val="11"/>
                <w:szCs w:val="11"/>
                <w:color w:val="auto"/>
              </w:rPr>
            </w:pPr>
          </w:p>
        </w:tc>
        <w:tc>
          <w:tcPr>
            <w:tcW w:w="720" w:type="dxa"/>
            <w:vAlign w:val="bottom"/>
            <w:tcBorders>
              <w:top w:val="single" w:sz="8" w:color="7B7C80"/>
            </w:tcBorders>
          </w:tcPr>
          <w:p>
            <w:pPr>
              <w:spacing w:after="0"/>
              <w:rPr>
                <w:sz w:val="11"/>
                <w:szCs w:val="11"/>
                <w:color w:val="auto"/>
              </w:rPr>
            </w:pPr>
          </w:p>
        </w:tc>
        <w:tc>
          <w:tcPr>
            <w:tcW w:w="700" w:type="dxa"/>
            <w:vAlign w:val="bottom"/>
            <w:tcBorders>
              <w:top w:val="single" w:sz="8" w:color="7B7C80"/>
            </w:tcBorders>
          </w:tcPr>
          <w:p>
            <w:pPr>
              <w:spacing w:after="0"/>
              <w:rPr>
                <w:sz w:val="11"/>
                <w:szCs w:val="11"/>
                <w:color w:val="auto"/>
              </w:rPr>
            </w:pPr>
          </w:p>
        </w:tc>
        <w:tc>
          <w:tcPr>
            <w:tcW w:w="440" w:type="dxa"/>
            <w:vAlign w:val="bottom"/>
            <w:tcBorders>
              <w:top w:val="single" w:sz="8" w:color="7B7C80"/>
            </w:tcBorders>
          </w:tcPr>
          <w:p>
            <w:pPr>
              <w:spacing w:after="0"/>
              <w:rPr>
                <w:sz w:val="11"/>
                <w:szCs w:val="11"/>
                <w:color w:val="auto"/>
              </w:rPr>
            </w:pPr>
          </w:p>
        </w:tc>
        <w:tc>
          <w:tcPr>
            <w:tcW w:w="120" w:type="dxa"/>
            <w:vAlign w:val="bottom"/>
            <w:tcBorders>
              <w:top w:val="single" w:sz="8" w:color="7B7C80"/>
            </w:tcBorders>
          </w:tcPr>
          <w:p>
            <w:pPr>
              <w:spacing w:after="0"/>
              <w:rPr>
                <w:sz w:val="11"/>
                <w:szCs w:val="11"/>
                <w:color w:val="auto"/>
              </w:rPr>
            </w:pPr>
          </w:p>
        </w:tc>
        <w:tc>
          <w:tcPr>
            <w:tcW w:w="520" w:type="dxa"/>
            <w:vAlign w:val="bottom"/>
            <w:tcBorders>
              <w:top w:val="single" w:sz="8" w:color="7B7C80"/>
            </w:tcBorders>
          </w:tcPr>
          <w:p>
            <w:pPr>
              <w:spacing w:after="0"/>
              <w:rPr>
                <w:sz w:val="11"/>
                <w:szCs w:val="11"/>
                <w:color w:val="auto"/>
              </w:rPr>
            </w:pPr>
          </w:p>
        </w:tc>
        <w:tc>
          <w:tcPr>
            <w:tcW w:w="660" w:type="dxa"/>
            <w:vAlign w:val="bottom"/>
            <w:tcBorders>
              <w:top w:val="single" w:sz="8" w:color="7B7C80"/>
            </w:tcBorders>
          </w:tcPr>
          <w:p>
            <w:pPr>
              <w:spacing w:after="0"/>
              <w:rPr>
                <w:sz w:val="11"/>
                <w:szCs w:val="11"/>
                <w:color w:val="auto"/>
              </w:rPr>
            </w:pPr>
          </w:p>
        </w:tc>
        <w:tc>
          <w:tcPr>
            <w:tcW w:w="140" w:type="dxa"/>
            <w:vAlign w:val="bottom"/>
            <w:tcBorders>
              <w:top w:val="single" w:sz="8" w:color="7B7C80"/>
            </w:tcBorders>
          </w:tcPr>
          <w:p>
            <w:pPr>
              <w:spacing w:after="0"/>
              <w:rPr>
                <w:sz w:val="11"/>
                <w:szCs w:val="11"/>
                <w:color w:val="auto"/>
              </w:rPr>
            </w:pPr>
          </w:p>
        </w:tc>
        <w:tc>
          <w:tcPr>
            <w:tcW w:w="560" w:type="dxa"/>
            <w:vAlign w:val="bottom"/>
            <w:tcBorders>
              <w:top w:val="single" w:sz="8" w:color="7B7C80"/>
            </w:tcBorders>
          </w:tcPr>
          <w:p>
            <w:pPr>
              <w:spacing w:after="0"/>
              <w:rPr>
                <w:sz w:val="11"/>
                <w:szCs w:val="11"/>
                <w:color w:val="auto"/>
              </w:rPr>
            </w:pPr>
          </w:p>
        </w:tc>
        <w:tc>
          <w:tcPr>
            <w:tcW w:w="120" w:type="dxa"/>
            <w:vAlign w:val="bottom"/>
            <w:tcBorders>
              <w:top w:val="single" w:sz="8" w:color="7B7C80"/>
            </w:tcBorders>
          </w:tcPr>
          <w:p>
            <w:pPr>
              <w:spacing w:after="0"/>
              <w:rPr>
                <w:sz w:val="11"/>
                <w:szCs w:val="11"/>
                <w:color w:val="auto"/>
              </w:rPr>
            </w:pPr>
          </w:p>
        </w:tc>
        <w:tc>
          <w:tcPr>
            <w:tcW w:w="540" w:type="dxa"/>
            <w:vAlign w:val="bottom"/>
            <w:tcBorders>
              <w:top w:val="single" w:sz="8" w:color="7B7C80"/>
            </w:tcBorders>
          </w:tcPr>
          <w:p>
            <w:pPr>
              <w:spacing w:after="0"/>
              <w:rPr>
                <w:sz w:val="11"/>
                <w:szCs w:val="11"/>
                <w:color w:val="auto"/>
              </w:rPr>
            </w:pPr>
          </w:p>
        </w:tc>
      </w:tr>
      <w:tr>
        <w:trPr>
          <w:trHeight w:val="163"/>
        </w:trPr>
        <w:tc>
          <w:tcPr>
            <w:tcW w:w="800" w:type="dxa"/>
            <w:vAlign w:val="bottom"/>
          </w:tcPr>
          <w:p>
            <w:pPr>
              <w:spacing w:after="0"/>
              <w:rPr>
                <w:sz w:val="14"/>
                <w:szCs w:val="14"/>
                <w:color w:val="auto"/>
              </w:rPr>
            </w:pPr>
          </w:p>
        </w:tc>
        <w:tc>
          <w:tcPr>
            <w:tcW w:w="8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02/27/2017</w:t>
            </w:r>
          </w:p>
        </w:tc>
        <w:tc>
          <w:tcPr>
            <w:tcW w:w="680" w:type="dxa"/>
            <w:vAlign w:val="bottom"/>
            <w:tcBorders>
              <w:bottom w:val="single" w:sz="8" w:color="E7E6E7"/>
            </w:tcBorders>
            <w:shd w:val="clear" w:color="auto" w:fill="E7E6E7"/>
          </w:tcPr>
          <w:p>
            <w:pPr>
              <w:spacing w:after="0"/>
              <w:rPr>
                <w:sz w:val="14"/>
                <w:szCs w:val="14"/>
                <w:color w:val="auto"/>
              </w:rPr>
            </w:pPr>
          </w:p>
        </w:tc>
        <w:tc>
          <w:tcPr>
            <w:tcW w:w="120" w:type="dxa"/>
            <w:vAlign w:val="bottom"/>
            <w:tcBorders>
              <w:bottom w:val="single" w:sz="8" w:color="E7E6E7"/>
            </w:tcBorders>
            <w:shd w:val="clear" w:color="auto" w:fill="E7E6E7"/>
          </w:tcPr>
          <w:p>
            <w:pPr>
              <w:spacing w:after="0"/>
              <w:rPr>
                <w:sz w:val="14"/>
                <w:szCs w:val="14"/>
                <w:color w:val="auto"/>
              </w:rPr>
            </w:pPr>
          </w:p>
        </w:tc>
        <w:tc>
          <w:tcPr>
            <w:tcW w:w="580" w:type="dxa"/>
            <w:vAlign w:val="bottom"/>
            <w:tcBorders>
              <w:bottom w:val="single" w:sz="8" w:color="E7E6E7"/>
            </w:tcBorders>
            <w:shd w:val="clear" w:color="auto" w:fill="E7E6E7"/>
          </w:tcPr>
          <w:p>
            <w:pPr>
              <w:spacing w:after="0"/>
              <w:rPr>
                <w:sz w:val="14"/>
                <w:szCs w:val="14"/>
                <w:color w:val="auto"/>
              </w:rPr>
            </w:pPr>
          </w:p>
        </w:tc>
        <w:tc>
          <w:tcPr>
            <w:tcW w:w="140" w:type="dxa"/>
            <w:vAlign w:val="bottom"/>
            <w:tcBorders>
              <w:bottom w:val="single" w:sz="8" w:color="E7E6E7"/>
            </w:tcBorders>
            <w:shd w:val="clear" w:color="auto" w:fill="E7E6E7"/>
          </w:tcPr>
          <w:p>
            <w:pPr>
              <w:spacing w:after="0"/>
              <w:rPr>
                <w:sz w:val="14"/>
                <w:szCs w:val="14"/>
                <w:color w:val="auto"/>
              </w:rPr>
            </w:pPr>
          </w:p>
        </w:tc>
        <w:tc>
          <w:tcPr>
            <w:tcW w:w="720" w:type="dxa"/>
            <w:vAlign w:val="bottom"/>
            <w:tcBorders>
              <w:bottom w:val="single" w:sz="8" w:color="E7E6E7"/>
            </w:tcBorders>
            <w:shd w:val="clear" w:color="auto" w:fill="E7E6E7"/>
          </w:tcPr>
          <w:p>
            <w:pPr>
              <w:spacing w:after="0"/>
              <w:rPr>
                <w:sz w:val="14"/>
                <w:szCs w:val="14"/>
                <w:color w:val="auto"/>
              </w:rPr>
            </w:pPr>
          </w:p>
        </w:tc>
        <w:tc>
          <w:tcPr>
            <w:tcW w:w="60" w:type="dxa"/>
            <w:vAlign w:val="bottom"/>
            <w:tcBorders>
              <w:bottom w:val="single" w:sz="8" w:color="E7E6E7"/>
            </w:tcBorders>
            <w:shd w:val="clear" w:color="auto" w:fill="E7E6E7"/>
          </w:tcPr>
          <w:p>
            <w:pPr>
              <w:spacing w:after="0"/>
              <w:rPr>
                <w:sz w:val="14"/>
                <w:szCs w:val="14"/>
                <w:color w:val="auto"/>
              </w:rPr>
            </w:pPr>
          </w:p>
        </w:tc>
        <w:tc>
          <w:tcPr>
            <w:tcW w:w="7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3,077</w:t>
            </w:r>
          </w:p>
        </w:tc>
        <w:tc>
          <w:tcPr>
            <w:tcW w:w="700" w:type="dxa"/>
            <w:vAlign w:val="bottom"/>
            <w:tcBorders>
              <w:bottom w:val="single" w:sz="8" w:color="E7E6E7"/>
            </w:tcBorders>
            <w:shd w:val="clear" w:color="auto" w:fill="E7E6E7"/>
          </w:tcPr>
          <w:p>
            <w:pPr>
              <w:jc w:val="right"/>
              <w:ind w:right="199"/>
              <w:spacing w:after="0"/>
              <w:rPr>
                <w:sz w:val="20"/>
                <w:szCs w:val="20"/>
                <w:color w:val="auto"/>
              </w:rPr>
            </w:pPr>
            <w:r>
              <w:rPr>
                <w:rFonts w:ascii="Arial" w:cs="Arial" w:eastAsia="Arial" w:hAnsi="Arial"/>
                <w:sz w:val="12"/>
                <w:szCs w:val="12"/>
                <w:color w:val="7B7C80"/>
              </w:rPr>
              <w:t>12,309</w:t>
            </w:r>
          </w:p>
        </w:tc>
        <w:tc>
          <w:tcPr>
            <w:tcW w:w="560" w:type="dxa"/>
            <w:vAlign w:val="bottom"/>
            <w:tcBorders>
              <w:bottom w:val="single" w:sz="8" w:color="E7E6E7"/>
            </w:tcBorders>
            <w:gridSpan w:val="2"/>
            <w:shd w:val="clear" w:color="auto" w:fill="E7E6E7"/>
          </w:tcPr>
          <w:p>
            <w:pPr>
              <w:jc w:val="right"/>
              <w:ind w:right="120"/>
              <w:spacing w:after="0"/>
              <w:rPr>
                <w:sz w:val="20"/>
                <w:szCs w:val="20"/>
                <w:color w:val="auto"/>
              </w:rPr>
            </w:pPr>
            <w:r>
              <w:rPr>
                <w:rFonts w:ascii="Arial" w:cs="Arial" w:eastAsia="Arial" w:hAnsi="Arial"/>
                <w:sz w:val="12"/>
                <w:szCs w:val="12"/>
                <w:color w:val="7B7C80"/>
              </w:rPr>
              <w:t>18,464</w:t>
            </w:r>
          </w:p>
        </w:tc>
        <w:tc>
          <w:tcPr>
            <w:tcW w:w="520" w:type="dxa"/>
            <w:vAlign w:val="bottom"/>
            <w:tcBorders>
              <w:bottom w:val="single" w:sz="8" w:color="E7E6E7"/>
            </w:tcBorders>
            <w:shd w:val="clear" w:color="auto" w:fill="E7E6E7"/>
          </w:tcPr>
          <w:p>
            <w:pPr>
              <w:spacing w:after="0"/>
              <w:rPr>
                <w:sz w:val="14"/>
                <w:szCs w:val="14"/>
                <w:color w:val="auto"/>
              </w:rPr>
            </w:pPr>
          </w:p>
        </w:tc>
        <w:tc>
          <w:tcPr>
            <w:tcW w:w="660" w:type="dxa"/>
            <w:vAlign w:val="bottom"/>
            <w:tcBorders>
              <w:bottom w:val="single" w:sz="8" w:color="E7E6E7"/>
            </w:tcBorders>
            <w:shd w:val="clear" w:color="auto" w:fill="E7E6E7"/>
          </w:tcPr>
          <w:p>
            <w:pPr>
              <w:spacing w:after="0"/>
              <w:rPr>
                <w:sz w:val="14"/>
                <w:szCs w:val="14"/>
                <w:color w:val="auto"/>
              </w:rPr>
            </w:pPr>
          </w:p>
        </w:tc>
        <w:tc>
          <w:tcPr>
            <w:tcW w:w="1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62.78</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772,759</w:t>
            </w:r>
          </w:p>
        </w:tc>
      </w:tr>
      <w:tr>
        <w:trPr>
          <w:trHeight w:val="151"/>
        </w:trPr>
        <w:tc>
          <w:tcPr>
            <w:tcW w:w="800" w:type="dxa"/>
            <w:vAlign w:val="bottom"/>
          </w:tcPr>
          <w:p>
            <w:pPr>
              <w:spacing w:after="0"/>
              <w:rPr>
                <w:sz w:val="13"/>
                <w:szCs w:val="13"/>
                <w:color w:val="auto"/>
              </w:rPr>
            </w:pPr>
          </w:p>
        </w:tc>
        <w:tc>
          <w:tcPr>
            <w:tcW w:w="820" w:type="dxa"/>
            <w:vAlign w:val="bottom"/>
          </w:tcPr>
          <w:p>
            <w:pPr>
              <w:jc w:val="right"/>
              <w:spacing w:after="0"/>
              <w:rPr>
                <w:sz w:val="20"/>
                <w:szCs w:val="20"/>
                <w:color w:val="auto"/>
              </w:rPr>
            </w:pPr>
            <w:r>
              <w:rPr>
                <w:rFonts w:ascii="Arial" w:cs="Arial" w:eastAsia="Arial" w:hAnsi="Arial"/>
                <w:sz w:val="12"/>
                <w:szCs w:val="12"/>
                <w:color w:val="7B7C80"/>
              </w:rPr>
              <w:t>02/27/2017</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7B7C80"/>
              </w:rPr>
              <w:t>50,475</w:t>
            </w:r>
          </w:p>
        </w:tc>
        <w:tc>
          <w:tcPr>
            <w:tcW w:w="140" w:type="dxa"/>
            <w:vAlign w:val="bottom"/>
          </w:tcPr>
          <w:p>
            <w:pPr>
              <w:jc w:val="right"/>
              <w:spacing w:after="0"/>
              <w:rPr>
                <w:sz w:val="20"/>
                <w:szCs w:val="20"/>
                <w:color w:val="auto"/>
              </w:rPr>
            </w:pPr>
            <w:r>
              <w:rPr>
                <w:rFonts w:ascii="Arial" w:cs="Arial" w:eastAsia="Arial" w:hAnsi="Arial"/>
                <w:sz w:val="12"/>
                <w:szCs w:val="12"/>
                <w:color w:val="7B7C80"/>
              </w:rPr>
              <w:t>$</w:t>
            </w:r>
          </w:p>
        </w:tc>
        <w:tc>
          <w:tcPr>
            <w:tcW w:w="560" w:type="dxa"/>
            <w:vAlign w:val="bottom"/>
          </w:tcPr>
          <w:p>
            <w:pPr>
              <w:jc w:val="right"/>
              <w:spacing w:after="0"/>
              <w:rPr>
                <w:sz w:val="20"/>
                <w:szCs w:val="20"/>
                <w:color w:val="auto"/>
              </w:rPr>
            </w:pPr>
            <w:r>
              <w:rPr>
                <w:rFonts w:ascii="Arial" w:cs="Arial" w:eastAsia="Arial" w:hAnsi="Arial"/>
                <w:sz w:val="12"/>
                <w:szCs w:val="12"/>
                <w:color w:val="7B7C80"/>
              </w:rPr>
              <w:t>15.31</w:t>
            </w: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540" w:type="dxa"/>
            <w:vAlign w:val="bottom"/>
          </w:tcPr>
          <w:p>
            <w:pPr>
              <w:jc w:val="right"/>
              <w:spacing w:after="0"/>
              <w:rPr>
                <w:sz w:val="20"/>
                <w:szCs w:val="20"/>
                <w:color w:val="auto"/>
              </w:rPr>
            </w:pPr>
            <w:r>
              <w:rPr>
                <w:rFonts w:ascii="Arial" w:cs="Arial" w:eastAsia="Arial" w:hAnsi="Arial"/>
                <w:sz w:val="12"/>
                <w:szCs w:val="12"/>
                <w:color w:val="7B7C80"/>
              </w:rPr>
              <w:t>772,772</w:t>
            </w:r>
          </w:p>
        </w:tc>
      </w:tr>
      <w:tr>
        <w:trPr>
          <w:trHeight w:val="33"/>
        </w:trPr>
        <w:tc>
          <w:tcPr>
            <w:tcW w:w="800" w:type="dxa"/>
            <w:vAlign w:val="bottom"/>
            <w:tcBorders>
              <w:bottom w:val="single" w:sz="8" w:color="7B7C80"/>
            </w:tcBorders>
          </w:tcPr>
          <w:p>
            <w:pPr>
              <w:spacing w:after="0"/>
              <w:rPr>
                <w:sz w:val="2"/>
                <w:szCs w:val="2"/>
                <w:color w:val="auto"/>
              </w:rPr>
            </w:pPr>
          </w:p>
        </w:tc>
        <w:tc>
          <w:tcPr>
            <w:tcW w:w="820" w:type="dxa"/>
            <w:vAlign w:val="bottom"/>
            <w:tcBorders>
              <w:bottom w:val="single" w:sz="8" w:color="7B7C80"/>
            </w:tcBorders>
          </w:tcPr>
          <w:p>
            <w:pPr>
              <w:spacing w:after="0"/>
              <w:rPr>
                <w:sz w:val="2"/>
                <w:szCs w:val="2"/>
                <w:color w:val="auto"/>
              </w:rPr>
            </w:pPr>
          </w:p>
        </w:tc>
        <w:tc>
          <w:tcPr>
            <w:tcW w:w="68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140" w:type="dxa"/>
            <w:vAlign w:val="bottom"/>
            <w:tcBorders>
              <w:bottom w:val="single" w:sz="8" w:color="7B7C80"/>
            </w:tcBorders>
          </w:tcPr>
          <w:p>
            <w:pPr>
              <w:spacing w:after="0"/>
              <w:rPr>
                <w:sz w:val="2"/>
                <w:szCs w:val="2"/>
                <w:color w:val="auto"/>
              </w:rPr>
            </w:pPr>
          </w:p>
        </w:tc>
        <w:tc>
          <w:tcPr>
            <w:tcW w:w="720" w:type="dxa"/>
            <w:vAlign w:val="bottom"/>
            <w:tcBorders>
              <w:bottom w:val="single" w:sz="8" w:color="7B7C80"/>
            </w:tcBorders>
          </w:tcPr>
          <w:p>
            <w:pPr>
              <w:spacing w:after="0"/>
              <w:rPr>
                <w:sz w:val="2"/>
                <w:szCs w:val="2"/>
                <w:color w:val="auto"/>
              </w:rPr>
            </w:pPr>
          </w:p>
        </w:tc>
        <w:tc>
          <w:tcPr>
            <w:tcW w:w="60" w:type="dxa"/>
            <w:vAlign w:val="bottom"/>
            <w:tcBorders>
              <w:bottom w:val="single" w:sz="8" w:color="7B7C80"/>
            </w:tcBorders>
          </w:tcPr>
          <w:p>
            <w:pPr>
              <w:spacing w:after="0"/>
              <w:rPr>
                <w:sz w:val="2"/>
                <w:szCs w:val="2"/>
                <w:color w:val="auto"/>
              </w:rPr>
            </w:pPr>
          </w:p>
        </w:tc>
        <w:tc>
          <w:tcPr>
            <w:tcW w:w="720" w:type="dxa"/>
            <w:vAlign w:val="bottom"/>
            <w:tcBorders>
              <w:bottom w:val="single" w:sz="8" w:color="7B7C80"/>
            </w:tcBorders>
          </w:tcPr>
          <w:p>
            <w:pPr>
              <w:spacing w:after="0"/>
              <w:rPr>
                <w:sz w:val="2"/>
                <w:szCs w:val="2"/>
                <w:color w:val="auto"/>
              </w:rPr>
            </w:pPr>
          </w:p>
        </w:tc>
        <w:tc>
          <w:tcPr>
            <w:tcW w:w="70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520" w:type="dxa"/>
            <w:vAlign w:val="bottom"/>
            <w:tcBorders>
              <w:bottom w:val="single" w:sz="8" w:color="7B7C80"/>
            </w:tcBorders>
          </w:tcPr>
          <w:p>
            <w:pPr>
              <w:spacing w:after="0"/>
              <w:rPr>
                <w:sz w:val="2"/>
                <w:szCs w:val="2"/>
                <w:color w:val="auto"/>
              </w:rPr>
            </w:pPr>
          </w:p>
        </w:tc>
        <w:tc>
          <w:tcPr>
            <w:tcW w:w="660" w:type="dxa"/>
            <w:vAlign w:val="bottom"/>
            <w:tcBorders>
              <w:bottom w:val="single" w:sz="8" w:color="7B7C80"/>
            </w:tcBorders>
          </w:tcPr>
          <w:p>
            <w:pPr>
              <w:spacing w:after="0"/>
              <w:rPr>
                <w:sz w:val="2"/>
                <w:szCs w:val="2"/>
                <w:color w:val="auto"/>
              </w:rPr>
            </w:pPr>
          </w:p>
        </w:tc>
        <w:tc>
          <w:tcPr>
            <w:tcW w:w="14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r>
      <w:tr>
        <w:trPr>
          <w:trHeight w:val="129"/>
        </w:trPr>
        <w:tc>
          <w:tcPr>
            <w:tcW w:w="800" w:type="dxa"/>
            <w:vAlign w:val="bottom"/>
          </w:tcPr>
          <w:p>
            <w:pPr>
              <w:spacing w:after="0" w:line="129" w:lineRule="exact"/>
              <w:rPr>
                <w:sz w:val="20"/>
                <w:szCs w:val="20"/>
                <w:color w:val="auto"/>
              </w:rPr>
            </w:pPr>
            <w:r>
              <w:rPr>
                <w:rFonts w:ascii="Arial" w:cs="Arial" w:eastAsia="Arial" w:hAnsi="Arial"/>
                <w:sz w:val="12"/>
                <w:szCs w:val="12"/>
                <w:color w:val="7B7C80"/>
              </w:rPr>
              <w:t>Everett</w:t>
            </w:r>
          </w:p>
        </w:tc>
        <w:tc>
          <w:tcPr>
            <w:tcW w:w="820" w:type="dxa"/>
            <w:vAlign w:val="bottom"/>
            <w:shd w:val="clear" w:color="auto" w:fill="E7E6E7"/>
          </w:tcPr>
          <w:p>
            <w:pPr>
              <w:spacing w:after="0"/>
              <w:rPr>
                <w:sz w:val="11"/>
                <w:szCs w:val="11"/>
                <w:color w:val="auto"/>
              </w:rPr>
            </w:pPr>
          </w:p>
        </w:tc>
        <w:tc>
          <w:tcPr>
            <w:tcW w:w="680" w:type="dxa"/>
            <w:vAlign w:val="bottom"/>
            <w:shd w:val="clear" w:color="auto" w:fill="E7E6E7"/>
          </w:tcPr>
          <w:p>
            <w:pPr>
              <w:ind w:left="460"/>
              <w:spacing w:after="0" w:line="129" w:lineRule="exact"/>
              <w:rPr>
                <w:sz w:val="20"/>
                <w:szCs w:val="20"/>
                <w:color w:val="auto"/>
              </w:rPr>
            </w:pPr>
            <w:r>
              <w:rPr>
                <w:rFonts w:ascii="Arial" w:cs="Arial" w:eastAsia="Arial" w:hAnsi="Arial"/>
                <w:sz w:val="12"/>
                <w:szCs w:val="12"/>
                <w:color w:val="7B7C80"/>
                <w:w w:val="99"/>
              </w:rPr>
              <w:t>N/A</w:t>
            </w:r>
          </w:p>
        </w:tc>
        <w:tc>
          <w:tcPr>
            <w:tcW w:w="1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529,500</w:t>
            </w:r>
          </w:p>
        </w:tc>
        <w:tc>
          <w:tcPr>
            <w:tcW w:w="1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7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3,500,000</w:t>
            </w:r>
          </w:p>
        </w:tc>
        <w:tc>
          <w:tcPr>
            <w:tcW w:w="60" w:type="dxa"/>
            <w:vAlign w:val="bottom"/>
            <w:shd w:val="clear" w:color="auto" w:fill="E7E6E7"/>
          </w:tcPr>
          <w:p>
            <w:pPr>
              <w:spacing w:after="0"/>
              <w:rPr>
                <w:sz w:val="11"/>
                <w:szCs w:val="11"/>
                <w:color w:val="auto"/>
              </w:rPr>
            </w:pPr>
          </w:p>
        </w:tc>
        <w:tc>
          <w:tcPr>
            <w:tcW w:w="72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440" w:type="dxa"/>
            <w:vAlign w:val="bottom"/>
            <w:shd w:val="clear" w:color="auto" w:fill="E7E6E7"/>
          </w:tcPr>
          <w:p>
            <w:pPr>
              <w:spacing w:after="0"/>
              <w:rPr>
                <w:sz w:val="11"/>
                <w:szCs w:val="11"/>
                <w:color w:val="auto"/>
              </w:rPr>
            </w:pPr>
          </w:p>
        </w:tc>
        <w:tc>
          <w:tcPr>
            <w:tcW w:w="12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660" w:type="dxa"/>
            <w:vAlign w:val="bottom"/>
            <w:shd w:val="clear" w:color="auto" w:fill="E7E6E7"/>
          </w:tcPr>
          <w:p>
            <w:pPr>
              <w:spacing w:after="0"/>
              <w:rPr>
                <w:sz w:val="11"/>
                <w:szCs w:val="11"/>
                <w:color w:val="auto"/>
              </w:rPr>
            </w:pPr>
          </w:p>
        </w:tc>
        <w:tc>
          <w:tcPr>
            <w:tcW w:w="140" w:type="dxa"/>
            <w:vAlign w:val="bottom"/>
            <w:shd w:val="clear" w:color="auto" w:fill="E7E6E7"/>
          </w:tcPr>
          <w:p>
            <w:pPr>
              <w:spacing w:after="0"/>
              <w:rPr>
                <w:sz w:val="11"/>
                <w:szCs w:val="11"/>
                <w:color w:val="auto"/>
              </w:rPr>
            </w:pPr>
          </w:p>
        </w:tc>
        <w:tc>
          <w:tcPr>
            <w:tcW w:w="560" w:type="dxa"/>
            <w:vAlign w:val="bottom"/>
            <w:shd w:val="clear" w:color="auto" w:fill="E7E6E7"/>
          </w:tcPr>
          <w:p>
            <w:pPr>
              <w:spacing w:after="0"/>
              <w:rPr>
                <w:sz w:val="11"/>
                <w:szCs w:val="11"/>
                <w:color w:val="auto"/>
              </w:rPr>
            </w:pPr>
          </w:p>
        </w:tc>
        <w:tc>
          <w:tcPr>
            <w:tcW w:w="120" w:type="dxa"/>
            <w:vAlign w:val="bottom"/>
            <w:shd w:val="clear" w:color="auto" w:fill="E7E6E7"/>
          </w:tcPr>
          <w:p>
            <w:pPr>
              <w:spacing w:after="0"/>
              <w:rPr>
                <w:sz w:val="11"/>
                <w:szCs w:val="11"/>
                <w:color w:val="auto"/>
              </w:rPr>
            </w:pPr>
          </w:p>
        </w:tc>
        <w:tc>
          <w:tcPr>
            <w:tcW w:w="540" w:type="dxa"/>
            <w:vAlign w:val="bottom"/>
            <w:shd w:val="clear" w:color="auto" w:fill="E7E6E7"/>
          </w:tcPr>
          <w:p>
            <w:pPr>
              <w:spacing w:after="0"/>
              <w:rPr>
                <w:sz w:val="11"/>
                <w:szCs w:val="11"/>
                <w:color w:val="auto"/>
              </w:rPr>
            </w:pPr>
          </w:p>
        </w:tc>
      </w:tr>
      <w:tr>
        <w:trPr>
          <w:trHeight w:val="151"/>
        </w:trPr>
        <w:tc>
          <w:tcPr>
            <w:tcW w:w="800" w:type="dxa"/>
            <w:vAlign w:val="bottom"/>
          </w:tcPr>
          <w:p>
            <w:pPr>
              <w:spacing w:after="0"/>
              <w:rPr>
                <w:sz w:val="13"/>
                <w:szCs w:val="13"/>
                <w:color w:val="auto"/>
              </w:rPr>
            </w:pPr>
          </w:p>
        </w:tc>
        <w:tc>
          <w:tcPr>
            <w:tcW w:w="820" w:type="dxa"/>
            <w:vAlign w:val="bottom"/>
          </w:tcPr>
          <w:p>
            <w:pPr>
              <w:jc w:val="right"/>
              <w:spacing w:after="0"/>
              <w:rPr>
                <w:sz w:val="20"/>
                <w:szCs w:val="20"/>
                <w:color w:val="auto"/>
              </w:rPr>
            </w:pPr>
            <w:r>
              <w:rPr>
                <w:rFonts w:ascii="Arial" w:cs="Arial" w:eastAsia="Arial" w:hAnsi="Arial"/>
                <w:sz w:val="12"/>
                <w:szCs w:val="12"/>
                <w:color w:val="7B7C80"/>
              </w:rPr>
              <w:t>02/27/2017</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7B7C80"/>
              </w:rPr>
              <w:t>2,636</w:t>
            </w:r>
          </w:p>
        </w:tc>
        <w:tc>
          <w:tcPr>
            <w:tcW w:w="700" w:type="dxa"/>
            <w:vAlign w:val="bottom"/>
          </w:tcPr>
          <w:p>
            <w:pPr>
              <w:jc w:val="right"/>
              <w:ind w:right="199"/>
              <w:spacing w:after="0"/>
              <w:rPr>
                <w:sz w:val="20"/>
                <w:szCs w:val="20"/>
                <w:color w:val="auto"/>
              </w:rPr>
            </w:pPr>
            <w:r>
              <w:rPr>
                <w:rFonts w:ascii="Arial" w:cs="Arial" w:eastAsia="Arial" w:hAnsi="Arial"/>
                <w:sz w:val="12"/>
                <w:szCs w:val="12"/>
                <w:color w:val="7B7C80"/>
              </w:rPr>
              <w:t>10,543</w:t>
            </w:r>
          </w:p>
        </w:tc>
        <w:tc>
          <w:tcPr>
            <w:tcW w:w="560" w:type="dxa"/>
            <w:vAlign w:val="bottom"/>
            <w:gridSpan w:val="2"/>
          </w:tcPr>
          <w:p>
            <w:pPr>
              <w:jc w:val="right"/>
              <w:ind w:right="120"/>
              <w:spacing w:after="0"/>
              <w:rPr>
                <w:sz w:val="20"/>
                <w:szCs w:val="20"/>
                <w:color w:val="auto"/>
              </w:rPr>
            </w:pPr>
            <w:r>
              <w:rPr>
                <w:rFonts w:ascii="Arial" w:cs="Arial" w:eastAsia="Arial" w:hAnsi="Arial"/>
                <w:sz w:val="12"/>
                <w:szCs w:val="12"/>
                <w:color w:val="7B7C80"/>
              </w:rPr>
              <w:t>15,815</w:t>
            </w:r>
          </w:p>
        </w:tc>
        <w:tc>
          <w:tcPr>
            <w:tcW w:w="5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40" w:type="dxa"/>
            <w:vAlign w:val="bottom"/>
          </w:tcPr>
          <w:p>
            <w:pPr>
              <w:jc w:val="right"/>
              <w:spacing w:after="0"/>
              <w:rPr>
                <w:sz w:val="20"/>
                <w:szCs w:val="20"/>
                <w:color w:val="auto"/>
              </w:rPr>
            </w:pPr>
            <w:r>
              <w:rPr>
                <w:rFonts w:ascii="Arial" w:cs="Arial" w:eastAsia="Arial" w:hAnsi="Arial"/>
                <w:sz w:val="12"/>
                <w:szCs w:val="12"/>
                <w:color w:val="7B7C80"/>
              </w:rPr>
              <w:t>$</w:t>
            </w:r>
          </w:p>
        </w:tc>
        <w:tc>
          <w:tcPr>
            <w:tcW w:w="560" w:type="dxa"/>
            <w:vAlign w:val="bottom"/>
          </w:tcPr>
          <w:p>
            <w:pPr>
              <w:jc w:val="right"/>
              <w:spacing w:after="0"/>
              <w:rPr>
                <w:sz w:val="20"/>
                <w:szCs w:val="20"/>
                <w:color w:val="auto"/>
              </w:rPr>
            </w:pPr>
            <w:r>
              <w:rPr>
                <w:rFonts w:ascii="Arial" w:cs="Arial" w:eastAsia="Arial" w:hAnsi="Arial"/>
                <w:sz w:val="12"/>
                <w:szCs w:val="12"/>
                <w:color w:val="7B7C80"/>
              </w:rPr>
              <w:t>62.78</w:t>
            </w: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540" w:type="dxa"/>
            <w:vAlign w:val="bottom"/>
          </w:tcPr>
          <w:p>
            <w:pPr>
              <w:jc w:val="right"/>
              <w:spacing w:after="0"/>
              <w:rPr>
                <w:sz w:val="20"/>
                <w:szCs w:val="20"/>
                <w:color w:val="auto"/>
              </w:rPr>
            </w:pPr>
            <w:r>
              <w:rPr>
                <w:rFonts w:ascii="Arial" w:cs="Arial" w:eastAsia="Arial" w:hAnsi="Arial"/>
                <w:sz w:val="12"/>
                <w:szCs w:val="12"/>
                <w:color w:val="7B7C80"/>
              </w:rPr>
              <w:t>661,890</w:t>
            </w:r>
          </w:p>
        </w:tc>
      </w:tr>
      <w:tr>
        <w:trPr>
          <w:trHeight w:val="33"/>
        </w:trPr>
        <w:tc>
          <w:tcPr>
            <w:tcW w:w="800" w:type="dxa"/>
            <w:vAlign w:val="bottom"/>
          </w:tcPr>
          <w:p>
            <w:pPr>
              <w:spacing w:after="0"/>
              <w:rPr>
                <w:sz w:val="2"/>
                <w:szCs w:val="2"/>
                <w:color w:val="auto"/>
              </w:rPr>
            </w:pPr>
          </w:p>
        </w:tc>
        <w:tc>
          <w:tcPr>
            <w:tcW w:w="8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40" w:type="dxa"/>
            <w:vAlign w:val="bottom"/>
          </w:tcPr>
          <w:p>
            <w:pPr>
              <w:spacing w:after="0"/>
              <w:rPr>
                <w:sz w:val="2"/>
                <w:szCs w:val="2"/>
                <w:color w:val="auto"/>
              </w:rPr>
            </w:pPr>
          </w:p>
        </w:tc>
        <w:tc>
          <w:tcPr>
            <w:tcW w:w="720" w:type="dxa"/>
            <w:vAlign w:val="bottom"/>
          </w:tcPr>
          <w:p>
            <w:pPr>
              <w:spacing w:after="0"/>
              <w:rPr>
                <w:sz w:val="2"/>
                <w:szCs w:val="2"/>
                <w:color w:val="auto"/>
              </w:rPr>
            </w:pPr>
          </w:p>
        </w:tc>
        <w:tc>
          <w:tcPr>
            <w:tcW w:w="60" w:type="dxa"/>
            <w:vAlign w:val="bottom"/>
          </w:tcPr>
          <w:p>
            <w:pPr>
              <w:spacing w:after="0"/>
              <w:rPr>
                <w:sz w:val="2"/>
                <w:szCs w:val="2"/>
                <w:color w:val="auto"/>
              </w:rPr>
            </w:pPr>
          </w:p>
        </w:tc>
        <w:tc>
          <w:tcPr>
            <w:tcW w:w="720" w:type="dxa"/>
            <w:vAlign w:val="bottom"/>
          </w:tcPr>
          <w:p>
            <w:pPr>
              <w:spacing w:after="0"/>
              <w:rPr>
                <w:sz w:val="2"/>
                <w:szCs w:val="2"/>
                <w:color w:val="auto"/>
              </w:rPr>
            </w:pPr>
          </w:p>
        </w:tc>
        <w:tc>
          <w:tcPr>
            <w:tcW w:w="7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20" w:type="dxa"/>
            <w:vAlign w:val="bottom"/>
          </w:tcPr>
          <w:p>
            <w:pPr>
              <w:spacing w:after="0"/>
              <w:rPr>
                <w:sz w:val="2"/>
                <w:szCs w:val="2"/>
                <w:color w:val="auto"/>
              </w:rPr>
            </w:pPr>
          </w:p>
        </w:tc>
        <w:tc>
          <w:tcPr>
            <w:tcW w:w="520" w:type="dxa"/>
            <w:vAlign w:val="bottom"/>
          </w:tcPr>
          <w:p>
            <w:pPr>
              <w:spacing w:after="0"/>
              <w:rPr>
                <w:sz w:val="2"/>
                <w:szCs w:val="2"/>
                <w:color w:val="auto"/>
              </w:rPr>
            </w:pPr>
          </w:p>
        </w:tc>
        <w:tc>
          <w:tcPr>
            <w:tcW w:w="660" w:type="dxa"/>
            <w:vAlign w:val="bottom"/>
          </w:tcPr>
          <w:p>
            <w:pPr>
              <w:spacing w:after="0"/>
              <w:rPr>
                <w:sz w:val="2"/>
                <w:szCs w:val="2"/>
                <w:color w:val="auto"/>
              </w:rPr>
            </w:pPr>
          </w:p>
        </w:tc>
        <w:tc>
          <w:tcPr>
            <w:tcW w:w="140" w:type="dxa"/>
            <w:vAlign w:val="bottom"/>
          </w:tcPr>
          <w:p>
            <w:pPr>
              <w:spacing w:after="0"/>
              <w:rPr>
                <w:sz w:val="2"/>
                <w:szCs w:val="2"/>
                <w:color w:val="auto"/>
              </w:rPr>
            </w:pPr>
          </w:p>
        </w:tc>
        <w:tc>
          <w:tcPr>
            <w:tcW w:w="560" w:type="dxa"/>
            <w:vAlign w:val="bottom"/>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Pr>
          <w:p>
            <w:pPr>
              <w:spacing w:after="0"/>
              <w:rPr>
                <w:sz w:val="2"/>
                <w:szCs w:val="2"/>
                <w:color w:val="auto"/>
              </w:rPr>
            </w:pPr>
          </w:p>
        </w:tc>
      </w:tr>
      <w:tr>
        <w:trPr>
          <w:trHeight w:val="183"/>
        </w:trPr>
        <w:tc>
          <w:tcPr>
            <w:tcW w:w="800" w:type="dxa"/>
            <w:vAlign w:val="bottom"/>
          </w:tcPr>
          <w:p>
            <w:pPr>
              <w:spacing w:after="0"/>
              <w:rPr>
                <w:sz w:val="15"/>
                <w:szCs w:val="15"/>
                <w:color w:val="auto"/>
              </w:rPr>
            </w:pPr>
          </w:p>
        </w:tc>
        <w:tc>
          <w:tcPr>
            <w:tcW w:w="8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02/27/2017</w:t>
            </w:r>
          </w:p>
        </w:tc>
        <w:tc>
          <w:tcPr>
            <w:tcW w:w="680" w:type="dxa"/>
            <w:vAlign w:val="bottom"/>
            <w:tcBorders>
              <w:bottom w:val="single" w:sz="8" w:color="E7E6E7"/>
            </w:tcBorders>
            <w:shd w:val="clear" w:color="auto" w:fill="E7E6E7"/>
          </w:tcPr>
          <w:p>
            <w:pPr>
              <w:spacing w:after="0"/>
              <w:rPr>
                <w:sz w:val="15"/>
                <w:szCs w:val="15"/>
                <w:color w:val="auto"/>
              </w:rPr>
            </w:pPr>
          </w:p>
        </w:tc>
        <w:tc>
          <w:tcPr>
            <w:tcW w:w="120" w:type="dxa"/>
            <w:vAlign w:val="bottom"/>
            <w:tcBorders>
              <w:bottom w:val="single" w:sz="8" w:color="E7E6E7"/>
            </w:tcBorders>
            <w:shd w:val="clear" w:color="auto" w:fill="E7E6E7"/>
          </w:tcPr>
          <w:p>
            <w:pPr>
              <w:spacing w:after="0"/>
              <w:rPr>
                <w:sz w:val="15"/>
                <w:szCs w:val="15"/>
                <w:color w:val="auto"/>
              </w:rPr>
            </w:pPr>
          </w:p>
        </w:tc>
        <w:tc>
          <w:tcPr>
            <w:tcW w:w="580" w:type="dxa"/>
            <w:vAlign w:val="bottom"/>
            <w:tcBorders>
              <w:bottom w:val="single" w:sz="8" w:color="E7E6E7"/>
            </w:tcBorders>
            <w:shd w:val="clear" w:color="auto" w:fill="E7E6E7"/>
          </w:tcPr>
          <w:p>
            <w:pPr>
              <w:spacing w:after="0"/>
              <w:rPr>
                <w:sz w:val="15"/>
                <w:szCs w:val="15"/>
                <w:color w:val="auto"/>
              </w:rPr>
            </w:pPr>
          </w:p>
        </w:tc>
        <w:tc>
          <w:tcPr>
            <w:tcW w:w="140" w:type="dxa"/>
            <w:vAlign w:val="bottom"/>
            <w:tcBorders>
              <w:bottom w:val="single" w:sz="8" w:color="E7E6E7"/>
            </w:tcBorders>
            <w:shd w:val="clear" w:color="auto" w:fill="E7E6E7"/>
          </w:tcPr>
          <w:p>
            <w:pPr>
              <w:spacing w:after="0"/>
              <w:rPr>
                <w:sz w:val="15"/>
                <w:szCs w:val="15"/>
                <w:color w:val="auto"/>
              </w:rPr>
            </w:pPr>
          </w:p>
        </w:tc>
        <w:tc>
          <w:tcPr>
            <w:tcW w:w="720" w:type="dxa"/>
            <w:vAlign w:val="bottom"/>
            <w:tcBorders>
              <w:bottom w:val="single" w:sz="8" w:color="E7E6E7"/>
            </w:tcBorders>
            <w:shd w:val="clear" w:color="auto" w:fill="E7E6E7"/>
          </w:tcPr>
          <w:p>
            <w:pPr>
              <w:spacing w:after="0"/>
              <w:rPr>
                <w:sz w:val="15"/>
                <w:szCs w:val="15"/>
                <w:color w:val="auto"/>
              </w:rPr>
            </w:pPr>
          </w:p>
        </w:tc>
        <w:tc>
          <w:tcPr>
            <w:tcW w:w="60" w:type="dxa"/>
            <w:vAlign w:val="bottom"/>
            <w:tcBorders>
              <w:bottom w:val="single" w:sz="8" w:color="E7E6E7"/>
            </w:tcBorders>
            <w:shd w:val="clear" w:color="auto" w:fill="E7E6E7"/>
          </w:tcPr>
          <w:p>
            <w:pPr>
              <w:spacing w:after="0"/>
              <w:rPr>
                <w:sz w:val="15"/>
                <w:szCs w:val="15"/>
                <w:color w:val="auto"/>
              </w:rPr>
            </w:pPr>
          </w:p>
        </w:tc>
        <w:tc>
          <w:tcPr>
            <w:tcW w:w="720" w:type="dxa"/>
            <w:vAlign w:val="bottom"/>
            <w:tcBorders>
              <w:bottom w:val="single" w:sz="8" w:color="E7E6E7"/>
            </w:tcBorders>
            <w:shd w:val="clear" w:color="auto" w:fill="E7E6E7"/>
          </w:tcPr>
          <w:p>
            <w:pPr>
              <w:spacing w:after="0"/>
              <w:rPr>
                <w:sz w:val="15"/>
                <w:szCs w:val="15"/>
                <w:color w:val="auto"/>
              </w:rPr>
            </w:pPr>
          </w:p>
        </w:tc>
        <w:tc>
          <w:tcPr>
            <w:tcW w:w="700" w:type="dxa"/>
            <w:vAlign w:val="bottom"/>
            <w:tcBorders>
              <w:bottom w:val="single" w:sz="8" w:color="E7E6E7"/>
            </w:tcBorders>
            <w:shd w:val="clear" w:color="auto" w:fill="E7E6E7"/>
          </w:tcPr>
          <w:p>
            <w:pPr>
              <w:spacing w:after="0"/>
              <w:rPr>
                <w:sz w:val="15"/>
                <w:szCs w:val="15"/>
                <w:color w:val="auto"/>
              </w:rPr>
            </w:pPr>
          </w:p>
        </w:tc>
        <w:tc>
          <w:tcPr>
            <w:tcW w:w="440" w:type="dxa"/>
            <w:vAlign w:val="bottom"/>
            <w:tcBorders>
              <w:bottom w:val="single" w:sz="8" w:color="E7E6E7"/>
            </w:tcBorders>
            <w:shd w:val="clear" w:color="auto" w:fill="E7E6E7"/>
          </w:tcPr>
          <w:p>
            <w:pPr>
              <w:spacing w:after="0"/>
              <w:rPr>
                <w:sz w:val="15"/>
                <w:szCs w:val="15"/>
                <w:color w:val="auto"/>
              </w:rPr>
            </w:pPr>
          </w:p>
        </w:tc>
        <w:tc>
          <w:tcPr>
            <w:tcW w:w="120" w:type="dxa"/>
            <w:vAlign w:val="bottom"/>
            <w:tcBorders>
              <w:bottom w:val="single" w:sz="8" w:color="E7E6E7"/>
            </w:tcBorders>
            <w:shd w:val="clear" w:color="auto" w:fill="E7E6E7"/>
          </w:tcPr>
          <w:p>
            <w:pPr>
              <w:spacing w:after="0"/>
              <w:rPr>
                <w:sz w:val="15"/>
                <w:szCs w:val="15"/>
                <w:color w:val="auto"/>
              </w:rPr>
            </w:pPr>
          </w:p>
        </w:tc>
        <w:tc>
          <w:tcPr>
            <w:tcW w:w="520" w:type="dxa"/>
            <w:vAlign w:val="bottom"/>
            <w:tcBorders>
              <w:bottom w:val="single" w:sz="8" w:color="E7E6E7"/>
            </w:tcBorders>
            <w:shd w:val="clear" w:color="auto" w:fill="E7E6E7"/>
          </w:tcPr>
          <w:p>
            <w:pPr>
              <w:spacing w:after="0"/>
              <w:rPr>
                <w:sz w:val="15"/>
                <w:szCs w:val="15"/>
                <w:color w:val="auto"/>
              </w:rPr>
            </w:pPr>
          </w:p>
        </w:tc>
        <w:tc>
          <w:tcPr>
            <w:tcW w:w="6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43,230</w:t>
            </w:r>
          </w:p>
        </w:tc>
        <w:tc>
          <w:tcPr>
            <w:tcW w:w="1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15.31</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661,851</w:t>
            </w:r>
          </w:p>
        </w:tc>
      </w:tr>
      <w:tr>
        <w:trPr>
          <w:trHeight w:val="129"/>
        </w:trPr>
        <w:tc>
          <w:tcPr>
            <w:tcW w:w="800" w:type="dxa"/>
            <w:vAlign w:val="bottom"/>
            <w:tcBorders>
              <w:top w:val="single" w:sz="8" w:color="7B7C80"/>
            </w:tcBorders>
          </w:tcPr>
          <w:p>
            <w:pPr>
              <w:spacing w:after="0" w:line="129" w:lineRule="exact"/>
              <w:rPr>
                <w:sz w:val="20"/>
                <w:szCs w:val="20"/>
                <w:color w:val="auto"/>
              </w:rPr>
            </w:pPr>
            <w:r>
              <w:rPr>
                <w:rFonts w:ascii="Arial" w:cs="Arial" w:eastAsia="Arial" w:hAnsi="Arial"/>
                <w:sz w:val="12"/>
                <w:szCs w:val="12"/>
                <w:color w:val="7B7C80"/>
              </w:rPr>
              <w:t>McCaughan</w:t>
            </w:r>
          </w:p>
        </w:tc>
        <w:tc>
          <w:tcPr>
            <w:tcW w:w="820" w:type="dxa"/>
            <w:vAlign w:val="bottom"/>
            <w:tcBorders>
              <w:top w:val="single" w:sz="8" w:color="7B7C80"/>
            </w:tcBorders>
          </w:tcPr>
          <w:p>
            <w:pPr>
              <w:spacing w:after="0"/>
              <w:rPr>
                <w:sz w:val="11"/>
                <w:szCs w:val="11"/>
                <w:color w:val="auto"/>
              </w:rPr>
            </w:pPr>
          </w:p>
        </w:tc>
        <w:tc>
          <w:tcPr>
            <w:tcW w:w="800" w:type="dxa"/>
            <w:vAlign w:val="bottom"/>
            <w:tcBorders>
              <w:top w:val="single" w:sz="8" w:color="7B7C80"/>
            </w:tcBorders>
            <w:gridSpan w:val="2"/>
          </w:tcPr>
          <w:p>
            <w:pPr>
              <w:ind w:left="460"/>
              <w:spacing w:after="0" w:line="129" w:lineRule="exact"/>
              <w:rPr>
                <w:sz w:val="20"/>
                <w:szCs w:val="20"/>
                <w:color w:val="auto"/>
              </w:rPr>
            </w:pPr>
            <w:r>
              <w:rPr>
                <w:rFonts w:ascii="Arial" w:cs="Arial" w:eastAsia="Arial" w:hAnsi="Arial"/>
                <w:sz w:val="12"/>
                <w:szCs w:val="12"/>
                <w:color w:val="7B7C80"/>
              </w:rPr>
              <w:t>N/A $</w:t>
            </w:r>
          </w:p>
        </w:tc>
        <w:tc>
          <w:tcPr>
            <w:tcW w:w="580" w:type="dxa"/>
            <w:vAlign w:val="bottom"/>
            <w:tcBorders>
              <w:top w:val="single" w:sz="8" w:color="7B7C80"/>
            </w:tcBorders>
          </w:tcPr>
          <w:p>
            <w:pPr>
              <w:jc w:val="right"/>
              <w:spacing w:after="0" w:line="129" w:lineRule="exact"/>
              <w:rPr>
                <w:sz w:val="20"/>
                <w:szCs w:val="20"/>
                <w:color w:val="auto"/>
              </w:rPr>
            </w:pPr>
            <w:r>
              <w:rPr>
                <w:rFonts w:ascii="Arial" w:cs="Arial" w:eastAsia="Arial" w:hAnsi="Arial"/>
                <w:sz w:val="12"/>
                <w:szCs w:val="12"/>
                <w:color w:val="7B7C80"/>
              </w:rPr>
              <w:t>2,718,000</w:t>
            </w:r>
          </w:p>
        </w:tc>
        <w:tc>
          <w:tcPr>
            <w:tcW w:w="140" w:type="dxa"/>
            <w:vAlign w:val="bottom"/>
            <w:tcBorders>
              <w:top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720" w:type="dxa"/>
            <w:vAlign w:val="bottom"/>
            <w:tcBorders>
              <w:top w:val="single" w:sz="8" w:color="7B7C80"/>
            </w:tcBorders>
          </w:tcPr>
          <w:p>
            <w:pPr>
              <w:jc w:val="right"/>
              <w:spacing w:after="0" w:line="129" w:lineRule="exact"/>
              <w:rPr>
                <w:sz w:val="20"/>
                <w:szCs w:val="20"/>
                <w:color w:val="auto"/>
              </w:rPr>
            </w:pPr>
            <w:r>
              <w:rPr>
                <w:rFonts w:ascii="Arial" w:cs="Arial" w:eastAsia="Arial" w:hAnsi="Arial"/>
                <w:sz w:val="12"/>
                <w:szCs w:val="12"/>
                <w:color w:val="7B7C80"/>
              </w:rPr>
              <w:t>8,600,000</w:t>
            </w:r>
          </w:p>
        </w:tc>
        <w:tc>
          <w:tcPr>
            <w:tcW w:w="60" w:type="dxa"/>
            <w:vAlign w:val="bottom"/>
            <w:tcBorders>
              <w:top w:val="single" w:sz="8" w:color="7B7C80"/>
            </w:tcBorders>
          </w:tcPr>
          <w:p>
            <w:pPr>
              <w:spacing w:after="0"/>
              <w:rPr>
                <w:sz w:val="11"/>
                <w:szCs w:val="11"/>
                <w:color w:val="auto"/>
              </w:rPr>
            </w:pPr>
          </w:p>
        </w:tc>
        <w:tc>
          <w:tcPr>
            <w:tcW w:w="720" w:type="dxa"/>
            <w:vAlign w:val="bottom"/>
            <w:tcBorders>
              <w:top w:val="single" w:sz="8" w:color="7B7C80"/>
            </w:tcBorders>
          </w:tcPr>
          <w:p>
            <w:pPr>
              <w:spacing w:after="0"/>
              <w:rPr>
                <w:sz w:val="11"/>
                <w:szCs w:val="11"/>
                <w:color w:val="auto"/>
              </w:rPr>
            </w:pPr>
          </w:p>
        </w:tc>
        <w:tc>
          <w:tcPr>
            <w:tcW w:w="700" w:type="dxa"/>
            <w:vAlign w:val="bottom"/>
            <w:tcBorders>
              <w:top w:val="single" w:sz="8" w:color="7B7C80"/>
            </w:tcBorders>
          </w:tcPr>
          <w:p>
            <w:pPr>
              <w:spacing w:after="0"/>
              <w:rPr>
                <w:sz w:val="11"/>
                <w:szCs w:val="11"/>
                <w:color w:val="auto"/>
              </w:rPr>
            </w:pPr>
          </w:p>
        </w:tc>
        <w:tc>
          <w:tcPr>
            <w:tcW w:w="440" w:type="dxa"/>
            <w:vAlign w:val="bottom"/>
            <w:tcBorders>
              <w:top w:val="single" w:sz="8" w:color="7B7C80"/>
            </w:tcBorders>
          </w:tcPr>
          <w:p>
            <w:pPr>
              <w:spacing w:after="0"/>
              <w:rPr>
                <w:sz w:val="11"/>
                <w:szCs w:val="11"/>
                <w:color w:val="auto"/>
              </w:rPr>
            </w:pPr>
          </w:p>
        </w:tc>
        <w:tc>
          <w:tcPr>
            <w:tcW w:w="120" w:type="dxa"/>
            <w:vAlign w:val="bottom"/>
            <w:tcBorders>
              <w:top w:val="single" w:sz="8" w:color="7B7C80"/>
            </w:tcBorders>
          </w:tcPr>
          <w:p>
            <w:pPr>
              <w:spacing w:after="0"/>
              <w:rPr>
                <w:sz w:val="11"/>
                <w:szCs w:val="11"/>
                <w:color w:val="auto"/>
              </w:rPr>
            </w:pPr>
          </w:p>
        </w:tc>
        <w:tc>
          <w:tcPr>
            <w:tcW w:w="520" w:type="dxa"/>
            <w:vAlign w:val="bottom"/>
            <w:tcBorders>
              <w:top w:val="single" w:sz="8" w:color="7B7C80"/>
            </w:tcBorders>
          </w:tcPr>
          <w:p>
            <w:pPr>
              <w:spacing w:after="0"/>
              <w:rPr>
                <w:sz w:val="11"/>
                <w:szCs w:val="11"/>
                <w:color w:val="auto"/>
              </w:rPr>
            </w:pPr>
          </w:p>
        </w:tc>
        <w:tc>
          <w:tcPr>
            <w:tcW w:w="660" w:type="dxa"/>
            <w:vAlign w:val="bottom"/>
            <w:tcBorders>
              <w:top w:val="single" w:sz="8" w:color="7B7C80"/>
            </w:tcBorders>
          </w:tcPr>
          <w:p>
            <w:pPr>
              <w:spacing w:after="0"/>
              <w:rPr>
                <w:sz w:val="11"/>
                <w:szCs w:val="11"/>
                <w:color w:val="auto"/>
              </w:rPr>
            </w:pPr>
          </w:p>
        </w:tc>
        <w:tc>
          <w:tcPr>
            <w:tcW w:w="140" w:type="dxa"/>
            <w:vAlign w:val="bottom"/>
            <w:tcBorders>
              <w:top w:val="single" w:sz="8" w:color="7B7C80"/>
            </w:tcBorders>
          </w:tcPr>
          <w:p>
            <w:pPr>
              <w:spacing w:after="0"/>
              <w:rPr>
                <w:sz w:val="11"/>
                <w:szCs w:val="11"/>
                <w:color w:val="auto"/>
              </w:rPr>
            </w:pPr>
          </w:p>
        </w:tc>
        <w:tc>
          <w:tcPr>
            <w:tcW w:w="560" w:type="dxa"/>
            <w:vAlign w:val="bottom"/>
            <w:tcBorders>
              <w:top w:val="single" w:sz="8" w:color="7B7C80"/>
            </w:tcBorders>
          </w:tcPr>
          <w:p>
            <w:pPr>
              <w:spacing w:after="0"/>
              <w:rPr>
                <w:sz w:val="11"/>
                <w:szCs w:val="11"/>
                <w:color w:val="auto"/>
              </w:rPr>
            </w:pPr>
          </w:p>
        </w:tc>
        <w:tc>
          <w:tcPr>
            <w:tcW w:w="120" w:type="dxa"/>
            <w:vAlign w:val="bottom"/>
            <w:tcBorders>
              <w:top w:val="single" w:sz="8" w:color="7B7C80"/>
            </w:tcBorders>
          </w:tcPr>
          <w:p>
            <w:pPr>
              <w:spacing w:after="0"/>
              <w:rPr>
                <w:sz w:val="11"/>
                <w:szCs w:val="11"/>
                <w:color w:val="auto"/>
              </w:rPr>
            </w:pPr>
          </w:p>
        </w:tc>
        <w:tc>
          <w:tcPr>
            <w:tcW w:w="540" w:type="dxa"/>
            <w:vAlign w:val="bottom"/>
            <w:tcBorders>
              <w:top w:val="single" w:sz="8" w:color="7B7C80"/>
            </w:tcBorders>
          </w:tcPr>
          <w:p>
            <w:pPr>
              <w:spacing w:after="0"/>
              <w:rPr>
                <w:sz w:val="11"/>
                <w:szCs w:val="11"/>
                <w:color w:val="auto"/>
              </w:rPr>
            </w:pPr>
          </w:p>
        </w:tc>
      </w:tr>
      <w:tr>
        <w:trPr>
          <w:trHeight w:val="163"/>
        </w:trPr>
        <w:tc>
          <w:tcPr>
            <w:tcW w:w="800" w:type="dxa"/>
            <w:vAlign w:val="bottom"/>
          </w:tcPr>
          <w:p>
            <w:pPr>
              <w:spacing w:after="0"/>
              <w:rPr>
                <w:sz w:val="14"/>
                <w:szCs w:val="14"/>
                <w:color w:val="auto"/>
              </w:rPr>
            </w:pPr>
          </w:p>
        </w:tc>
        <w:tc>
          <w:tcPr>
            <w:tcW w:w="8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02/27/2017</w:t>
            </w:r>
          </w:p>
        </w:tc>
        <w:tc>
          <w:tcPr>
            <w:tcW w:w="680" w:type="dxa"/>
            <w:vAlign w:val="bottom"/>
            <w:tcBorders>
              <w:bottom w:val="single" w:sz="8" w:color="E7E6E7"/>
            </w:tcBorders>
            <w:shd w:val="clear" w:color="auto" w:fill="E7E6E7"/>
          </w:tcPr>
          <w:p>
            <w:pPr>
              <w:spacing w:after="0"/>
              <w:rPr>
                <w:sz w:val="14"/>
                <w:szCs w:val="14"/>
                <w:color w:val="auto"/>
              </w:rPr>
            </w:pPr>
          </w:p>
        </w:tc>
        <w:tc>
          <w:tcPr>
            <w:tcW w:w="120" w:type="dxa"/>
            <w:vAlign w:val="bottom"/>
            <w:tcBorders>
              <w:bottom w:val="single" w:sz="8" w:color="E7E6E7"/>
            </w:tcBorders>
            <w:shd w:val="clear" w:color="auto" w:fill="E7E6E7"/>
          </w:tcPr>
          <w:p>
            <w:pPr>
              <w:spacing w:after="0"/>
              <w:rPr>
                <w:sz w:val="14"/>
                <w:szCs w:val="14"/>
                <w:color w:val="auto"/>
              </w:rPr>
            </w:pPr>
          </w:p>
        </w:tc>
        <w:tc>
          <w:tcPr>
            <w:tcW w:w="580" w:type="dxa"/>
            <w:vAlign w:val="bottom"/>
            <w:tcBorders>
              <w:bottom w:val="single" w:sz="8" w:color="E7E6E7"/>
            </w:tcBorders>
            <w:shd w:val="clear" w:color="auto" w:fill="E7E6E7"/>
          </w:tcPr>
          <w:p>
            <w:pPr>
              <w:spacing w:after="0"/>
              <w:rPr>
                <w:sz w:val="14"/>
                <w:szCs w:val="14"/>
                <w:color w:val="auto"/>
              </w:rPr>
            </w:pPr>
          </w:p>
        </w:tc>
        <w:tc>
          <w:tcPr>
            <w:tcW w:w="140" w:type="dxa"/>
            <w:vAlign w:val="bottom"/>
            <w:tcBorders>
              <w:bottom w:val="single" w:sz="8" w:color="E7E6E7"/>
            </w:tcBorders>
            <w:shd w:val="clear" w:color="auto" w:fill="E7E6E7"/>
          </w:tcPr>
          <w:p>
            <w:pPr>
              <w:spacing w:after="0"/>
              <w:rPr>
                <w:sz w:val="14"/>
                <w:szCs w:val="14"/>
                <w:color w:val="auto"/>
              </w:rPr>
            </w:pPr>
          </w:p>
        </w:tc>
        <w:tc>
          <w:tcPr>
            <w:tcW w:w="720" w:type="dxa"/>
            <w:vAlign w:val="bottom"/>
            <w:tcBorders>
              <w:bottom w:val="single" w:sz="8" w:color="E7E6E7"/>
            </w:tcBorders>
            <w:shd w:val="clear" w:color="auto" w:fill="E7E6E7"/>
          </w:tcPr>
          <w:p>
            <w:pPr>
              <w:spacing w:after="0"/>
              <w:rPr>
                <w:sz w:val="14"/>
                <w:szCs w:val="14"/>
                <w:color w:val="auto"/>
              </w:rPr>
            </w:pPr>
          </w:p>
        </w:tc>
        <w:tc>
          <w:tcPr>
            <w:tcW w:w="60" w:type="dxa"/>
            <w:vAlign w:val="bottom"/>
            <w:tcBorders>
              <w:bottom w:val="single" w:sz="8" w:color="E7E6E7"/>
            </w:tcBorders>
            <w:shd w:val="clear" w:color="auto" w:fill="E7E6E7"/>
          </w:tcPr>
          <w:p>
            <w:pPr>
              <w:spacing w:after="0"/>
              <w:rPr>
                <w:sz w:val="14"/>
                <w:szCs w:val="14"/>
                <w:color w:val="auto"/>
              </w:rPr>
            </w:pPr>
          </w:p>
        </w:tc>
        <w:tc>
          <w:tcPr>
            <w:tcW w:w="7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4,735</w:t>
            </w:r>
          </w:p>
        </w:tc>
        <w:tc>
          <w:tcPr>
            <w:tcW w:w="700" w:type="dxa"/>
            <w:vAlign w:val="bottom"/>
            <w:tcBorders>
              <w:bottom w:val="single" w:sz="8" w:color="E7E6E7"/>
            </w:tcBorders>
            <w:shd w:val="clear" w:color="auto" w:fill="E7E6E7"/>
          </w:tcPr>
          <w:p>
            <w:pPr>
              <w:jc w:val="right"/>
              <w:ind w:right="199"/>
              <w:spacing w:after="0"/>
              <w:rPr>
                <w:sz w:val="20"/>
                <w:szCs w:val="20"/>
                <w:color w:val="auto"/>
              </w:rPr>
            </w:pPr>
            <w:r>
              <w:rPr>
                <w:rFonts w:ascii="Arial" w:cs="Arial" w:eastAsia="Arial" w:hAnsi="Arial"/>
                <w:sz w:val="12"/>
                <w:szCs w:val="12"/>
                <w:color w:val="7B7C80"/>
              </w:rPr>
              <w:t>18,941</w:t>
            </w:r>
          </w:p>
        </w:tc>
        <w:tc>
          <w:tcPr>
            <w:tcW w:w="560" w:type="dxa"/>
            <w:vAlign w:val="bottom"/>
            <w:tcBorders>
              <w:bottom w:val="single" w:sz="8" w:color="E7E6E7"/>
            </w:tcBorders>
            <w:gridSpan w:val="2"/>
            <w:shd w:val="clear" w:color="auto" w:fill="E7E6E7"/>
          </w:tcPr>
          <w:p>
            <w:pPr>
              <w:jc w:val="right"/>
              <w:ind w:right="120"/>
              <w:spacing w:after="0"/>
              <w:rPr>
                <w:sz w:val="20"/>
                <w:szCs w:val="20"/>
                <w:color w:val="auto"/>
              </w:rPr>
            </w:pPr>
            <w:r>
              <w:rPr>
                <w:rFonts w:ascii="Arial" w:cs="Arial" w:eastAsia="Arial" w:hAnsi="Arial"/>
                <w:sz w:val="12"/>
                <w:szCs w:val="12"/>
                <w:color w:val="7B7C80"/>
              </w:rPr>
              <w:t>28,412</w:t>
            </w:r>
          </w:p>
        </w:tc>
        <w:tc>
          <w:tcPr>
            <w:tcW w:w="520" w:type="dxa"/>
            <w:vAlign w:val="bottom"/>
            <w:tcBorders>
              <w:bottom w:val="single" w:sz="8" w:color="E7E6E7"/>
            </w:tcBorders>
            <w:shd w:val="clear" w:color="auto" w:fill="E7E6E7"/>
          </w:tcPr>
          <w:p>
            <w:pPr>
              <w:spacing w:after="0"/>
              <w:rPr>
                <w:sz w:val="14"/>
                <w:szCs w:val="14"/>
                <w:color w:val="auto"/>
              </w:rPr>
            </w:pPr>
          </w:p>
        </w:tc>
        <w:tc>
          <w:tcPr>
            <w:tcW w:w="660" w:type="dxa"/>
            <w:vAlign w:val="bottom"/>
            <w:tcBorders>
              <w:bottom w:val="single" w:sz="8" w:color="E7E6E7"/>
            </w:tcBorders>
            <w:shd w:val="clear" w:color="auto" w:fill="E7E6E7"/>
          </w:tcPr>
          <w:p>
            <w:pPr>
              <w:spacing w:after="0"/>
              <w:rPr>
                <w:sz w:val="14"/>
                <w:szCs w:val="14"/>
                <w:color w:val="auto"/>
              </w:rPr>
            </w:pPr>
          </w:p>
        </w:tc>
        <w:tc>
          <w:tcPr>
            <w:tcW w:w="1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62.78</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w w:val="97"/>
              </w:rPr>
              <w:t>1,189,116</w:t>
            </w:r>
          </w:p>
        </w:tc>
      </w:tr>
      <w:tr>
        <w:trPr>
          <w:trHeight w:val="151"/>
        </w:trPr>
        <w:tc>
          <w:tcPr>
            <w:tcW w:w="800" w:type="dxa"/>
            <w:vAlign w:val="bottom"/>
          </w:tcPr>
          <w:p>
            <w:pPr>
              <w:spacing w:after="0"/>
              <w:rPr>
                <w:sz w:val="13"/>
                <w:szCs w:val="13"/>
                <w:color w:val="auto"/>
              </w:rPr>
            </w:pPr>
          </w:p>
        </w:tc>
        <w:tc>
          <w:tcPr>
            <w:tcW w:w="820" w:type="dxa"/>
            <w:vAlign w:val="bottom"/>
          </w:tcPr>
          <w:p>
            <w:pPr>
              <w:jc w:val="right"/>
              <w:spacing w:after="0"/>
              <w:rPr>
                <w:sz w:val="20"/>
                <w:szCs w:val="20"/>
                <w:color w:val="auto"/>
              </w:rPr>
            </w:pPr>
            <w:r>
              <w:rPr>
                <w:rFonts w:ascii="Arial" w:cs="Arial" w:eastAsia="Arial" w:hAnsi="Arial"/>
                <w:sz w:val="12"/>
                <w:szCs w:val="12"/>
                <w:color w:val="7B7C80"/>
              </w:rPr>
              <w:t>02/27/2017</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7B7C80"/>
              </w:rPr>
              <w:t>77,670</w:t>
            </w:r>
          </w:p>
        </w:tc>
        <w:tc>
          <w:tcPr>
            <w:tcW w:w="140" w:type="dxa"/>
            <w:vAlign w:val="bottom"/>
          </w:tcPr>
          <w:p>
            <w:pPr>
              <w:jc w:val="right"/>
              <w:spacing w:after="0"/>
              <w:rPr>
                <w:sz w:val="20"/>
                <w:szCs w:val="20"/>
                <w:color w:val="auto"/>
              </w:rPr>
            </w:pPr>
            <w:r>
              <w:rPr>
                <w:rFonts w:ascii="Arial" w:cs="Arial" w:eastAsia="Arial" w:hAnsi="Arial"/>
                <w:sz w:val="12"/>
                <w:szCs w:val="12"/>
                <w:color w:val="7B7C80"/>
              </w:rPr>
              <w:t>$</w:t>
            </w:r>
          </w:p>
        </w:tc>
        <w:tc>
          <w:tcPr>
            <w:tcW w:w="560" w:type="dxa"/>
            <w:vAlign w:val="bottom"/>
          </w:tcPr>
          <w:p>
            <w:pPr>
              <w:jc w:val="right"/>
              <w:spacing w:after="0"/>
              <w:rPr>
                <w:sz w:val="20"/>
                <w:szCs w:val="20"/>
                <w:color w:val="auto"/>
              </w:rPr>
            </w:pPr>
            <w:r>
              <w:rPr>
                <w:rFonts w:ascii="Arial" w:cs="Arial" w:eastAsia="Arial" w:hAnsi="Arial"/>
                <w:sz w:val="12"/>
                <w:szCs w:val="12"/>
                <w:color w:val="7B7C80"/>
              </w:rPr>
              <w:t>15.31</w:t>
            </w: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540" w:type="dxa"/>
            <w:vAlign w:val="bottom"/>
          </w:tcPr>
          <w:p>
            <w:pPr>
              <w:jc w:val="right"/>
              <w:spacing w:after="0"/>
              <w:rPr>
                <w:sz w:val="20"/>
                <w:szCs w:val="20"/>
                <w:color w:val="auto"/>
              </w:rPr>
            </w:pPr>
            <w:r>
              <w:rPr>
                <w:rFonts w:ascii="Arial" w:cs="Arial" w:eastAsia="Arial" w:hAnsi="Arial"/>
                <w:sz w:val="12"/>
                <w:szCs w:val="12"/>
                <w:color w:val="7B7C80"/>
                <w:w w:val="97"/>
              </w:rPr>
              <w:t>1,189,128</w:t>
            </w:r>
          </w:p>
        </w:tc>
      </w:tr>
      <w:tr>
        <w:trPr>
          <w:trHeight w:val="33"/>
        </w:trPr>
        <w:tc>
          <w:tcPr>
            <w:tcW w:w="800" w:type="dxa"/>
            <w:vAlign w:val="bottom"/>
            <w:tcBorders>
              <w:bottom w:val="single" w:sz="8" w:color="7B7C80"/>
            </w:tcBorders>
          </w:tcPr>
          <w:p>
            <w:pPr>
              <w:spacing w:after="0"/>
              <w:rPr>
                <w:sz w:val="2"/>
                <w:szCs w:val="2"/>
                <w:color w:val="auto"/>
              </w:rPr>
            </w:pPr>
          </w:p>
        </w:tc>
        <w:tc>
          <w:tcPr>
            <w:tcW w:w="820" w:type="dxa"/>
            <w:vAlign w:val="bottom"/>
            <w:tcBorders>
              <w:bottom w:val="single" w:sz="8" w:color="7B7C80"/>
            </w:tcBorders>
          </w:tcPr>
          <w:p>
            <w:pPr>
              <w:spacing w:after="0"/>
              <w:rPr>
                <w:sz w:val="2"/>
                <w:szCs w:val="2"/>
                <w:color w:val="auto"/>
              </w:rPr>
            </w:pPr>
          </w:p>
        </w:tc>
        <w:tc>
          <w:tcPr>
            <w:tcW w:w="800" w:type="dxa"/>
            <w:vAlign w:val="bottom"/>
            <w:tcBorders>
              <w:bottom w:val="single" w:sz="8" w:color="7B7C80"/>
            </w:tcBorders>
            <w:gridSpan w:val="2"/>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140" w:type="dxa"/>
            <w:vAlign w:val="bottom"/>
            <w:tcBorders>
              <w:bottom w:val="single" w:sz="8" w:color="7B7C80"/>
            </w:tcBorders>
          </w:tcPr>
          <w:p>
            <w:pPr>
              <w:spacing w:after="0"/>
              <w:rPr>
                <w:sz w:val="2"/>
                <w:szCs w:val="2"/>
                <w:color w:val="auto"/>
              </w:rPr>
            </w:pPr>
          </w:p>
        </w:tc>
        <w:tc>
          <w:tcPr>
            <w:tcW w:w="720" w:type="dxa"/>
            <w:vAlign w:val="bottom"/>
            <w:tcBorders>
              <w:bottom w:val="single" w:sz="8" w:color="7B7C80"/>
            </w:tcBorders>
          </w:tcPr>
          <w:p>
            <w:pPr>
              <w:spacing w:after="0"/>
              <w:rPr>
                <w:sz w:val="2"/>
                <w:szCs w:val="2"/>
                <w:color w:val="auto"/>
              </w:rPr>
            </w:pPr>
          </w:p>
        </w:tc>
        <w:tc>
          <w:tcPr>
            <w:tcW w:w="60" w:type="dxa"/>
            <w:vAlign w:val="bottom"/>
            <w:tcBorders>
              <w:bottom w:val="single" w:sz="8" w:color="7B7C80"/>
            </w:tcBorders>
          </w:tcPr>
          <w:p>
            <w:pPr>
              <w:spacing w:after="0"/>
              <w:rPr>
                <w:sz w:val="2"/>
                <w:szCs w:val="2"/>
                <w:color w:val="auto"/>
              </w:rPr>
            </w:pPr>
          </w:p>
        </w:tc>
        <w:tc>
          <w:tcPr>
            <w:tcW w:w="720" w:type="dxa"/>
            <w:vAlign w:val="bottom"/>
            <w:tcBorders>
              <w:bottom w:val="single" w:sz="8" w:color="7B7C80"/>
            </w:tcBorders>
          </w:tcPr>
          <w:p>
            <w:pPr>
              <w:spacing w:after="0"/>
              <w:rPr>
                <w:sz w:val="2"/>
                <w:szCs w:val="2"/>
                <w:color w:val="auto"/>
              </w:rPr>
            </w:pPr>
          </w:p>
        </w:tc>
        <w:tc>
          <w:tcPr>
            <w:tcW w:w="70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520" w:type="dxa"/>
            <w:vAlign w:val="bottom"/>
            <w:tcBorders>
              <w:bottom w:val="single" w:sz="8" w:color="7B7C80"/>
            </w:tcBorders>
          </w:tcPr>
          <w:p>
            <w:pPr>
              <w:spacing w:after="0"/>
              <w:rPr>
                <w:sz w:val="2"/>
                <w:szCs w:val="2"/>
                <w:color w:val="auto"/>
              </w:rPr>
            </w:pPr>
          </w:p>
        </w:tc>
        <w:tc>
          <w:tcPr>
            <w:tcW w:w="660" w:type="dxa"/>
            <w:vAlign w:val="bottom"/>
            <w:tcBorders>
              <w:bottom w:val="single" w:sz="8" w:color="7B7C80"/>
            </w:tcBorders>
          </w:tcPr>
          <w:p>
            <w:pPr>
              <w:spacing w:after="0"/>
              <w:rPr>
                <w:sz w:val="2"/>
                <w:szCs w:val="2"/>
                <w:color w:val="auto"/>
              </w:rPr>
            </w:pPr>
          </w:p>
        </w:tc>
        <w:tc>
          <w:tcPr>
            <w:tcW w:w="14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540" w:type="dxa"/>
            <w:vAlign w:val="bottom"/>
            <w:tcBorders>
              <w:bottom w:val="single" w:sz="8" w:color="7B7C80"/>
            </w:tcBorders>
          </w:tcPr>
          <w:p>
            <w:pPr>
              <w:spacing w:after="0"/>
              <w:rPr>
                <w:sz w:val="2"/>
                <w:szCs w:val="2"/>
                <w:color w:val="auto"/>
              </w:rPr>
            </w:pPr>
          </w:p>
        </w:tc>
      </w:tr>
      <w:tr>
        <w:trPr>
          <w:trHeight w:val="129"/>
        </w:trPr>
        <w:tc>
          <w:tcPr>
            <w:tcW w:w="800" w:type="dxa"/>
            <w:vAlign w:val="bottom"/>
          </w:tcPr>
          <w:p>
            <w:pPr>
              <w:spacing w:after="0" w:line="129" w:lineRule="exact"/>
              <w:rPr>
                <w:sz w:val="20"/>
                <w:szCs w:val="20"/>
                <w:color w:val="auto"/>
              </w:rPr>
            </w:pPr>
            <w:r>
              <w:rPr>
                <w:rFonts w:ascii="Arial" w:cs="Arial" w:eastAsia="Arial" w:hAnsi="Arial"/>
                <w:sz w:val="12"/>
                <w:szCs w:val="12"/>
                <w:color w:val="7B7C80"/>
              </w:rPr>
              <w:t>Valdés</w:t>
            </w:r>
          </w:p>
        </w:tc>
        <w:tc>
          <w:tcPr>
            <w:tcW w:w="820" w:type="dxa"/>
            <w:vAlign w:val="bottom"/>
            <w:shd w:val="clear" w:color="auto" w:fill="E7E6E7"/>
          </w:tcPr>
          <w:p>
            <w:pPr>
              <w:spacing w:after="0"/>
              <w:rPr>
                <w:sz w:val="11"/>
                <w:szCs w:val="11"/>
                <w:color w:val="auto"/>
              </w:rPr>
            </w:pPr>
          </w:p>
        </w:tc>
        <w:tc>
          <w:tcPr>
            <w:tcW w:w="800" w:type="dxa"/>
            <w:vAlign w:val="bottom"/>
            <w:gridSpan w:val="2"/>
            <w:shd w:val="clear" w:color="auto" w:fill="E7E6E7"/>
          </w:tcPr>
          <w:p>
            <w:pPr>
              <w:ind w:left="460"/>
              <w:spacing w:after="0" w:line="129" w:lineRule="exact"/>
              <w:rPr>
                <w:sz w:val="20"/>
                <w:szCs w:val="20"/>
                <w:color w:val="auto"/>
              </w:rPr>
            </w:pPr>
            <w:r>
              <w:rPr>
                <w:rFonts w:ascii="Arial" w:cs="Arial" w:eastAsia="Arial" w:hAnsi="Arial"/>
                <w:sz w:val="12"/>
                <w:szCs w:val="12"/>
                <w:color w:val="7B7C80"/>
              </w:rPr>
              <w:t>N/A $</w:t>
            </w:r>
          </w:p>
        </w:tc>
        <w:tc>
          <w:tcPr>
            <w:tcW w:w="5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603,500</w:t>
            </w:r>
          </w:p>
        </w:tc>
        <w:tc>
          <w:tcPr>
            <w:tcW w:w="1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72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6,900,000</w:t>
            </w:r>
          </w:p>
        </w:tc>
        <w:tc>
          <w:tcPr>
            <w:tcW w:w="60" w:type="dxa"/>
            <w:vAlign w:val="bottom"/>
            <w:shd w:val="clear" w:color="auto" w:fill="E7E6E7"/>
          </w:tcPr>
          <w:p>
            <w:pPr>
              <w:spacing w:after="0"/>
              <w:rPr>
                <w:sz w:val="11"/>
                <w:szCs w:val="11"/>
                <w:color w:val="auto"/>
              </w:rPr>
            </w:pPr>
          </w:p>
        </w:tc>
        <w:tc>
          <w:tcPr>
            <w:tcW w:w="72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440" w:type="dxa"/>
            <w:vAlign w:val="bottom"/>
            <w:shd w:val="clear" w:color="auto" w:fill="E7E6E7"/>
          </w:tcPr>
          <w:p>
            <w:pPr>
              <w:spacing w:after="0"/>
              <w:rPr>
                <w:sz w:val="11"/>
                <w:szCs w:val="11"/>
                <w:color w:val="auto"/>
              </w:rPr>
            </w:pPr>
          </w:p>
        </w:tc>
        <w:tc>
          <w:tcPr>
            <w:tcW w:w="12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660" w:type="dxa"/>
            <w:vAlign w:val="bottom"/>
            <w:shd w:val="clear" w:color="auto" w:fill="E7E6E7"/>
          </w:tcPr>
          <w:p>
            <w:pPr>
              <w:spacing w:after="0"/>
              <w:rPr>
                <w:sz w:val="11"/>
                <w:szCs w:val="11"/>
                <w:color w:val="auto"/>
              </w:rPr>
            </w:pPr>
          </w:p>
        </w:tc>
        <w:tc>
          <w:tcPr>
            <w:tcW w:w="140" w:type="dxa"/>
            <w:vAlign w:val="bottom"/>
            <w:shd w:val="clear" w:color="auto" w:fill="E7E6E7"/>
          </w:tcPr>
          <w:p>
            <w:pPr>
              <w:spacing w:after="0"/>
              <w:rPr>
                <w:sz w:val="11"/>
                <w:szCs w:val="11"/>
                <w:color w:val="auto"/>
              </w:rPr>
            </w:pPr>
          </w:p>
        </w:tc>
        <w:tc>
          <w:tcPr>
            <w:tcW w:w="560" w:type="dxa"/>
            <w:vAlign w:val="bottom"/>
            <w:shd w:val="clear" w:color="auto" w:fill="E7E6E7"/>
          </w:tcPr>
          <w:p>
            <w:pPr>
              <w:spacing w:after="0"/>
              <w:rPr>
                <w:sz w:val="11"/>
                <w:szCs w:val="11"/>
                <w:color w:val="auto"/>
              </w:rPr>
            </w:pPr>
          </w:p>
        </w:tc>
        <w:tc>
          <w:tcPr>
            <w:tcW w:w="120" w:type="dxa"/>
            <w:vAlign w:val="bottom"/>
            <w:shd w:val="clear" w:color="auto" w:fill="E7E6E7"/>
          </w:tcPr>
          <w:p>
            <w:pPr>
              <w:spacing w:after="0"/>
              <w:rPr>
                <w:sz w:val="11"/>
                <w:szCs w:val="11"/>
                <w:color w:val="auto"/>
              </w:rPr>
            </w:pPr>
          </w:p>
        </w:tc>
        <w:tc>
          <w:tcPr>
            <w:tcW w:w="540" w:type="dxa"/>
            <w:vAlign w:val="bottom"/>
            <w:shd w:val="clear" w:color="auto" w:fill="E7E6E7"/>
          </w:tcPr>
          <w:p>
            <w:pPr>
              <w:spacing w:after="0"/>
              <w:rPr>
                <w:sz w:val="11"/>
                <w:szCs w:val="11"/>
                <w:color w:val="auto"/>
              </w:rPr>
            </w:pPr>
          </w:p>
        </w:tc>
      </w:tr>
      <w:tr>
        <w:trPr>
          <w:trHeight w:val="151"/>
        </w:trPr>
        <w:tc>
          <w:tcPr>
            <w:tcW w:w="800" w:type="dxa"/>
            <w:vAlign w:val="bottom"/>
          </w:tcPr>
          <w:p>
            <w:pPr>
              <w:spacing w:after="0"/>
              <w:rPr>
                <w:sz w:val="13"/>
                <w:szCs w:val="13"/>
                <w:color w:val="auto"/>
              </w:rPr>
            </w:pPr>
          </w:p>
        </w:tc>
        <w:tc>
          <w:tcPr>
            <w:tcW w:w="820" w:type="dxa"/>
            <w:vAlign w:val="bottom"/>
          </w:tcPr>
          <w:p>
            <w:pPr>
              <w:jc w:val="right"/>
              <w:spacing w:after="0"/>
              <w:rPr>
                <w:sz w:val="20"/>
                <w:szCs w:val="20"/>
                <w:color w:val="auto"/>
              </w:rPr>
            </w:pPr>
            <w:r>
              <w:rPr>
                <w:rFonts w:ascii="Arial" w:cs="Arial" w:eastAsia="Arial" w:hAnsi="Arial"/>
                <w:sz w:val="12"/>
                <w:szCs w:val="12"/>
                <w:color w:val="7B7C80"/>
              </w:rPr>
              <w:t>02/27/2017</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7B7C80"/>
              </w:rPr>
              <w:t>3,004</w:t>
            </w:r>
          </w:p>
        </w:tc>
        <w:tc>
          <w:tcPr>
            <w:tcW w:w="700" w:type="dxa"/>
            <w:vAlign w:val="bottom"/>
          </w:tcPr>
          <w:p>
            <w:pPr>
              <w:jc w:val="right"/>
              <w:ind w:right="199"/>
              <w:spacing w:after="0"/>
              <w:rPr>
                <w:sz w:val="20"/>
                <w:szCs w:val="20"/>
                <w:color w:val="auto"/>
              </w:rPr>
            </w:pPr>
            <w:r>
              <w:rPr>
                <w:rFonts w:ascii="Arial" w:cs="Arial" w:eastAsia="Arial" w:hAnsi="Arial"/>
                <w:sz w:val="12"/>
                <w:szCs w:val="12"/>
                <w:color w:val="7B7C80"/>
              </w:rPr>
              <w:t>12,016</w:t>
            </w:r>
          </w:p>
        </w:tc>
        <w:tc>
          <w:tcPr>
            <w:tcW w:w="560" w:type="dxa"/>
            <w:vAlign w:val="bottom"/>
            <w:gridSpan w:val="2"/>
          </w:tcPr>
          <w:p>
            <w:pPr>
              <w:jc w:val="right"/>
              <w:ind w:right="120"/>
              <w:spacing w:after="0"/>
              <w:rPr>
                <w:sz w:val="20"/>
                <w:szCs w:val="20"/>
                <w:color w:val="auto"/>
              </w:rPr>
            </w:pPr>
            <w:r>
              <w:rPr>
                <w:rFonts w:ascii="Arial" w:cs="Arial" w:eastAsia="Arial" w:hAnsi="Arial"/>
                <w:sz w:val="12"/>
                <w:szCs w:val="12"/>
                <w:color w:val="7B7C80"/>
              </w:rPr>
              <w:t>18,024</w:t>
            </w:r>
          </w:p>
        </w:tc>
        <w:tc>
          <w:tcPr>
            <w:tcW w:w="5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40" w:type="dxa"/>
            <w:vAlign w:val="bottom"/>
          </w:tcPr>
          <w:p>
            <w:pPr>
              <w:jc w:val="right"/>
              <w:spacing w:after="0"/>
              <w:rPr>
                <w:sz w:val="20"/>
                <w:szCs w:val="20"/>
                <w:color w:val="auto"/>
              </w:rPr>
            </w:pPr>
            <w:r>
              <w:rPr>
                <w:rFonts w:ascii="Arial" w:cs="Arial" w:eastAsia="Arial" w:hAnsi="Arial"/>
                <w:sz w:val="12"/>
                <w:szCs w:val="12"/>
                <w:color w:val="7B7C80"/>
              </w:rPr>
              <w:t>$</w:t>
            </w:r>
          </w:p>
        </w:tc>
        <w:tc>
          <w:tcPr>
            <w:tcW w:w="560" w:type="dxa"/>
            <w:vAlign w:val="bottom"/>
          </w:tcPr>
          <w:p>
            <w:pPr>
              <w:jc w:val="right"/>
              <w:spacing w:after="0"/>
              <w:rPr>
                <w:sz w:val="20"/>
                <w:szCs w:val="20"/>
                <w:color w:val="auto"/>
              </w:rPr>
            </w:pPr>
            <w:r>
              <w:rPr>
                <w:rFonts w:ascii="Arial" w:cs="Arial" w:eastAsia="Arial" w:hAnsi="Arial"/>
                <w:sz w:val="12"/>
                <w:szCs w:val="12"/>
                <w:color w:val="7B7C80"/>
              </w:rPr>
              <w:t>62.78</w:t>
            </w:r>
          </w:p>
        </w:tc>
        <w:tc>
          <w:tcPr>
            <w:tcW w:w="120" w:type="dxa"/>
            <w:vAlign w:val="bottom"/>
          </w:tcPr>
          <w:p>
            <w:pPr>
              <w:jc w:val="right"/>
              <w:spacing w:after="0"/>
              <w:rPr>
                <w:sz w:val="20"/>
                <w:szCs w:val="20"/>
                <w:color w:val="auto"/>
              </w:rPr>
            </w:pPr>
            <w:r>
              <w:rPr>
                <w:rFonts w:ascii="Arial" w:cs="Arial" w:eastAsia="Arial" w:hAnsi="Arial"/>
                <w:sz w:val="12"/>
                <w:szCs w:val="12"/>
                <w:color w:val="7B7C80"/>
              </w:rPr>
              <w:t>$</w:t>
            </w:r>
          </w:p>
        </w:tc>
        <w:tc>
          <w:tcPr>
            <w:tcW w:w="540" w:type="dxa"/>
            <w:vAlign w:val="bottom"/>
          </w:tcPr>
          <w:p>
            <w:pPr>
              <w:jc w:val="right"/>
              <w:spacing w:after="0"/>
              <w:rPr>
                <w:sz w:val="20"/>
                <w:szCs w:val="20"/>
                <w:color w:val="auto"/>
              </w:rPr>
            </w:pPr>
            <w:r>
              <w:rPr>
                <w:rFonts w:ascii="Arial" w:cs="Arial" w:eastAsia="Arial" w:hAnsi="Arial"/>
                <w:sz w:val="12"/>
                <w:szCs w:val="12"/>
                <w:color w:val="7B7C80"/>
              </w:rPr>
              <w:t>754,364</w:t>
            </w:r>
          </w:p>
        </w:tc>
      </w:tr>
      <w:tr>
        <w:trPr>
          <w:trHeight w:val="33"/>
        </w:trPr>
        <w:tc>
          <w:tcPr>
            <w:tcW w:w="800" w:type="dxa"/>
            <w:vAlign w:val="bottom"/>
          </w:tcPr>
          <w:p>
            <w:pPr>
              <w:spacing w:after="0"/>
              <w:rPr>
                <w:sz w:val="2"/>
                <w:szCs w:val="2"/>
                <w:color w:val="auto"/>
              </w:rPr>
            </w:pPr>
          </w:p>
        </w:tc>
        <w:tc>
          <w:tcPr>
            <w:tcW w:w="8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40" w:type="dxa"/>
            <w:vAlign w:val="bottom"/>
          </w:tcPr>
          <w:p>
            <w:pPr>
              <w:spacing w:after="0"/>
              <w:rPr>
                <w:sz w:val="2"/>
                <w:szCs w:val="2"/>
                <w:color w:val="auto"/>
              </w:rPr>
            </w:pPr>
          </w:p>
        </w:tc>
        <w:tc>
          <w:tcPr>
            <w:tcW w:w="720" w:type="dxa"/>
            <w:vAlign w:val="bottom"/>
          </w:tcPr>
          <w:p>
            <w:pPr>
              <w:spacing w:after="0"/>
              <w:rPr>
                <w:sz w:val="2"/>
                <w:szCs w:val="2"/>
                <w:color w:val="auto"/>
              </w:rPr>
            </w:pPr>
          </w:p>
        </w:tc>
        <w:tc>
          <w:tcPr>
            <w:tcW w:w="60" w:type="dxa"/>
            <w:vAlign w:val="bottom"/>
          </w:tcPr>
          <w:p>
            <w:pPr>
              <w:spacing w:after="0"/>
              <w:rPr>
                <w:sz w:val="2"/>
                <w:szCs w:val="2"/>
                <w:color w:val="auto"/>
              </w:rPr>
            </w:pPr>
          </w:p>
        </w:tc>
        <w:tc>
          <w:tcPr>
            <w:tcW w:w="720" w:type="dxa"/>
            <w:vAlign w:val="bottom"/>
          </w:tcPr>
          <w:p>
            <w:pPr>
              <w:spacing w:after="0"/>
              <w:rPr>
                <w:sz w:val="2"/>
                <w:szCs w:val="2"/>
                <w:color w:val="auto"/>
              </w:rPr>
            </w:pPr>
          </w:p>
        </w:tc>
        <w:tc>
          <w:tcPr>
            <w:tcW w:w="7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20" w:type="dxa"/>
            <w:vAlign w:val="bottom"/>
          </w:tcPr>
          <w:p>
            <w:pPr>
              <w:spacing w:after="0"/>
              <w:rPr>
                <w:sz w:val="2"/>
                <w:szCs w:val="2"/>
                <w:color w:val="auto"/>
              </w:rPr>
            </w:pPr>
          </w:p>
        </w:tc>
        <w:tc>
          <w:tcPr>
            <w:tcW w:w="520" w:type="dxa"/>
            <w:vAlign w:val="bottom"/>
          </w:tcPr>
          <w:p>
            <w:pPr>
              <w:spacing w:after="0"/>
              <w:rPr>
                <w:sz w:val="2"/>
                <w:szCs w:val="2"/>
                <w:color w:val="auto"/>
              </w:rPr>
            </w:pPr>
          </w:p>
        </w:tc>
        <w:tc>
          <w:tcPr>
            <w:tcW w:w="660" w:type="dxa"/>
            <w:vAlign w:val="bottom"/>
          </w:tcPr>
          <w:p>
            <w:pPr>
              <w:spacing w:after="0"/>
              <w:rPr>
                <w:sz w:val="2"/>
                <w:szCs w:val="2"/>
                <w:color w:val="auto"/>
              </w:rPr>
            </w:pPr>
          </w:p>
        </w:tc>
        <w:tc>
          <w:tcPr>
            <w:tcW w:w="140" w:type="dxa"/>
            <w:vAlign w:val="bottom"/>
          </w:tcPr>
          <w:p>
            <w:pPr>
              <w:spacing w:after="0"/>
              <w:rPr>
                <w:sz w:val="2"/>
                <w:szCs w:val="2"/>
                <w:color w:val="auto"/>
              </w:rPr>
            </w:pPr>
          </w:p>
        </w:tc>
        <w:tc>
          <w:tcPr>
            <w:tcW w:w="560" w:type="dxa"/>
            <w:vAlign w:val="bottom"/>
          </w:tcPr>
          <w:p>
            <w:pPr>
              <w:spacing w:after="0"/>
              <w:rPr>
                <w:sz w:val="2"/>
                <w:szCs w:val="2"/>
                <w:color w:val="auto"/>
              </w:rPr>
            </w:pPr>
          </w:p>
        </w:tc>
        <w:tc>
          <w:tcPr>
            <w:tcW w:w="120" w:type="dxa"/>
            <w:vAlign w:val="bottom"/>
          </w:tcPr>
          <w:p>
            <w:pPr>
              <w:spacing w:after="0"/>
              <w:rPr>
                <w:sz w:val="2"/>
                <w:szCs w:val="2"/>
                <w:color w:val="auto"/>
              </w:rPr>
            </w:pPr>
          </w:p>
        </w:tc>
        <w:tc>
          <w:tcPr>
            <w:tcW w:w="540" w:type="dxa"/>
            <w:vAlign w:val="bottom"/>
          </w:tcPr>
          <w:p>
            <w:pPr>
              <w:spacing w:after="0"/>
              <w:rPr>
                <w:sz w:val="2"/>
                <w:szCs w:val="2"/>
                <w:color w:val="auto"/>
              </w:rPr>
            </w:pPr>
          </w:p>
        </w:tc>
      </w:tr>
      <w:tr>
        <w:trPr>
          <w:trHeight w:val="163"/>
        </w:trPr>
        <w:tc>
          <w:tcPr>
            <w:tcW w:w="800" w:type="dxa"/>
            <w:vAlign w:val="bottom"/>
          </w:tcPr>
          <w:p>
            <w:pPr>
              <w:spacing w:after="0"/>
              <w:rPr>
                <w:sz w:val="14"/>
                <w:szCs w:val="14"/>
                <w:color w:val="auto"/>
              </w:rPr>
            </w:pPr>
          </w:p>
        </w:tc>
        <w:tc>
          <w:tcPr>
            <w:tcW w:w="8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02/27/2017</w:t>
            </w:r>
          </w:p>
        </w:tc>
        <w:tc>
          <w:tcPr>
            <w:tcW w:w="680" w:type="dxa"/>
            <w:vAlign w:val="bottom"/>
            <w:tcBorders>
              <w:bottom w:val="single" w:sz="8" w:color="E7E6E7"/>
            </w:tcBorders>
            <w:shd w:val="clear" w:color="auto" w:fill="E7E6E7"/>
          </w:tcPr>
          <w:p>
            <w:pPr>
              <w:spacing w:after="0"/>
              <w:rPr>
                <w:sz w:val="14"/>
                <w:szCs w:val="14"/>
                <w:color w:val="auto"/>
              </w:rPr>
            </w:pPr>
          </w:p>
        </w:tc>
        <w:tc>
          <w:tcPr>
            <w:tcW w:w="120" w:type="dxa"/>
            <w:vAlign w:val="bottom"/>
            <w:tcBorders>
              <w:bottom w:val="single" w:sz="8" w:color="E7E6E7"/>
            </w:tcBorders>
            <w:shd w:val="clear" w:color="auto" w:fill="E7E6E7"/>
          </w:tcPr>
          <w:p>
            <w:pPr>
              <w:spacing w:after="0"/>
              <w:rPr>
                <w:sz w:val="14"/>
                <w:szCs w:val="14"/>
                <w:color w:val="auto"/>
              </w:rPr>
            </w:pPr>
          </w:p>
        </w:tc>
        <w:tc>
          <w:tcPr>
            <w:tcW w:w="580" w:type="dxa"/>
            <w:vAlign w:val="bottom"/>
            <w:tcBorders>
              <w:bottom w:val="single" w:sz="8" w:color="E7E6E7"/>
            </w:tcBorders>
            <w:shd w:val="clear" w:color="auto" w:fill="E7E6E7"/>
          </w:tcPr>
          <w:p>
            <w:pPr>
              <w:spacing w:after="0"/>
              <w:rPr>
                <w:sz w:val="14"/>
                <w:szCs w:val="14"/>
                <w:color w:val="auto"/>
              </w:rPr>
            </w:pPr>
          </w:p>
        </w:tc>
        <w:tc>
          <w:tcPr>
            <w:tcW w:w="140" w:type="dxa"/>
            <w:vAlign w:val="bottom"/>
            <w:tcBorders>
              <w:bottom w:val="single" w:sz="8" w:color="E7E6E7"/>
            </w:tcBorders>
            <w:shd w:val="clear" w:color="auto" w:fill="E7E6E7"/>
          </w:tcPr>
          <w:p>
            <w:pPr>
              <w:spacing w:after="0"/>
              <w:rPr>
                <w:sz w:val="14"/>
                <w:szCs w:val="14"/>
                <w:color w:val="auto"/>
              </w:rPr>
            </w:pPr>
          </w:p>
        </w:tc>
        <w:tc>
          <w:tcPr>
            <w:tcW w:w="720" w:type="dxa"/>
            <w:vAlign w:val="bottom"/>
            <w:tcBorders>
              <w:bottom w:val="single" w:sz="8" w:color="E7E6E7"/>
            </w:tcBorders>
            <w:shd w:val="clear" w:color="auto" w:fill="E7E6E7"/>
          </w:tcPr>
          <w:p>
            <w:pPr>
              <w:spacing w:after="0"/>
              <w:rPr>
                <w:sz w:val="14"/>
                <w:szCs w:val="14"/>
                <w:color w:val="auto"/>
              </w:rPr>
            </w:pPr>
          </w:p>
        </w:tc>
        <w:tc>
          <w:tcPr>
            <w:tcW w:w="60" w:type="dxa"/>
            <w:vAlign w:val="bottom"/>
            <w:tcBorders>
              <w:bottom w:val="single" w:sz="8" w:color="E7E6E7"/>
            </w:tcBorders>
            <w:shd w:val="clear" w:color="auto" w:fill="E7E6E7"/>
          </w:tcPr>
          <w:p>
            <w:pPr>
              <w:spacing w:after="0"/>
              <w:rPr>
                <w:sz w:val="14"/>
                <w:szCs w:val="14"/>
                <w:color w:val="auto"/>
              </w:rPr>
            </w:pPr>
          </w:p>
        </w:tc>
        <w:tc>
          <w:tcPr>
            <w:tcW w:w="720" w:type="dxa"/>
            <w:vAlign w:val="bottom"/>
            <w:tcBorders>
              <w:bottom w:val="single" w:sz="8" w:color="E7E6E7"/>
            </w:tcBorders>
            <w:shd w:val="clear" w:color="auto" w:fill="E7E6E7"/>
          </w:tcPr>
          <w:p>
            <w:pPr>
              <w:spacing w:after="0"/>
              <w:rPr>
                <w:sz w:val="14"/>
                <w:szCs w:val="14"/>
                <w:color w:val="auto"/>
              </w:rPr>
            </w:pPr>
          </w:p>
        </w:tc>
        <w:tc>
          <w:tcPr>
            <w:tcW w:w="700" w:type="dxa"/>
            <w:vAlign w:val="bottom"/>
            <w:tcBorders>
              <w:bottom w:val="single" w:sz="8" w:color="E7E6E7"/>
            </w:tcBorders>
            <w:shd w:val="clear" w:color="auto" w:fill="E7E6E7"/>
          </w:tcPr>
          <w:p>
            <w:pPr>
              <w:spacing w:after="0"/>
              <w:rPr>
                <w:sz w:val="14"/>
                <w:szCs w:val="14"/>
                <w:color w:val="auto"/>
              </w:rPr>
            </w:pPr>
          </w:p>
        </w:tc>
        <w:tc>
          <w:tcPr>
            <w:tcW w:w="440" w:type="dxa"/>
            <w:vAlign w:val="bottom"/>
            <w:tcBorders>
              <w:bottom w:val="single" w:sz="8" w:color="E7E6E7"/>
            </w:tcBorders>
            <w:shd w:val="clear" w:color="auto" w:fill="E7E6E7"/>
          </w:tcPr>
          <w:p>
            <w:pPr>
              <w:spacing w:after="0"/>
              <w:rPr>
                <w:sz w:val="14"/>
                <w:szCs w:val="14"/>
                <w:color w:val="auto"/>
              </w:rPr>
            </w:pPr>
          </w:p>
        </w:tc>
        <w:tc>
          <w:tcPr>
            <w:tcW w:w="120" w:type="dxa"/>
            <w:vAlign w:val="bottom"/>
            <w:tcBorders>
              <w:bottom w:val="single" w:sz="8" w:color="E7E6E7"/>
            </w:tcBorders>
            <w:shd w:val="clear" w:color="auto" w:fill="E7E6E7"/>
          </w:tcPr>
          <w:p>
            <w:pPr>
              <w:spacing w:after="0"/>
              <w:rPr>
                <w:sz w:val="14"/>
                <w:szCs w:val="14"/>
                <w:color w:val="auto"/>
              </w:rPr>
            </w:pPr>
          </w:p>
        </w:tc>
        <w:tc>
          <w:tcPr>
            <w:tcW w:w="520" w:type="dxa"/>
            <w:vAlign w:val="bottom"/>
            <w:tcBorders>
              <w:bottom w:val="single" w:sz="8" w:color="E7E6E7"/>
            </w:tcBorders>
            <w:shd w:val="clear" w:color="auto" w:fill="E7E6E7"/>
          </w:tcPr>
          <w:p>
            <w:pPr>
              <w:spacing w:after="0"/>
              <w:rPr>
                <w:sz w:val="14"/>
                <w:szCs w:val="14"/>
                <w:color w:val="auto"/>
              </w:rPr>
            </w:pPr>
          </w:p>
        </w:tc>
        <w:tc>
          <w:tcPr>
            <w:tcW w:w="6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49,275</w:t>
            </w:r>
          </w:p>
        </w:tc>
        <w:tc>
          <w:tcPr>
            <w:tcW w:w="1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6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15.31</w:t>
            </w:r>
          </w:p>
        </w:tc>
        <w:tc>
          <w:tcPr>
            <w:tcW w:w="1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2"/>
                <w:szCs w:val="12"/>
                <w:color w:val="7B7C80"/>
              </w:rPr>
              <w:t>754,400</w:t>
            </w:r>
          </w:p>
        </w:tc>
      </w:tr>
      <w:tr>
        <w:trPr>
          <w:trHeight w:val="23"/>
        </w:trPr>
        <w:tc>
          <w:tcPr>
            <w:tcW w:w="800" w:type="dxa"/>
            <w:vAlign w:val="bottom"/>
            <w:shd w:val="clear" w:color="auto" w:fill="009CCC"/>
          </w:tcPr>
          <w:p>
            <w:pPr>
              <w:spacing w:after="0" w:line="20" w:lineRule="exact"/>
              <w:rPr>
                <w:sz w:val="1"/>
                <w:szCs w:val="1"/>
                <w:color w:val="auto"/>
              </w:rPr>
            </w:pPr>
          </w:p>
        </w:tc>
        <w:tc>
          <w:tcPr>
            <w:tcW w:w="820" w:type="dxa"/>
            <w:vAlign w:val="bottom"/>
            <w:shd w:val="clear" w:color="auto" w:fill="009CCC"/>
          </w:tcPr>
          <w:p>
            <w:pPr>
              <w:spacing w:after="0" w:line="20" w:lineRule="exact"/>
              <w:rPr>
                <w:sz w:val="1"/>
                <w:szCs w:val="1"/>
                <w:color w:val="auto"/>
              </w:rPr>
            </w:pPr>
          </w:p>
        </w:tc>
        <w:tc>
          <w:tcPr>
            <w:tcW w:w="680" w:type="dxa"/>
            <w:vAlign w:val="bottom"/>
            <w:shd w:val="clear" w:color="auto" w:fill="009CCC"/>
          </w:tcPr>
          <w:p>
            <w:pPr>
              <w:spacing w:after="0" w:line="20" w:lineRule="exact"/>
              <w:rPr>
                <w:sz w:val="1"/>
                <w:szCs w:val="1"/>
                <w:color w:val="auto"/>
              </w:rPr>
            </w:pPr>
          </w:p>
        </w:tc>
        <w:tc>
          <w:tcPr>
            <w:tcW w:w="120" w:type="dxa"/>
            <w:vAlign w:val="bottom"/>
            <w:shd w:val="clear" w:color="auto" w:fill="009CCC"/>
          </w:tcPr>
          <w:p>
            <w:pPr>
              <w:spacing w:after="0" w:line="20" w:lineRule="exact"/>
              <w:rPr>
                <w:sz w:val="1"/>
                <w:szCs w:val="1"/>
                <w:color w:val="auto"/>
              </w:rPr>
            </w:pPr>
          </w:p>
        </w:tc>
        <w:tc>
          <w:tcPr>
            <w:tcW w:w="580" w:type="dxa"/>
            <w:vAlign w:val="bottom"/>
            <w:shd w:val="clear" w:color="auto" w:fill="009CCC"/>
          </w:tcPr>
          <w:p>
            <w:pPr>
              <w:spacing w:after="0" w:line="20" w:lineRule="exact"/>
              <w:rPr>
                <w:sz w:val="1"/>
                <w:szCs w:val="1"/>
                <w:color w:val="auto"/>
              </w:rPr>
            </w:pPr>
          </w:p>
        </w:tc>
        <w:tc>
          <w:tcPr>
            <w:tcW w:w="140" w:type="dxa"/>
            <w:vAlign w:val="bottom"/>
            <w:shd w:val="clear" w:color="auto" w:fill="009CCC"/>
          </w:tcPr>
          <w:p>
            <w:pPr>
              <w:spacing w:after="0" w:line="20" w:lineRule="exact"/>
              <w:rPr>
                <w:sz w:val="1"/>
                <w:szCs w:val="1"/>
                <w:color w:val="auto"/>
              </w:rPr>
            </w:pPr>
          </w:p>
        </w:tc>
        <w:tc>
          <w:tcPr>
            <w:tcW w:w="720" w:type="dxa"/>
            <w:vAlign w:val="bottom"/>
            <w:shd w:val="clear" w:color="auto" w:fill="009CCC"/>
          </w:tcPr>
          <w:p>
            <w:pPr>
              <w:spacing w:after="0" w:line="20" w:lineRule="exact"/>
              <w:rPr>
                <w:sz w:val="1"/>
                <w:szCs w:val="1"/>
                <w:color w:val="auto"/>
              </w:rPr>
            </w:pPr>
          </w:p>
        </w:tc>
        <w:tc>
          <w:tcPr>
            <w:tcW w:w="60" w:type="dxa"/>
            <w:vAlign w:val="bottom"/>
            <w:shd w:val="clear" w:color="auto" w:fill="009CCC"/>
          </w:tcPr>
          <w:p>
            <w:pPr>
              <w:spacing w:after="0" w:line="20" w:lineRule="exact"/>
              <w:rPr>
                <w:sz w:val="1"/>
                <w:szCs w:val="1"/>
                <w:color w:val="auto"/>
              </w:rPr>
            </w:pPr>
          </w:p>
        </w:tc>
        <w:tc>
          <w:tcPr>
            <w:tcW w:w="720" w:type="dxa"/>
            <w:vAlign w:val="bottom"/>
            <w:shd w:val="clear" w:color="auto" w:fill="009CCC"/>
          </w:tcPr>
          <w:p>
            <w:pPr>
              <w:spacing w:after="0" w:line="20" w:lineRule="exact"/>
              <w:rPr>
                <w:sz w:val="1"/>
                <w:szCs w:val="1"/>
                <w:color w:val="auto"/>
              </w:rPr>
            </w:pPr>
          </w:p>
        </w:tc>
        <w:tc>
          <w:tcPr>
            <w:tcW w:w="700" w:type="dxa"/>
            <w:vAlign w:val="bottom"/>
            <w:shd w:val="clear" w:color="auto" w:fill="009CCC"/>
          </w:tcPr>
          <w:p>
            <w:pPr>
              <w:spacing w:after="0" w:line="20" w:lineRule="exact"/>
              <w:rPr>
                <w:sz w:val="1"/>
                <w:szCs w:val="1"/>
                <w:color w:val="auto"/>
              </w:rPr>
            </w:pPr>
          </w:p>
        </w:tc>
        <w:tc>
          <w:tcPr>
            <w:tcW w:w="440" w:type="dxa"/>
            <w:vAlign w:val="bottom"/>
            <w:shd w:val="clear" w:color="auto" w:fill="009CCC"/>
          </w:tcPr>
          <w:p>
            <w:pPr>
              <w:spacing w:after="0" w:line="20" w:lineRule="exact"/>
              <w:rPr>
                <w:sz w:val="1"/>
                <w:szCs w:val="1"/>
                <w:color w:val="auto"/>
              </w:rPr>
            </w:pPr>
          </w:p>
        </w:tc>
        <w:tc>
          <w:tcPr>
            <w:tcW w:w="120" w:type="dxa"/>
            <w:vAlign w:val="bottom"/>
            <w:shd w:val="clear" w:color="auto" w:fill="009CCC"/>
          </w:tcPr>
          <w:p>
            <w:pPr>
              <w:spacing w:after="0" w:line="20" w:lineRule="exact"/>
              <w:rPr>
                <w:sz w:val="1"/>
                <w:szCs w:val="1"/>
                <w:color w:val="auto"/>
              </w:rPr>
            </w:pPr>
          </w:p>
        </w:tc>
        <w:tc>
          <w:tcPr>
            <w:tcW w:w="520" w:type="dxa"/>
            <w:vAlign w:val="bottom"/>
            <w:shd w:val="clear" w:color="auto" w:fill="009CCC"/>
          </w:tcPr>
          <w:p>
            <w:pPr>
              <w:spacing w:after="0" w:line="20" w:lineRule="exact"/>
              <w:rPr>
                <w:sz w:val="1"/>
                <w:szCs w:val="1"/>
                <w:color w:val="auto"/>
              </w:rPr>
            </w:pPr>
          </w:p>
        </w:tc>
        <w:tc>
          <w:tcPr>
            <w:tcW w:w="660" w:type="dxa"/>
            <w:vAlign w:val="bottom"/>
            <w:shd w:val="clear" w:color="auto" w:fill="009CCC"/>
          </w:tcPr>
          <w:p>
            <w:pPr>
              <w:spacing w:after="0" w:line="20" w:lineRule="exact"/>
              <w:rPr>
                <w:sz w:val="1"/>
                <w:szCs w:val="1"/>
                <w:color w:val="auto"/>
              </w:rPr>
            </w:pPr>
          </w:p>
        </w:tc>
        <w:tc>
          <w:tcPr>
            <w:tcW w:w="140" w:type="dxa"/>
            <w:vAlign w:val="bottom"/>
            <w:shd w:val="clear" w:color="auto" w:fill="009CCC"/>
          </w:tcPr>
          <w:p>
            <w:pPr>
              <w:spacing w:after="0" w:line="20" w:lineRule="exact"/>
              <w:rPr>
                <w:sz w:val="1"/>
                <w:szCs w:val="1"/>
                <w:color w:val="auto"/>
              </w:rPr>
            </w:pPr>
          </w:p>
        </w:tc>
        <w:tc>
          <w:tcPr>
            <w:tcW w:w="560" w:type="dxa"/>
            <w:vAlign w:val="bottom"/>
            <w:shd w:val="clear" w:color="auto" w:fill="009CCC"/>
          </w:tcPr>
          <w:p>
            <w:pPr>
              <w:spacing w:after="0" w:line="20" w:lineRule="exact"/>
              <w:rPr>
                <w:sz w:val="1"/>
                <w:szCs w:val="1"/>
                <w:color w:val="auto"/>
              </w:rPr>
            </w:pPr>
          </w:p>
        </w:tc>
        <w:tc>
          <w:tcPr>
            <w:tcW w:w="120" w:type="dxa"/>
            <w:vAlign w:val="bottom"/>
            <w:shd w:val="clear" w:color="auto" w:fill="009CCC"/>
          </w:tcPr>
          <w:p>
            <w:pPr>
              <w:spacing w:after="0" w:line="20" w:lineRule="exact"/>
              <w:rPr>
                <w:sz w:val="1"/>
                <w:szCs w:val="1"/>
                <w:color w:val="auto"/>
              </w:rPr>
            </w:pPr>
          </w:p>
        </w:tc>
        <w:tc>
          <w:tcPr>
            <w:tcW w:w="540" w:type="dxa"/>
            <w:vAlign w:val="bottom"/>
            <w:shd w:val="clear" w:color="auto" w:fill="009CCC"/>
          </w:tcPr>
          <w:p>
            <w:pPr>
              <w:spacing w:after="0" w:line="20" w:lineRule="exact"/>
              <w:rPr>
                <w:sz w:val="1"/>
                <w:szCs w:val="1"/>
                <w:color w:val="auto"/>
              </w:rPr>
            </w:pPr>
          </w:p>
        </w:tc>
      </w:tr>
    </w:tbl>
    <w:p>
      <w:pPr>
        <w:spacing w:after="0" w:line="187" w:lineRule="exact"/>
        <w:rPr>
          <w:sz w:val="20"/>
          <w:szCs w:val="20"/>
          <w:color w:val="auto"/>
        </w:rPr>
      </w:pPr>
    </w:p>
    <w:p>
      <w:pPr>
        <w:jc w:val="both"/>
        <w:ind w:left="1820" w:right="20" w:hanging="455"/>
        <w:spacing w:after="0" w:line="246" w:lineRule="auto"/>
        <w:tabs>
          <w:tab w:leader="none" w:pos="1820" w:val="left"/>
        </w:tabs>
        <w:numPr>
          <w:ilvl w:val="0"/>
          <w:numId w:val="54"/>
        </w:numPr>
        <w:rPr>
          <w:rFonts w:ascii="Arial" w:cs="Arial" w:eastAsia="Arial" w:hAnsi="Arial"/>
          <w:sz w:val="12"/>
          <w:szCs w:val="12"/>
          <w:color w:val="7B7C80"/>
        </w:rPr>
      </w:pPr>
      <w:r>
        <w:rPr>
          <w:rFonts w:ascii="Arial" w:cs="Arial" w:eastAsia="Arial" w:hAnsi="Arial"/>
          <w:sz w:val="12"/>
          <w:szCs w:val="12"/>
          <w:color w:val="7B7C80"/>
        </w:rPr>
        <w:t>The maximum award shown is the maximum aggregate award payable under the Annual Incentive Pay Plan for the Named Executive Officers, based on the Bonus Pool. In determining the actual annual incentive award payable, the Human Resources Committee exercises negative discretion to reduce the amount payable from the maximum award determined under the Annual Incentive Pay Plan as described on pages 32-36.</w:t>
      </w:r>
    </w:p>
    <w:p>
      <w:pPr>
        <w:spacing w:after="0" w:line="125" w:lineRule="exact"/>
        <w:rPr>
          <w:rFonts w:ascii="Arial" w:cs="Arial" w:eastAsia="Arial" w:hAnsi="Arial"/>
          <w:sz w:val="12"/>
          <w:szCs w:val="12"/>
          <w:color w:val="7B7C80"/>
        </w:rPr>
      </w:pPr>
    </w:p>
    <w:p>
      <w:pPr>
        <w:ind w:left="1820" w:right="20" w:hanging="455"/>
        <w:spacing w:after="0" w:line="253" w:lineRule="auto"/>
        <w:tabs>
          <w:tab w:leader="none" w:pos="1820" w:val="left"/>
        </w:tabs>
        <w:numPr>
          <w:ilvl w:val="0"/>
          <w:numId w:val="54"/>
        </w:numPr>
        <w:rPr>
          <w:rFonts w:ascii="Arial" w:cs="Arial" w:eastAsia="Arial" w:hAnsi="Arial"/>
          <w:sz w:val="12"/>
          <w:szCs w:val="12"/>
          <w:color w:val="7B7C80"/>
        </w:rPr>
      </w:pPr>
      <w:r>
        <w:rPr>
          <w:rFonts w:ascii="Arial" w:cs="Arial" w:eastAsia="Arial" w:hAnsi="Arial"/>
          <w:sz w:val="12"/>
          <w:szCs w:val="12"/>
          <w:color w:val="7B7C80"/>
        </w:rPr>
        <w:t>These columns reflect PSUs granted on February 27, 2017. These PSUs will vest, if at all, according to the 2017-2019 PSU performance scale outlined on page 37. The maximum payout for the 2017 PSUs is 150% of the target number of PSUs.</w:t>
      </w:r>
    </w:p>
    <w:p>
      <w:pPr>
        <w:spacing w:after="0" w:line="121" w:lineRule="exact"/>
        <w:rPr>
          <w:rFonts w:ascii="Arial" w:cs="Arial" w:eastAsia="Arial" w:hAnsi="Arial"/>
          <w:sz w:val="12"/>
          <w:szCs w:val="12"/>
          <w:color w:val="7B7C80"/>
        </w:rPr>
      </w:pPr>
    </w:p>
    <w:p>
      <w:pPr>
        <w:jc w:val="both"/>
        <w:ind w:left="1820" w:right="20" w:hanging="455"/>
        <w:spacing w:after="0" w:line="246" w:lineRule="auto"/>
        <w:tabs>
          <w:tab w:leader="none" w:pos="1820" w:val="left"/>
        </w:tabs>
        <w:numPr>
          <w:ilvl w:val="0"/>
          <w:numId w:val="54"/>
        </w:numPr>
        <w:rPr>
          <w:rFonts w:ascii="Arial" w:cs="Arial" w:eastAsia="Arial" w:hAnsi="Arial"/>
          <w:sz w:val="12"/>
          <w:szCs w:val="12"/>
          <w:color w:val="7B7C80"/>
        </w:rPr>
      </w:pPr>
      <w:r>
        <w:rPr>
          <w:rFonts w:ascii="Arial" w:cs="Arial" w:eastAsia="Arial" w:hAnsi="Arial"/>
          <w:sz w:val="12"/>
          <w:szCs w:val="12"/>
          <w:color w:val="7B7C80"/>
        </w:rPr>
        <w:t>The options vest in three equal annual installments beginning on the first anniversary of the grant date. The options are not eligible for dividend equivalents. The number of stock options awarded to each Named Executive Officer in a given year is calculated by dividing the grant date fair value of one option into the portion of the Adjusted Target Award Opportunity (50%) to be delivered in options, using the Black-Scholes model.</w:t>
      </w:r>
    </w:p>
    <w:p>
      <w:pPr>
        <w:spacing w:after="0" w:line="125" w:lineRule="exact"/>
        <w:rPr>
          <w:rFonts w:ascii="Arial" w:cs="Arial" w:eastAsia="Arial" w:hAnsi="Arial"/>
          <w:sz w:val="12"/>
          <w:szCs w:val="12"/>
          <w:color w:val="7B7C80"/>
        </w:rPr>
      </w:pPr>
    </w:p>
    <w:p>
      <w:pPr>
        <w:ind w:left="1820" w:hanging="455"/>
        <w:spacing w:after="0"/>
        <w:tabs>
          <w:tab w:leader="none" w:pos="1820" w:val="left"/>
        </w:tabs>
        <w:numPr>
          <w:ilvl w:val="0"/>
          <w:numId w:val="54"/>
        </w:numPr>
        <w:rPr>
          <w:rFonts w:ascii="Arial" w:cs="Arial" w:eastAsia="Arial" w:hAnsi="Arial"/>
          <w:sz w:val="12"/>
          <w:szCs w:val="12"/>
          <w:color w:val="7B7C80"/>
        </w:rPr>
      </w:pPr>
      <w:r>
        <w:rPr>
          <w:rFonts w:ascii="Arial" w:cs="Arial" w:eastAsia="Arial" w:hAnsi="Arial"/>
          <w:sz w:val="12"/>
          <w:szCs w:val="12"/>
          <w:color w:val="7B7C80"/>
        </w:rPr>
        <w:t>The per-share option exercise price is the closing price of the Common Stock on the date of grant.</w:t>
      </w:r>
    </w:p>
    <w:p>
      <w:pPr>
        <w:spacing w:after="0" w:line="136" w:lineRule="exact"/>
        <w:rPr>
          <w:rFonts w:ascii="Arial" w:cs="Arial" w:eastAsia="Arial" w:hAnsi="Arial"/>
          <w:sz w:val="12"/>
          <w:szCs w:val="12"/>
          <w:color w:val="7B7C80"/>
        </w:rPr>
      </w:pPr>
    </w:p>
    <w:p>
      <w:pPr>
        <w:ind w:left="1820" w:hanging="455"/>
        <w:spacing w:after="0"/>
        <w:tabs>
          <w:tab w:leader="none" w:pos="1820" w:val="left"/>
        </w:tabs>
        <w:numPr>
          <w:ilvl w:val="0"/>
          <w:numId w:val="54"/>
        </w:numPr>
        <w:rPr>
          <w:rFonts w:ascii="Arial" w:cs="Arial" w:eastAsia="Arial" w:hAnsi="Arial"/>
          <w:sz w:val="12"/>
          <w:szCs w:val="12"/>
          <w:color w:val="7B7C80"/>
        </w:rPr>
      </w:pPr>
      <w:r>
        <w:rPr>
          <w:rFonts w:ascii="Arial" w:cs="Arial" w:eastAsia="Arial" w:hAnsi="Arial"/>
          <w:sz w:val="12"/>
          <w:szCs w:val="12"/>
          <w:color w:val="7B7C80"/>
        </w:rPr>
        <w:t>Represents the grant date fair value of the award at target.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113665</wp:posOffset>
            </wp:positionV>
            <wp:extent cx="960120" cy="28384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9"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43</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46" w:name="page47"/>
    <w:bookmarkEnd w:id="46"/>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Outstanding Equity Awards at Fiscal Year End December 31, 2017</w:t>
      </w:r>
    </w:p>
    <w:p>
      <w:pPr>
        <w:spacing w:after="0" w:line="178" w:lineRule="exact"/>
        <w:rPr>
          <w:sz w:val="20"/>
          <w:szCs w:val="20"/>
          <w:color w:val="auto"/>
        </w:rPr>
      </w:pPr>
    </w:p>
    <w:tbl>
      <w:tblPr>
        <w:tblLayout w:type="fixed"/>
        <w:tblInd w:w="1140" w:type="dxa"/>
        <w:tblCellMar>
          <w:top w:w="0" w:type="dxa"/>
          <w:left w:w="0" w:type="dxa"/>
          <w:bottom w:w="0" w:type="dxa"/>
          <w:right w:w="0" w:type="dxa"/>
        </w:tblCellMar>
      </w:tblPr>
      <w:tr>
        <w:trPr>
          <w:trHeight w:val="149"/>
        </w:trPr>
        <w:tc>
          <w:tcPr>
            <w:tcW w:w="1640" w:type="dxa"/>
            <w:vAlign w:val="bottom"/>
            <w:tcBorders>
              <w:top w:val="single" w:sz="8" w:color="009CCC"/>
            </w:tcBorders>
          </w:tcPr>
          <w:p>
            <w:pPr>
              <w:spacing w:after="0"/>
              <w:rPr>
                <w:sz w:val="12"/>
                <w:szCs w:val="12"/>
                <w:color w:val="auto"/>
              </w:rPr>
            </w:pPr>
          </w:p>
        </w:tc>
        <w:tc>
          <w:tcPr>
            <w:tcW w:w="1000" w:type="dxa"/>
            <w:vAlign w:val="bottom"/>
            <w:tcBorders>
              <w:top w:val="single" w:sz="8" w:color="009CCC"/>
            </w:tcBorders>
          </w:tcPr>
          <w:p>
            <w:pPr>
              <w:spacing w:after="0"/>
              <w:rPr>
                <w:sz w:val="12"/>
                <w:szCs w:val="12"/>
                <w:color w:val="auto"/>
              </w:rPr>
            </w:pPr>
          </w:p>
        </w:tc>
        <w:tc>
          <w:tcPr>
            <w:tcW w:w="1020" w:type="dxa"/>
            <w:vAlign w:val="bottom"/>
            <w:tcBorders>
              <w:top w:val="single" w:sz="8" w:color="009CCC"/>
            </w:tcBorders>
          </w:tcPr>
          <w:p>
            <w:pPr>
              <w:spacing w:after="0"/>
              <w:rPr>
                <w:sz w:val="12"/>
                <w:szCs w:val="12"/>
                <w:color w:val="auto"/>
              </w:rPr>
            </w:pPr>
          </w:p>
        </w:tc>
        <w:tc>
          <w:tcPr>
            <w:tcW w:w="180" w:type="dxa"/>
            <w:vAlign w:val="bottom"/>
            <w:tcBorders>
              <w:top w:val="single" w:sz="8" w:color="009CCC"/>
            </w:tcBorders>
          </w:tcPr>
          <w:p>
            <w:pPr>
              <w:spacing w:after="0"/>
              <w:rPr>
                <w:sz w:val="12"/>
                <w:szCs w:val="12"/>
                <w:color w:val="auto"/>
              </w:rPr>
            </w:pPr>
          </w:p>
        </w:tc>
        <w:tc>
          <w:tcPr>
            <w:tcW w:w="500" w:type="dxa"/>
            <w:vAlign w:val="bottom"/>
            <w:tcBorders>
              <w:top w:val="single" w:sz="8" w:color="009CCC"/>
            </w:tcBorders>
          </w:tcPr>
          <w:p>
            <w:pPr>
              <w:spacing w:after="0"/>
              <w:rPr>
                <w:sz w:val="12"/>
                <w:szCs w:val="12"/>
                <w:color w:val="auto"/>
              </w:rPr>
            </w:pPr>
          </w:p>
        </w:tc>
        <w:tc>
          <w:tcPr>
            <w:tcW w:w="700" w:type="dxa"/>
            <w:vAlign w:val="bottom"/>
            <w:tcBorders>
              <w:top w:val="single" w:sz="8" w:color="009CCC"/>
            </w:tcBorders>
          </w:tcPr>
          <w:p>
            <w:pPr>
              <w:spacing w:after="0"/>
              <w:rPr>
                <w:sz w:val="12"/>
                <w:szCs w:val="12"/>
                <w:color w:val="auto"/>
              </w:rPr>
            </w:pPr>
          </w:p>
        </w:tc>
        <w:tc>
          <w:tcPr>
            <w:tcW w:w="200" w:type="dxa"/>
            <w:vAlign w:val="bottom"/>
            <w:tcBorders>
              <w:top w:val="single" w:sz="8" w:color="009CCC"/>
            </w:tcBorders>
          </w:tcPr>
          <w:p>
            <w:pPr>
              <w:spacing w:after="0"/>
              <w:rPr>
                <w:sz w:val="12"/>
                <w:szCs w:val="12"/>
                <w:color w:val="auto"/>
              </w:rPr>
            </w:pPr>
          </w:p>
        </w:tc>
        <w:tc>
          <w:tcPr>
            <w:tcW w:w="700" w:type="dxa"/>
            <w:vAlign w:val="bottom"/>
            <w:tcBorders>
              <w:top w:val="single" w:sz="8" w:color="009CCC"/>
              <w:bottom w:val="single" w:sz="8" w:color="7B7C80"/>
            </w:tcBorders>
          </w:tcPr>
          <w:p>
            <w:pPr>
              <w:spacing w:after="0"/>
              <w:rPr>
                <w:sz w:val="12"/>
                <w:szCs w:val="12"/>
                <w:color w:val="auto"/>
              </w:rPr>
            </w:pPr>
          </w:p>
        </w:tc>
        <w:tc>
          <w:tcPr>
            <w:tcW w:w="760" w:type="dxa"/>
            <w:vAlign w:val="bottom"/>
            <w:tcBorders>
              <w:top w:val="single" w:sz="8" w:color="009CCC"/>
              <w:bottom w:val="single" w:sz="8" w:color="7B7C80"/>
            </w:tcBorders>
          </w:tcPr>
          <w:p>
            <w:pPr>
              <w:spacing w:after="0"/>
              <w:rPr>
                <w:sz w:val="12"/>
                <w:szCs w:val="12"/>
                <w:color w:val="auto"/>
              </w:rPr>
            </w:pPr>
          </w:p>
        </w:tc>
        <w:tc>
          <w:tcPr>
            <w:tcW w:w="1240" w:type="dxa"/>
            <w:vAlign w:val="bottom"/>
            <w:tcBorders>
              <w:top w:val="single" w:sz="8" w:color="009CCC"/>
              <w:bottom w:val="single" w:sz="8" w:color="7B7C80"/>
            </w:tcBorders>
          </w:tcPr>
          <w:p>
            <w:pPr>
              <w:jc w:val="right"/>
              <w:ind w:right="319"/>
              <w:spacing w:after="0"/>
              <w:rPr>
                <w:sz w:val="20"/>
                <w:szCs w:val="20"/>
                <w:color w:val="auto"/>
              </w:rPr>
            </w:pPr>
            <w:r>
              <w:rPr>
                <w:rFonts w:ascii="Arial" w:cs="Arial" w:eastAsia="Arial" w:hAnsi="Arial"/>
                <w:sz w:val="12"/>
                <w:szCs w:val="12"/>
                <w:b w:val="1"/>
                <w:bCs w:val="1"/>
                <w:color w:val="009CCC"/>
              </w:rPr>
              <w:t>Stock Awards</w:t>
            </w:r>
          </w:p>
        </w:tc>
        <w:tc>
          <w:tcPr>
            <w:tcW w:w="480" w:type="dxa"/>
            <w:vAlign w:val="bottom"/>
            <w:tcBorders>
              <w:top w:val="single" w:sz="8" w:color="009CCC"/>
              <w:bottom w:val="single" w:sz="8" w:color="7B7C80"/>
            </w:tcBorders>
          </w:tcPr>
          <w:p>
            <w:pPr>
              <w:spacing w:after="0"/>
              <w:rPr>
                <w:sz w:val="12"/>
                <w:szCs w:val="12"/>
                <w:color w:val="auto"/>
              </w:rPr>
            </w:pPr>
          </w:p>
        </w:tc>
        <w:tc>
          <w:tcPr>
            <w:tcW w:w="660" w:type="dxa"/>
            <w:vAlign w:val="bottom"/>
            <w:tcBorders>
              <w:top w:val="single" w:sz="8" w:color="009CCC"/>
              <w:bottom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19"/>
        </w:trPr>
        <w:tc>
          <w:tcPr>
            <w:tcW w:w="164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660" w:type="dxa"/>
            <w:vAlign w:val="bottom"/>
          </w:tcPr>
          <w:p>
            <w:pPr>
              <w:jc w:val="right"/>
              <w:spacing w:after="0" w:line="119" w:lineRule="exact"/>
              <w:rPr>
                <w:sz w:val="20"/>
                <w:szCs w:val="20"/>
                <w:color w:val="auto"/>
              </w:rPr>
            </w:pPr>
            <w:r>
              <w:rPr>
                <w:rFonts w:ascii="Arial" w:cs="Arial" w:eastAsia="Arial" w:hAnsi="Arial"/>
                <w:sz w:val="12"/>
                <w:szCs w:val="12"/>
                <w:b w:val="1"/>
                <w:bCs w:val="1"/>
                <w:color w:val="009CCC"/>
              </w:rPr>
              <w:t>Equity</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jc w:val="right"/>
              <w:ind w:right="19"/>
              <w:spacing w:after="0"/>
              <w:rPr>
                <w:sz w:val="20"/>
                <w:szCs w:val="20"/>
                <w:color w:val="auto"/>
              </w:rPr>
            </w:pPr>
            <w:r>
              <w:rPr>
                <w:rFonts w:ascii="Arial" w:cs="Arial" w:eastAsia="Arial" w:hAnsi="Arial"/>
                <w:sz w:val="12"/>
                <w:szCs w:val="12"/>
                <w:b w:val="1"/>
                <w:bCs w:val="1"/>
                <w:color w:val="009CCC"/>
              </w:rPr>
              <w:t>Equity</w:t>
            </w:r>
          </w:p>
        </w:tc>
        <w:tc>
          <w:tcPr>
            <w:tcW w:w="1140" w:type="dxa"/>
            <w:vAlign w:val="bottom"/>
            <w:gridSpan w:val="2"/>
          </w:tcPr>
          <w:p>
            <w:pPr>
              <w:jc w:val="right"/>
              <w:spacing w:after="0"/>
              <w:rPr>
                <w:sz w:val="20"/>
                <w:szCs w:val="20"/>
                <w:color w:val="auto"/>
              </w:rPr>
            </w:pPr>
            <w:r>
              <w:rPr>
                <w:rFonts w:ascii="Arial" w:cs="Arial" w:eastAsia="Arial" w:hAnsi="Arial"/>
                <w:sz w:val="12"/>
                <w:szCs w:val="12"/>
                <w:b w:val="1"/>
                <w:bCs w:val="1"/>
                <w:color w:val="009CCC"/>
              </w:rPr>
              <w:t>Incentive Plan</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1200" w:type="dxa"/>
            <w:vAlign w:val="bottom"/>
            <w:gridSpan w:val="2"/>
          </w:tcPr>
          <w:p>
            <w:pPr>
              <w:jc w:val="right"/>
              <w:spacing w:after="0"/>
              <w:rPr>
                <w:sz w:val="20"/>
                <w:szCs w:val="20"/>
                <w:color w:val="auto"/>
              </w:rPr>
            </w:pPr>
            <w:r>
              <w:rPr>
                <w:rFonts w:ascii="Arial" w:cs="Arial" w:eastAsia="Arial" w:hAnsi="Arial"/>
                <w:sz w:val="12"/>
                <w:szCs w:val="12"/>
                <w:b w:val="1"/>
                <w:bCs w:val="1"/>
                <w:color w:val="009CCC"/>
              </w:rPr>
              <w:t>Option Awards</w:t>
            </w:r>
          </w:p>
        </w:tc>
        <w:tc>
          <w:tcPr>
            <w:tcW w:w="5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jc w:val="right"/>
              <w:ind w:right="19"/>
              <w:spacing w:after="0"/>
              <w:rPr>
                <w:sz w:val="20"/>
                <w:szCs w:val="20"/>
                <w:color w:val="auto"/>
              </w:rPr>
            </w:pPr>
            <w:r>
              <w:rPr>
                <w:rFonts w:ascii="Arial" w:cs="Arial" w:eastAsia="Arial" w:hAnsi="Arial"/>
                <w:sz w:val="12"/>
                <w:szCs w:val="12"/>
                <w:b w:val="1"/>
                <w:bCs w:val="1"/>
                <w:color w:val="009CCC"/>
              </w:rPr>
              <w:t>Incentive Plan</w:t>
            </w:r>
          </w:p>
        </w:tc>
        <w:tc>
          <w:tcPr>
            <w:tcW w:w="4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2"/>
                <w:szCs w:val="12"/>
                <w:b w:val="1"/>
                <w:bCs w:val="1"/>
                <w:color w:val="009CCC"/>
              </w:rPr>
              <w:t>Awards:</w:t>
            </w:r>
          </w:p>
        </w:tc>
        <w:tc>
          <w:tcPr>
            <w:tcW w:w="0" w:type="dxa"/>
            <w:vAlign w:val="bottom"/>
          </w:tcPr>
          <w:p>
            <w:pPr>
              <w:spacing w:after="0"/>
              <w:rPr>
                <w:sz w:val="1"/>
                <w:szCs w:val="1"/>
                <w:color w:val="auto"/>
              </w:rPr>
            </w:pPr>
          </w:p>
        </w:tc>
      </w:tr>
      <w:tr>
        <w:trPr>
          <w:trHeight w:val="21"/>
        </w:trPr>
        <w:tc>
          <w:tcPr>
            <w:tcW w:w="1640" w:type="dxa"/>
            <w:vAlign w:val="bottom"/>
          </w:tcPr>
          <w:p>
            <w:pPr>
              <w:spacing w:after="0" w:line="20" w:lineRule="exact"/>
              <w:rPr>
                <w:sz w:val="1"/>
                <w:szCs w:val="1"/>
                <w:color w:val="auto"/>
              </w:rPr>
            </w:pPr>
          </w:p>
        </w:tc>
        <w:tc>
          <w:tcPr>
            <w:tcW w:w="1000" w:type="dxa"/>
            <w:vAlign w:val="bottom"/>
            <w:tcBorders>
              <w:bottom w:val="single" w:sz="8" w:color="7B7C80"/>
            </w:tcBorders>
          </w:tcPr>
          <w:p>
            <w:pPr>
              <w:spacing w:after="0" w:line="20" w:lineRule="exact"/>
              <w:rPr>
                <w:sz w:val="1"/>
                <w:szCs w:val="1"/>
                <w:color w:val="auto"/>
              </w:rPr>
            </w:pPr>
          </w:p>
        </w:tc>
        <w:tc>
          <w:tcPr>
            <w:tcW w:w="1020" w:type="dxa"/>
            <w:vAlign w:val="bottom"/>
            <w:tcBorders>
              <w:bottom w:val="single" w:sz="8" w:color="7B7C80"/>
            </w:tcBorders>
          </w:tcPr>
          <w:p>
            <w:pPr>
              <w:spacing w:after="0" w:line="20" w:lineRule="exact"/>
              <w:rPr>
                <w:sz w:val="1"/>
                <w:szCs w:val="1"/>
                <w:color w:val="auto"/>
              </w:rPr>
            </w:pPr>
          </w:p>
        </w:tc>
        <w:tc>
          <w:tcPr>
            <w:tcW w:w="180" w:type="dxa"/>
            <w:vAlign w:val="bottom"/>
            <w:tcBorders>
              <w:bottom w:val="single" w:sz="8" w:color="7B7C80"/>
            </w:tcBorders>
          </w:tcPr>
          <w:p>
            <w:pPr>
              <w:spacing w:after="0" w:line="20" w:lineRule="exact"/>
              <w:rPr>
                <w:sz w:val="1"/>
                <w:szCs w:val="1"/>
                <w:color w:val="auto"/>
              </w:rPr>
            </w:pPr>
          </w:p>
        </w:tc>
        <w:tc>
          <w:tcPr>
            <w:tcW w:w="500" w:type="dxa"/>
            <w:vAlign w:val="bottom"/>
            <w:tcBorders>
              <w:bottom w:val="single" w:sz="8" w:color="7B7C80"/>
            </w:tcBorders>
          </w:tcPr>
          <w:p>
            <w:pPr>
              <w:spacing w:after="0" w:line="20" w:lineRule="exact"/>
              <w:rPr>
                <w:sz w:val="1"/>
                <w:szCs w:val="1"/>
                <w:color w:val="auto"/>
              </w:rPr>
            </w:pPr>
          </w:p>
        </w:tc>
        <w:tc>
          <w:tcPr>
            <w:tcW w:w="700" w:type="dxa"/>
            <w:vAlign w:val="bottom"/>
            <w:tcBorders>
              <w:bottom w:val="single" w:sz="8" w:color="7B7C80"/>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760" w:type="dxa"/>
            <w:vAlign w:val="bottom"/>
            <w:vMerge w:val="restart"/>
          </w:tcPr>
          <w:p>
            <w:pPr>
              <w:jc w:val="right"/>
              <w:ind w:right="19"/>
              <w:spacing w:after="0"/>
              <w:rPr>
                <w:sz w:val="20"/>
                <w:szCs w:val="20"/>
                <w:color w:val="auto"/>
              </w:rPr>
            </w:pPr>
            <w:r>
              <w:rPr>
                <w:rFonts w:ascii="Arial" w:cs="Arial" w:eastAsia="Arial" w:hAnsi="Arial"/>
                <w:sz w:val="12"/>
                <w:szCs w:val="12"/>
                <w:b w:val="1"/>
                <w:bCs w:val="1"/>
                <w:color w:val="009CCC"/>
              </w:rPr>
              <w:t>Market</w:t>
            </w:r>
          </w:p>
        </w:tc>
        <w:tc>
          <w:tcPr>
            <w:tcW w:w="1240" w:type="dxa"/>
            <w:vAlign w:val="bottom"/>
            <w:vMerge w:val="restart"/>
          </w:tcPr>
          <w:p>
            <w:pPr>
              <w:jc w:val="right"/>
              <w:ind w:right="19"/>
              <w:spacing w:after="0"/>
              <w:rPr>
                <w:sz w:val="20"/>
                <w:szCs w:val="20"/>
                <w:color w:val="auto"/>
              </w:rPr>
            </w:pPr>
            <w:r>
              <w:rPr>
                <w:rFonts w:ascii="Arial" w:cs="Arial" w:eastAsia="Arial" w:hAnsi="Arial"/>
                <w:sz w:val="12"/>
                <w:szCs w:val="12"/>
                <w:b w:val="1"/>
                <w:bCs w:val="1"/>
                <w:color w:val="009CCC"/>
              </w:rPr>
              <w:t>Awards:</w:t>
            </w:r>
          </w:p>
        </w:tc>
        <w:tc>
          <w:tcPr>
            <w:tcW w:w="480" w:type="dxa"/>
            <w:vAlign w:val="bottom"/>
          </w:tcPr>
          <w:p>
            <w:pPr>
              <w:spacing w:after="0" w:line="20" w:lineRule="exact"/>
              <w:rPr>
                <w:sz w:val="1"/>
                <w:szCs w:val="1"/>
                <w:color w:val="auto"/>
              </w:rPr>
            </w:pPr>
          </w:p>
        </w:tc>
        <w:tc>
          <w:tcPr>
            <w:tcW w:w="660" w:type="dxa"/>
            <w:vAlign w:val="bottom"/>
            <w:vMerge w:val="restart"/>
          </w:tcPr>
          <w:p>
            <w:pPr>
              <w:jc w:val="right"/>
              <w:spacing w:after="0"/>
              <w:rPr>
                <w:sz w:val="20"/>
                <w:szCs w:val="20"/>
                <w:color w:val="auto"/>
              </w:rPr>
            </w:pPr>
            <w:r>
              <w:rPr>
                <w:rFonts w:ascii="Arial" w:cs="Arial" w:eastAsia="Arial" w:hAnsi="Arial"/>
                <w:sz w:val="12"/>
                <w:szCs w:val="12"/>
                <w:b w:val="1"/>
                <w:bCs w:val="1"/>
                <w:color w:val="009CCC"/>
              </w:rPr>
              <w:t>Market or</w:t>
            </w:r>
          </w:p>
        </w:tc>
        <w:tc>
          <w:tcPr>
            <w:tcW w:w="0" w:type="dxa"/>
            <w:vAlign w:val="bottom"/>
          </w:tcPr>
          <w:p>
            <w:pPr>
              <w:spacing w:after="0"/>
              <w:rPr>
                <w:sz w:val="1"/>
                <w:szCs w:val="1"/>
                <w:color w:val="auto"/>
              </w:rPr>
            </w:pPr>
          </w:p>
        </w:tc>
      </w:tr>
      <w:tr>
        <w:trPr>
          <w:trHeight w:val="106"/>
        </w:trPr>
        <w:tc>
          <w:tcPr>
            <w:tcW w:w="164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80" w:type="dxa"/>
            <w:vAlign w:val="bottom"/>
          </w:tcPr>
          <w:p>
            <w:pPr>
              <w:spacing w:after="0"/>
              <w:rPr>
                <w:sz w:val="9"/>
                <w:szCs w:val="9"/>
                <w:color w:val="auto"/>
              </w:rPr>
            </w:pPr>
          </w:p>
        </w:tc>
        <w:tc>
          <w:tcPr>
            <w:tcW w:w="500" w:type="dxa"/>
            <w:vAlign w:val="bottom"/>
          </w:tcPr>
          <w:p>
            <w:pPr>
              <w:spacing w:after="0"/>
              <w:rPr>
                <w:sz w:val="9"/>
                <w:szCs w:val="9"/>
                <w:color w:val="auto"/>
              </w:rPr>
            </w:pPr>
          </w:p>
        </w:tc>
        <w:tc>
          <w:tcPr>
            <w:tcW w:w="700" w:type="dxa"/>
            <w:vAlign w:val="bottom"/>
          </w:tcPr>
          <w:p>
            <w:pPr>
              <w:spacing w:after="0"/>
              <w:rPr>
                <w:sz w:val="9"/>
                <w:szCs w:val="9"/>
                <w:color w:val="auto"/>
              </w:rPr>
            </w:pPr>
          </w:p>
        </w:tc>
        <w:tc>
          <w:tcPr>
            <w:tcW w:w="200" w:type="dxa"/>
            <w:vAlign w:val="bottom"/>
          </w:tcPr>
          <w:p>
            <w:pPr>
              <w:spacing w:after="0"/>
              <w:rPr>
                <w:sz w:val="9"/>
                <w:szCs w:val="9"/>
                <w:color w:val="auto"/>
              </w:rPr>
            </w:pPr>
          </w:p>
        </w:tc>
        <w:tc>
          <w:tcPr>
            <w:tcW w:w="700" w:type="dxa"/>
            <w:vAlign w:val="bottom"/>
          </w:tcPr>
          <w:p>
            <w:pPr>
              <w:spacing w:after="0"/>
              <w:rPr>
                <w:sz w:val="9"/>
                <w:szCs w:val="9"/>
                <w:color w:val="auto"/>
              </w:rPr>
            </w:pPr>
          </w:p>
        </w:tc>
        <w:tc>
          <w:tcPr>
            <w:tcW w:w="760" w:type="dxa"/>
            <w:vAlign w:val="bottom"/>
            <w:vMerge w:val="continue"/>
          </w:tcPr>
          <w:p>
            <w:pPr>
              <w:spacing w:after="0"/>
              <w:rPr>
                <w:sz w:val="9"/>
                <w:szCs w:val="9"/>
                <w:color w:val="auto"/>
              </w:rPr>
            </w:pPr>
          </w:p>
        </w:tc>
        <w:tc>
          <w:tcPr>
            <w:tcW w:w="1240" w:type="dxa"/>
            <w:vAlign w:val="bottom"/>
            <w:vMerge w:val="continue"/>
          </w:tcPr>
          <w:p>
            <w:pPr>
              <w:spacing w:after="0"/>
              <w:rPr>
                <w:sz w:val="9"/>
                <w:szCs w:val="9"/>
                <w:color w:val="auto"/>
              </w:rPr>
            </w:pPr>
          </w:p>
        </w:tc>
        <w:tc>
          <w:tcPr>
            <w:tcW w:w="480" w:type="dxa"/>
            <w:vAlign w:val="bottom"/>
          </w:tcPr>
          <w:p>
            <w:pPr>
              <w:spacing w:after="0"/>
              <w:rPr>
                <w:sz w:val="9"/>
                <w:szCs w:val="9"/>
                <w:color w:val="auto"/>
              </w:rPr>
            </w:pPr>
          </w:p>
        </w:tc>
        <w:tc>
          <w:tcPr>
            <w:tcW w:w="6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b w:val="1"/>
                <w:bCs w:val="1"/>
                <w:color w:val="009CCC"/>
              </w:rPr>
              <w:t>Number of</w:t>
            </w:r>
          </w:p>
        </w:tc>
        <w:tc>
          <w:tcPr>
            <w:tcW w:w="1020" w:type="dxa"/>
            <w:vAlign w:val="bottom"/>
          </w:tcPr>
          <w:p>
            <w:pPr>
              <w:jc w:val="right"/>
              <w:ind w:right="39"/>
              <w:spacing w:after="0"/>
              <w:rPr>
                <w:sz w:val="20"/>
                <w:szCs w:val="20"/>
                <w:color w:val="auto"/>
              </w:rPr>
            </w:pPr>
            <w:r>
              <w:rPr>
                <w:rFonts w:ascii="Arial" w:cs="Arial" w:eastAsia="Arial" w:hAnsi="Arial"/>
                <w:sz w:val="12"/>
                <w:szCs w:val="12"/>
                <w:b w:val="1"/>
                <w:bCs w:val="1"/>
                <w:color w:val="009CCC"/>
              </w:rPr>
              <w:t>Number of</w:t>
            </w: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jc w:val="right"/>
              <w:ind w:right="19"/>
              <w:spacing w:after="0"/>
              <w:rPr>
                <w:sz w:val="20"/>
                <w:szCs w:val="20"/>
                <w:color w:val="auto"/>
              </w:rPr>
            </w:pPr>
            <w:r>
              <w:rPr>
                <w:rFonts w:ascii="Arial" w:cs="Arial" w:eastAsia="Arial" w:hAnsi="Arial"/>
                <w:sz w:val="12"/>
                <w:szCs w:val="12"/>
                <w:b w:val="1"/>
                <w:bCs w:val="1"/>
                <w:color w:val="009CCC"/>
                <w:w w:val="99"/>
              </w:rPr>
              <w:t>Number of</w:t>
            </w:r>
          </w:p>
        </w:tc>
        <w:tc>
          <w:tcPr>
            <w:tcW w:w="760" w:type="dxa"/>
            <w:vAlign w:val="bottom"/>
          </w:tcPr>
          <w:p>
            <w:pPr>
              <w:jc w:val="right"/>
              <w:ind w:right="19"/>
              <w:spacing w:after="0"/>
              <w:rPr>
                <w:sz w:val="20"/>
                <w:szCs w:val="20"/>
                <w:color w:val="auto"/>
              </w:rPr>
            </w:pPr>
            <w:r>
              <w:rPr>
                <w:rFonts w:ascii="Arial" w:cs="Arial" w:eastAsia="Arial" w:hAnsi="Arial"/>
                <w:sz w:val="12"/>
                <w:szCs w:val="12"/>
                <w:b w:val="1"/>
                <w:bCs w:val="1"/>
                <w:color w:val="009CCC"/>
              </w:rPr>
              <w:t>Value of</w:t>
            </w:r>
          </w:p>
        </w:tc>
        <w:tc>
          <w:tcPr>
            <w:tcW w:w="1240" w:type="dxa"/>
            <w:vAlign w:val="bottom"/>
          </w:tcPr>
          <w:p>
            <w:pPr>
              <w:jc w:val="right"/>
              <w:ind w:right="19"/>
              <w:spacing w:after="0"/>
              <w:rPr>
                <w:sz w:val="20"/>
                <w:szCs w:val="20"/>
                <w:color w:val="auto"/>
              </w:rPr>
            </w:pPr>
            <w:r>
              <w:rPr>
                <w:rFonts w:ascii="Arial" w:cs="Arial" w:eastAsia="Arial" w:hAnsi="Arial"/>
                <w:sz w:val="12"/>
                <w:szCs w:val="12"/>
                <w:b w:val="1"/>
                <w:bCs w:val="1"/>
                <w:color w:val="009CCC"/>
              </w:rPr>
              <w:t>Number of</w:t>
            </w:r>
          </w:p>
        </w:tc>
        <w:tc>
          <w:tcPr>
            <w:tcW w:w="1140" w:type="dxa"/>
            <w:vAlign w:val="bottom"/>
            <w:gridSpan w:val="2"/>
          </w:tcPr>
          <w:p>
            <w:pPr>
              <w:jc w:val="right"/>
              <w:spacing w:after="0"/>
              <w:rPr>
                <w:sz w:val="20"/>
                <w:szCs w:val="20"/>
                <w:color w:val="auto"/>
              </w:rPr>
            </w:pPr>
            <w:r>
              <w:rPr>
                <w:rFonts w:ascii="Arial" w:cs="Arial" w:eastAsia="Arial" w:hAnsi="Arial"/>
                <w:sz w:val="12"/>
                <w:szCs w:val="12"/>
                <w:b w:val="1"/>
                <w:bCs w:val="1"/>
                <w:color w:val="009CCC"/>
              </w:rPr>
              <w:t>payout value of</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b w:val="1"/>
                <w:bCs w:val="1"/>
                <w:color w:val="009CCC"/>
              </w:rPr>
              <w:t>Securities</w:t>
            </w:r>
          </w:p>
        </w:tc>
        <w:tc>
          <w:tcPr>
            <w:tcW w:w="1020" w:type="dxa"/>
            <w:vAlign w:val="bottom"/>
          </w:tcPr>
          <w:p>
            <w:pPr>
              <w:jc w:val="right"/>
              <w:ind w:right="39"/>
              <w:spacing w:after="0"/>
              <w:rPr>
                <w:sz w:val="20"/>
                <w:szCs w:val="20"/>
                <w:color w:val="auto"/>
              </w:rPr>
            </w:pPr>
            <w:r>
              <w:rPr>
                <w:rFonts w:ascii="Arial" w:cs="Arial" w:eastAsia="Arial" w:hAnsi="Arial"/>
                <w:sz w:val="12"/>
                <w:szCs w:val="12"/>
                <w:b w:val="1"/>
                <w:bCs w:val="1"/>
                <w:color w:val="009CCC"/>
              </w:rPr>
              <w:t>Securities</w:t>
            </w: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jc w:val="right"/>
              <w:ind w:right="19"/>
              <w:spacing w:after="0"/>
              <w:rPr>
                <w:sz w:val="20"/>
                <w:szCs w:val="20"/>
                <w:color w:val="auto"/>
              </w:rPr>
            </w:pPr>
            <w:r>
              <w:rPr>
                <w:rFonts w:ascii="Arial" w:cs="Arial" w:eastAsia="Arial" w:hAnsi="Arial"/>
                <w:sz w:val="12"/>
                <w:szCs w:val="12"/>
                <w:b w:val="1"/>
                <w:bCs w:val="1"/>
                <w:color w:val="009CCC"/>
              </w:rPr>
              <w:t>Shares or</w:t>
            </w:r>
          </w:p>
        </w:tc>
        <w:tc>
          <w:tcPr>
            <w:tcW w:w="760" w:type="dxa"/>
            <w:vAlign w:val="bottom"/>
          </w:tcPr>
          <w:p>
            <w:pPr>
              <w:jc w:val="right"/>
              <w:ind w:right="19"/>
              <w:spacing w:after="0"/>
              <w:rPr>
                <w:sz w:val="20"/>
                <w:szCs w:val="20"/>
                <w:color w:val="auto"/>
              </w:rPr>
            </w:pPr>
            <w:r>
              <w:rPr>
                <w:rFonts w:ascii="Arial" w:cs="Arial" w:eastAsia="Arial" w:hAnsi="Arial"/>
                <w:sz w:val="12"/>
                <w:szCs w:val="12"/>
                <w:b w:val="1"/>
                <w:bCs w:val="1"/>
                <w:color w:val="009CCC"/>
              </w:rPr>
              <w:t>Shares or</w:t>
            </w:r>
          </w:p>
        </w:tc>
        <w:tc>
          <w:tcPr>
            <w:tcW w:w="1240" w:type="dxa"/>
            <w:vAlign w:val="bottom"/>
          </w:tcPr>
          <w:p>
            <w:pPr>
              <w:jc w:val="right"/>
              <w:ind w:right="19"/>
              <w:spacing w:after="0"/>
              <w:rPr>
                <w:sz w:val="20"/>
                <w:szCs w:val="20"/>
                <w:color w:val="auto"/>
              </w:rPr>
            </w:pPr>
            <w:r>
              <w:rPr>
                <w:rFonts w:ascii="Arial" w:cs="Arial" w:eastAsia="Arial" w:hAnsi="Arial"/>
                <w:sz w:val="12"/>
                <w:szCs w:val="12"/>
                <w:b w:val="1"/>
                <w:bCs w:val="1"/>
                <w:color w:val="009CCC"/>
              </w:rPr>
              <w:t>Unearned Shares,</w:t>
            </w:r>
          </w:p>
        </w:tc>
        <w:tc>
          <w:tcPr>
            <w:tcW w:w="1140" w:type="dxa"/>
            <w:vAlign w:val="bottom"/>
            <w:gridSpan w:val="2"/>
          </w:tcPr>
          <w:p>
            <w:pPr>
              <w:jc w:val="right"/>
              <w:spacing w:after="0"/>
              <w:rPr>
                <w:sz w:val="20"/>
                <w:szCs w:val="20"/>
                <w:color w:val="auto"/>
              </w:rPr>
            </w:pPr>
            <w:r>
              <w:rPr>
                <w:rFonts w:ascii="Arial" w:cs="Arial" w:eastAsia="Arial" w:hAnsi="Arial"/>
                <w:sz w:val="12"/>
                <w:szCs w:val="12"/>
                <w:b w:val="1"/>
                <w:bCs w:val="1"/>
                <w:color w:val="009CCC"/>
              </w:rPr>
              <w:t>Unearned Shares,</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b w:val="1"/>
                <w:bCs w:val="1"/>
                <w:color w:val="009CCC"/>
              </w:rPr>
              <w:t>Underlying</w:t>
            </w:r>
          </w:p>
        </w:tc>
        <w:tc>
          <w:tcPr>
            <w:tcW w:w="1020" w:type="dxa"/>
            <w:vAlign w:val="bottom"/>
          </w:tcPr>
          <w:p>
            <w:pPr>
              <w:jc w:val="right"/>
              <w:ind w:right="39"/>
              <w:spacing w:after="0"/>
              <w:rPr>
                <w:sz w:val="20"/>
                <w:szCs w:val="20"/>
                <w:color w:val="auto"/>
              </w:rPr>
            </w:pPr>
            <w:r>
              <w:rPr>
                <w:rFonts w:ascii="Arial" w:cs="Arial" w:eastAsia="Arial" w:hAnsi="Arial"/>
                <w:sz w:val="12"/>
                <w:szCs w:val="12"/>
                <w:b w:val="1"/>
                <w:bCs w:val="1"/>
                <w:color w:val="009CCC"/>
              </w:rPr>
              <w:t>Underlying</w:t>
            </w: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jc w:val="right"/>
              <w:ind w:right="19"/>
              <w:spacing w:after="0"/>
              <w:rPr>
                <w:sz w:val="20"/>
                <w:szCs w:val="20"/>
                <w:color w:val="auto"/>
              </w:rPr>
            </w:pPr>
            <w:r>
              <w:rPr>
                <w:rFonts w:ascii="Arial" w:cs="Arial" w:eastAsia="Arial" w:hAnsi="Arial"/>
                <w:sz w:val="12"/>
                <w:szCs w:val="12"/>
                <w:b w:val="1"/>
                <w:bCs w:val="1"/>
                <w:color w:val="009CCC"/>
              </w:rPr>
              <w:t>Units of</w:t>
            </w:r>
          </w:p>
        </w:tc>
        <w:tc>
          <w:tcPr>
            <w:tcW w:w="760" w:type="dxa"/>
            <w:vAlign w:val="bottom"/>
          </w:tcPr>
          <w:p>
            <w:pPr>
              <w:jc w:val="right"/>
              <w:ind w:right="19"/>
              <w:spacing w:after="0"/>
              <w:rPr>
                <w:sz w:val="20"/>
                <w:szCs w:val="20"/>
                <w:color w:val="auto"/>
              </w:rPr>
            </w:pPr>
            <w:r>
              <w:rPr>
                <w:rFonts w:ascii="Arial" w:cs="Arial" w:eastAsia="Arial" w:hAnsi="Arial"/>
                <w:sz w:val="12"/>
                <w:szCs w:val="12"/>
                <w:b w:val="1"/>
                <w:bCs w:val="1"/>
                <w:color w:val="009CCC"/>
              </w:rPr>
              <w:t>Units of</w:t>
            </w:r>
          </w:p>
        </w:tc>
        <w:tc>
          <w:tcPr>
            <w:tcW w:w="1240" w:type="dxa"/>
            <w:vAlign w:val="bottom"/>
          </w:tcPr>
          <w:p>
            <w:pPr>
              <w:jc w:val="right"/>
              <w:ind w:right="19"/>
              <w:spacing w:after="0"/>
              <w:rPr>
                <w:sz w:val="20"/>
                <w:szCs w:val="20"/>
                <w:color w:val="auto"/>
              </w:rPr>
            </w:pPr>
            <w:r>
              <w:rPr>
                <w:rFonts w:ascii="Arial" w:cs="Arial" w:eastAsia="Arial" w:hAnsi="Arial"/>
                <w:sz w:val="12"/>
                <w:szCs w:val="12"/>
                <w:b w:val="1"/>
                <w:bCs w:val="1"/>
                <w:color w:val="009CCC"/>
              </w:rPr>
              <w:t>Units, or Other</w:t>
            </w:r>
          </w:p>
        </w:tc>
        <w:tc>
          <w:tcPr>
            <w:tcW w:w="1140" w:type="dxa"/>
            <w:vAlign w:val="bottom"/>
            <w:gridSpan w:val="2"/>
          </w:tcPr>
          <w:p>
            <w:pPr>
              <w:jc w:val="right"/>
              <w:spacing w:after="0"/>
              <w:rPr>
                <w:sz w:val="20"/>
                <w:szCs w:val="20"/>
                <w:color w:val="auto"/>
              </w:rPr>
            </w:pPr>
            <w:r>
              <w:rPr>
                <w:rFonts w:ascii="Arial" w:cs="Arial" w:eastAsia="Arial" w:hAnsi="Arial"/>
                <w:sz w:val="12"/>
                <w:szCs w:val="12"/>
                <w:b w:val="1"/>
                <w:bCs w:val="1"/>
                <w:color w:val="009CCC"/>
              </w:rPr>
              <w:t>Units, or Other</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b w:val="1"/>
                <w:bCs w:val="1"/>
                <w:color w:val="009CCC"/>
              </w:rPr>
              <w:t>Unexercised</w:t>
            </w:r>
          </w:p>
        </w:tc>
        <w:tc>
          <w:tcPr>
            <w:tcW w:w="1020" w:type="dxa"/>
            <w:vAlign w:val="bottom"/>
          </w:tcPr>
          <w:p>
            <w:pPr>
              <w:jc w:val="right"/>
              <w:ind w:right="39"/>
              <w:spacing w:after="0"/>
              <w:rPr>
                <w:sz w:val="20"/>
                <w:szCs w:val="20"/>
                <w:color w:val="auto"/>
              </w:rPr>
            </w:pPr>
            <w:r>
              <w:rPr>
                <w:rFonts w:ascii="Arial" w:cs="Arial" w:eastAsia="Arial" w:hAnsi="Arial"/>
                <w:sz w:val="12"/>
                <w:szCs w:val="12"/>
                <w:b w:val="1"/>
                <w:bCs w:val="1"/>
                <w:color w:val="009CCC"/>
              </w:rPr>
              <w:t>Unexercised</w:t>
            </w:r>
          </w:p>
        </w:tc>
        <w:tc>
          <w:tcPr>
            <w:tcW w:w="180" w:type="dxa"/>
            <w:vAlign w:val="bottom"/>
          </w:tcPr>
          <w:p>
            <w:pPr>
              <w:spacing w:after="0"/>
              <w:rPr>
                <w:sz w:val="11"/>
                <w:szCs w:val="11"/>
                <w:color w:val="auto"/>
              </w:rPr>
            </w:pPr>
          </w:p>
        </w:tc>
        <w:tc>
          <w:tcPr>
            <w:tcW w:w="500" w:type="dxa"/>
            <w:vAlign w:val="bottom"/>
          </w:tcPr>
          <w:p>
            <w:pPr>
              <w:jc w:val="center"/>
              <w:ind w:right="19"/>
              <w:spacing w:after="0"/>
              <w:rPr>
                <w:sz w:val="20"/>
                <w:szCs w:val="20"/>
                <w:color w:val="auto"/>
              </w:rPr>
            </w:pPr>
            <w:r>
              <w:rPr>
                <w:rFonts w:ascii="Arial" w:cs="Arial" w:eastAsia="Arial" w:hAnsi="Arial"/>
                <w:sz w:val="12"/>
                <w:szCs w:val="12"/>
                <w:b w:val="1"/>
                <w:bCs w:val="1"/>
                <w:color w:val="009CCC"/>
                <w:w w:val="98"/>
              </w:rPr>
              <w:t>Option</w:t>
            </w:r>
          </w:p>
        </w:tc>
        <w:tc>
          <w:tcPr>
            <w:tcW w:w="900" w:type="dxa"/>
            <w:vAlign w:val="bottom"/>
            <w:gridSpan w:val="2"/>
          </w:tcPr>
          <w:p>
            <w:pPr>
              <w:ind w:left="320"/>
              <w:spacing w:after="0"/>
              <w:rPr>
                <w:sz w:val="20"/>
                <w:szCs w:val="20"/>
                <w:color w:val="auto"/>
              </w:rPr>
            </w:pPr>
            <w:r>
              <w:rPr>
                <w:rFonts w:ascii="Arial" w:cs="Arial" w:eastAsia="Arial" w:hAnsi="Arial"/>
                <w:sz w:val="12"/>
                <w:szCs w:val="12"/>
                <w:b w:val="1"/>
                <w:bCs w:val="1"/>
                <w:color w:val="009CCC"/>
              </w:rPr>
              <w:t>Option</w:t>
            </w:r>
          </w:p>
        </w:tc>
        <w:tc>
          <w:tcPr>
            <w:tcW w:w="700" w:type="dxa"/>
            <w:vAlign w:val="bottom"/>
          </w:tcPr>
          <w:p>
            <w:pPr>
              <w:jc w:val="right"/>
              <w:ind w:right="19"/>
              <w:spacing w:after="0"/>
              <w:rPr>
                <w:sz w:val="20"/>
                <w:szCs w:val="20"/>
                <w:color w:val="auto"/>
              </w:rPr>
            </w:pPr>
            <w:r>
              <w:rPr>
                <w:rFonts w:ascii="Arial" w:cs="Arial" w:eastAsia="Arial" w:hAnsi="Arial"/>
                <w:sz w:val="12"/>
                <w:szCs w:val="12"/>
                <w:b w:val="1"/>
                <w:bCs w:val="1"/>
                <w:color w:val="009CCC"/>
              </w:rPr>
              <w:t>Stock that</w:t>
            </w:r>
          </w:p>
        </w:tc>
        <w:tc>
          <w:tcPr>
            <w:tcW w:w="760" w:type="dxa"/>
            <w:vAlign w:val="bottom"/>
          </w:tcPr>
          <w:p>
            <w:pPr>
              <w:jc w:val="right"/>
              <w:ind w:right="19"/>
              <w:spacing w:after="0"/>
              <w:rPr>
                <w:sz w:val="20"/>
                <w:szCs w:val="20"/>
                <w:color w:val="auto"/>
              </w:rPr>
            </w:pPr>
            <w:r>
              <w:rPr>
                <w:rFonts w:ascii="Arial" w:cs="Arial" w:eastAsia="Arial" w:hAnsi="Arial"/>
                <w:sz w:val="12"/>
                <w:szCs w:val="12"/>
                <w:b w:val="1"/>
                <w:bCs w:val="1"/>
                <w:color w:val="009CCC"/>
              </w:rPr>
              <w:t>Stock that</w:t>
            </w:r>
          </w:p>
        </w:tc>
        <w:tc>
          <w:tcPr>
            <w:tcW w:w="1240" w:type="dxa"/>
            <w:vAlign w:val="bottom"/>
          </w:tcPr>
          <w:p>
            <w:pPr>
              <w:jc w:val="right"/>
              <w:ind w:right="19"/>
              <w:spacing w:after="0"/>
              <w:rPr>
                <w:sz w:val="20"/>
                <w:szCs w:val="20"/>
                <w:color w:val="auto"/>
              </w:rPr>
            </w:pPr>
            <w:r>
              <w:rPr>
                <w:rFonts w:ascii="Arial" w:cs="Arial" w:eastAsia="Arial" w:hAnsi="Arial"/>
                <w:sz w:val="12"/>
                <w:szCs w:val="12"/>
                <w:b w:val="1"/>
                <w:bCs w:val="1"/>
                <w:color w:val="009CCC"/>
              </w:rPr>
              <w:t>Rights that</w:t>
            </w:r>
          </w:p>
        </w:tc>
        <w:tc>
          <w:tcPr>
            <w:tcW w:w="4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2"/>
                <w:szCs w:val="12"/>
                <w:b w:val="1"/>
                <w:bCs w:val="1"/>
                <w:color w:val="009CCC"/>
              </w:rPr>
              <w:t>Rights that</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b w:val="1"/>
                <w:bCs w:val="1"/>
                <w:color w:val="009CCC"/>
              </w:rPr>
              <w:t>Options</w:t>
            </w:r>
          </w:p>
        </w:tc>
        <w:tc>
          <w:tcPr>
            <w:tcW w:w="1020" w:type="dxa"/>
            <w:vAlign w:val="bottom"/>
          </w:tcPr>
          <w:p>
            <w:pPr>
              <w:jc w:val="right"/>
              <w:ind w:right="39"/>
              <w:spacing w:after="0"/>
              <w:rPr>
                <w:sz w:val="20"/>
                <w:szCs w:val="20"/>
                <w:color w:val="auto"/>
              </w:rPr>
            </w:pPr>
            <w:r>
              <w:rPr>
                <w:rFonts w:ascii="Arial" w:cs="Arial" w:eastAsia="Arial" w:hAnsi="Arial"/>
                <w:sz w:val="12"/>
                <w:szCs w:val="12"/>
                <w:b w:val="1"/>
                <w:bCs w:val="1"/>
                <w:color w:val="009CCC"/>
              </w:rPr>
              <w:t>Options</w:t>
            </w:r>
          </w:p>
        </w:tc>
        <w:tc>
          <w:tcPr>
            <w:tcW w:w="680" w:type="dxa"/>
            <w:vAlign w:val="bottom"/>
            <w:gridSpan w:val="2"/>
          </w:tcPr>
          <w:p>
            <w:pPr>
              <w:jc w:val="right"/>
              <w:ind w:right="39"/>
              <w:spacing w:after="0"/>
              <w:rPr>
                <w:sz w:val="20"/>
                <w:szCs w:val="20"/>
                <w:color w:val="auto"/>
              </w:rPr>
            </w:pPr>
            <w:r>
              <w:rPr>
                <w:rFonts w:ascii="Arial" w:cs="Arial" w:eastAsia="Arial" w:hAnsi="Arial"/>
                <w:sz w:val="12"/>
                <w:szCs w:val="12"/>
                <w:b w:val="1"/>
                <w:bCs w:val="1"/>
                <w:color w:val="009CCC"/>
              </w:rPr>
              <w:t>Exercise</w:t>
            </w:r>
          </w:p>
        </w:tc>
        <w:tc>
          <w:tcPr>
            <w:tcW w:w="900" w:type="dxa"/>
            <w:vAlign w:val="bottom"/>
            <w:gridSpan w:val="2"/>
          </w:tcPr>
          <w:p>
            <w:pPr>
              <w:ind w:left="120"/>
              <w:spacing w:after="0"/>
              <w:rPr>
                <w:sz w:val="20"/>
                <w:szCs w:val="20"/>
                <w:color w:val="auto"/>
              </w:rPr>
            </w:pPr>
            <w:r>
              <w:rPr>
                <w:rFonts w:ascii="Arial" w:cs="Arial" w:eastAsia="Arial" w:hAnsi="Arial"/>
                <w:sz w:val="12"/>
                <w:szCs w:val="12"/>
                <w:b w:val="1"/>
                <w:bCs w:val="1"/>
                <w:color w:val="009CCC"/>
              </w:rPr>
              <w:t>Expiration</w:t>
            </w:r>
          </w:p>
        </w:tc>
        <w:tc>
          <w:tcPr>
            <w:tcW w:w="700" w:type="dxa"/>
            <w:vAlign w:val="bottom"/>
          </w:tcPr>
          <w:p>
            <w:pPr>
              <w:jc w:val="right"/>
              <w:ind w:right="19"/>
              <w:spacing w:after="0"/>
              <w:rPr>
                <w:sz w:val="20"/>
                <w:szCs w:val="20"/>
                <w:color w:val="auto"/>
              </w:rPr>
            </w:pPr>
            <w:r>
              <w:rPr>
                <w:rFonts w:ascii="Arial" w:cs="Arial" w:eastAsia="Arial" w:hAnsi="Arial"/>
                <w:sz w:val="12"/>
                <w:szCs w:val="12"/>
                <w:b w:val="1"/>
                <w:bCs w:val="1"/>
                <w:color w:val="009CCC"/>
              </w:rPr>
              <w:t>Have Not</w:t>
            </w:r>
          </w:p>
        </w:tc>
        <w:tc>
          <w:tcPr>
            <w:tcW w:w="760" w:type="dxa"/>
            <w:vAlign w:val="bottom"/>
          </w:tcPr>
          <w:p>
            <w:pPr>
              <w:jc w:val="right"/>
              <w:ind w:right="19"/>
              <w:spacing w:after="0"/>
              <w:rPr>
                <w:sz w:val="20"/>
                <w:szCs w:val="20"/>
                <w:color w:val="auto"/>
              </w:rPr>
            </w:pPr>
            <w:r>
              <w:rPr>
                <w:rFonts w:ascii="Arial" w:cs="Arial" w:eastAsia="Arial" w:hAnsi="Arial"/>
                <w:sz w:val="12"/>
                <w:szCs w:val="12"/>
                <w:b w:val="1"/>
                <w:bCs w:val="1"/>
                <w:color w:val="009CCC"/>
              </w:rPr>
              <w:t>Have Not</w:t>
            </w:r>
          </w:p>
        </w:tc>
        <w:tc>
          <w:tcPr>
            <w:tcW w:w="1240" w:type="dxa"/>
            <w:vAlign w:val="bottom"/>
          </w:tcPr>
          <w:p>
            <w:pPr>
              <w:jc w:val="right"/>
              <w:ind w:right="19"/>
              <w:spacing w:after="0"/>
              <w:rPr>
                <w:sz w:val="20"/>
                <w:szCs w:val="20"/>
                <w:color w:val="auto"/>
              </w:rPr>
            </w:pPr>
            <w:r>
              <w:rPr>
                <w:rFonts w:ascii="Arial" w:cs="Arial" w:eastAsia="Arial" w:hAnsi="Arial"/>
                <w:sz w:val="12"/>
                <w:szCs w:val="12"/>
                <w:b w:val="1"/>
                <w:bCs w:val="1"/>
                <w:color w:val="009CCC"/>
              </w:rPr>
              <w:t>have not</w:t>
            </w:r>
          </w:p>
        </w:tc>
        <w:tc>
          <w:tcPr>
            <w:tcW w:w="4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2"/>
                <w:szCs w:val="12"/>
                <w:b w:val="1"/>
                <w:bCs w:val="1"/>
                <w:color w:val="009CCC"/>
              </w:rPr>
              <w:t>have not</w:t>
            </w:r>
          </w:p>
        </w:tc>
        <w:tc>
          <w:tcPr>
            <w:tcW w:w="0" w:type="dxa"/>
            <w:vAlign w:val="bottom"/>
          </w:tcPr>
          <w:p>
            <w:pPr>
              <w:spacing w:after="0"/>
              <w:rPr>
                <w:sz w:val="1"/>
                <w:szCs w:val="1"/>
                <w:color w:val="auto"/>
              </w:rPr>
            </w:pPr>
          </w:p>
        </w:tc>
      </w:tr>
      <w:tr>
        <w:trPr>
          <w:trHeight w:val="219"/>
        </w:trPr>
        <w:tc>
          <w:tcPr>
            <w:tcW w:w="1640" w:type="dxa"/>
            <w:vAlign w:val="bottom"/>
          </w:tcPr>
          <w:p>
            <w:pPr>
              <w:spacing w:after="0"/>
              <w:rPr>
                <w:sz w:val="19"/>
                <w:szCs w:val="19"/>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b w:val="1"/>
                <w:bCs w:val="1"/>
                <w:color w:val="009CCC"/>
              </w:rPr>
              <w:t>Exercisable</w:t>
            </w:r>
            <w:r>
              <w:rPr>
                <w:rFonts w:ascii="Arial" w:cs="Arial" w:eastAsia="Arial" w:hAnsi="Arial"/>
                <w:sz w:val="18"/>
                <w:szCs w:val="18"/>
                <w:b w:val="1"/>
                <w:bCs w:val="1"/>
                <w:color w:val="009CCC"/>
                <w:vertAlign w:val="superscript"/>
              </w:rPr>
              <w:t>(1)</w:t>
            </w:r>
          </w:p>
        </w:tc>
        <w:tc>
          <w:tcPr>
            <w:tcW w:w="1020" w:type="dxa"/>
            <w:vAlign w:val="bottom"/>
          </w:tcPr>
          <w:p>
            <w:pPr>
              <w:jc w:val="right"/>
              <w:ind w:right="39"/>
              <w:spacing w:after="0"/>
              <w:rPr>
                <w:sz w:val="20"/>
                <w:szCs w:val="20"/>
                <w:color w:val="auto"/>
              </w:rPr>
            </w:pPr>
            <w:r>
              <w:rPr>
                <w:rFonts w:ascii="Arial" w:cs="Arial" w:eastAsia="Arial" w:hAnsi="Arial"/>
                <w:sz w:val="12"/>
                <w:szCs w:val="12"/>
                <w:b w:val="1"/>
                <w:bCs w:val="1"/>
                <w:color w:val="009CCC"/>
              </w:rPr>
              <w:t>Unexercisable</w:t>
            </w:r>
          </w:p>
        </w:tc>
        <w:tc>
          <w:tcPr>
            <w:tcW w:w="180" w:type="dxa"/>
            <w:vAlign w:val="bottom"/>
          </w:tcPr>
          <w:p>
            <w:pPr>
              <w:spacing w:after="0"/>
              <w:rPr>
                <w:sz w:val="19"/>
                <w:szCs w:val="19"/>
                <w:color w:val="auto"/>
              </w:rPr>
            </w:pPr>
          </w:p>
        </w:tc>
        <w:tc>
          <w:tcPr>
            <w:tcW w:w="500" w:type="dxa"/>
            <w:vAlign w:val="bottom"/>
          </w:tcPr>
          <w:p>
            <w:pPr>
              <w:jc w:val="right"/>
              <w:ind w:right="39"/>
              <w:spacing w:after="0"/>
              <w:rPr>
                <w:sz w:val="20"/>
                <w:szCs w:val="20"/>
                <w:color w:val="auto"/>
              </w:rPr>
            </w:pPr>
            <w:r>
              <w:rPr>
                <w:rFonts w:ascii="Arial" w:cs="Arial" w:eastAsia="Arial" w:hAnsi="Arial"/>
                <w:sz w:val="12"/>
                <w:szCs w:val="12"/>
                <w:b w:val="1"/>
                <w:bCs w:val="1"/>
                <w:color w:val="009CCC"/>
              </w:rPr>
              <w:t>Price</w:t>
            </w:r>
          </w:p>
        </w:tc>
        <w:tc>
          <w:tcPr>
            <w:tcW w:w="900" w:type="dxa"/>
            <w:vAlign w:val="bottom"/>
            <w:gridSpan w:val="2"/>
          </w:tcPr>
          <w:p>
            <w:pPr>
              <w:ind w:left="440"/>
              <w:spacing w:after="0"/>
              <w:rPr>
                <w:sz w:val="20"/>
                <w:szCs w:val="20"/>
                <w:color w:val="auto"/>
              </w:rPr>
            </w:pPr>
            <w:r>
              <w:rPr>
                <w:rFonts w:ascii="Arial" w:cs="Arial" w:eastAsia="Arial" w:hAnsi="Arial"/>
                <w:sz w:val="12"/>
                <w:szCs w:val="12"/>
                <w:b w:val="1"/>
                <w:bCs w:val="1"/>
                <w:color w:val="009CCC"/>
              </w:rPr>
              <w:t>Date</w:t>
            </w:r>
          </w:p>
        </w:tc>
        <w:tc>
          <w:tcPr>
            <w:tcW w:w="700" w:type="dxa"/>
            <w:vAlign w:val="bottom"/>
          </w:tcPr>
          <w:p>
            <w:pPr>
              <w:jc w:val="right"/>
              <w:ind w:right="19"/>
              <w:spacing w:after="0"/>
              <w:rPr>
                <w:sz w:val="20"/>
                <w:szCs w:val="20"/>
                <w:color w:val="auto"/>
              </w:rPr>
            </w:pPr>
            <w:r>
              <w:rPr>
                <w:rFonts w:ascii="Arial" w:cs="Arial" w:eastAsia="Arial" w:hAnsi="Arial"/>
                <w:sz w:val="12"/>
                <w:szCs w:val="12"/>
                <w:b w:val="1"/>
                <w:bCs w:val="1"/>
                <w:color w:val="009CCC"/>
              </w:rPr>
              <w:t>Vested</w:t>
            </w:r>
            <w:r>
              <w:rPr>
                <w:rFonts w:ascii="Arial" w:cs="Arial" w:eastAsia="Arial" w:hAnsi="Arial"/>
                <w:sz w:val="18"/>
                <w:szCs w:val="18"/>
                <w:b w:val="1"/>
                <w:bCs w:val="1"/>
                <w:color w:val="009CCC"/>
                <w:vertAlign w:val="superscript"/>
              </w:rPr>
              <w:t>(2)</w:t>
            </w:r>
          </w:p>
        </w:tc>
        <w:tc>
          <w:tcPr>
            <w:tcW w:w="760" w:type="dxa"/>
            <w:vAlign w:val="bottom"/>
          </w:tcPr>
          <w:p>
            <w:pPr>
              <w:jc w:val="right"/>
              <w:ind w:right="19"/>
              <w:spacing w:after="0"/>
              <w:rPr>
                <w:sz w:val="20"/>
                <w:szCs w:val="20"/>
                <w:color w:val="auto"/>
              </w:rPr>
            </w:pPr>
            <w:r>
              <w:rPr>
                <w:rFonts w:ascii="Arial" w:cs="Arial" w:eastAsia="Arial" w:hAnsi="Arial"/>
                <w:sz w:val="12"/>
                <w:szCs w:val="12"/>
                <w:b w:val="1"/>
                <w:bCs w:val="1"/>
                <w:color w:val="009CCC"/>
              </w:rPr>
              <w:t>Vested</w:t>
            </w:r>
          </w:p>
        </w:tc>
        <w:tc>
          <w:tcPr>
            <w:tcW w:w="1240" w:type="dxa"/>
            <w:vAlign w:val="bottom"/>
          </w:tcPr>
          <w:p>
            <w:pPr>
              <w:jc w:val="right"/>
              <w:ind w:right="19"/>
              <w:spacing w:after="0"/>
              <w:rPr>
                <w:sz w:val="20"/>
                <w:szCs w:val="20"/>
                <w:color w:val="auto"/>
              </w:rPr>
            </w:pPr>
            <w:r>
              <w:rPr>
                <w:rFonts w:ascii="Arial" w:cs="Arial" w:eastAsia="Arial" w:hAnsi="Arial"/>
                <w:sz w:val="12"/>
                <w:szCs w:val="12"/>
                <w:b w:val="1"/>
                <w:bCs w:val="1"/>
                <w:color w:val="009CCC"/>
              </w:rPr>
              <w:t>vested</w:t>
            </w:r>
            <w:r>
              <w:rPr>
                <w:rFonts w:ascii="Arial" w:cs="Arial" w:eastAsia="Arial" w:hAnsi="Arial"/>
                <w:sz w:val="18"/>
                <w:szCs w:val="18"/>
                <w:b w:val="1"/>
                <w:bCs w:val="1"/>
                <w:color w:val="009CCC"/>
                <w:vertAlign w:val="superscript"/>
              </w:rPr>
              <w:t>(3)</w:t>
            </w:r>
          </w:p>
        </w:tc>
        <w:tc>
          <w:tcPr>
            <w:tcW w:w="480" w:type="dxa"/>
            <w:vAlign w:val="bottom"/>
          </w:tcPr>
          <w:p>
            <w:pPr>
              <w:spacing w:after="0"/>
              <w:rPr>
                <w:sz w:val="19"/>
                <w:szCs w:val="19"/>
                <w:color w:val="auto"/>
              </w:rPr>
            </w:pPr>
          </w:p>
        </w:tc>
        <w:tc>
          <w:tcPr>
            <w:tcW w:w="660" w:type="dxa"/>
            <w:vAlign w:val="bottom"/>
          </w:tcPr>
          <w:p>
            <w:pPr>
              <w:jc w:val="right"/>
              <w:spacing w:after="0"/>
              <w:rPr>
                <w:sz w:val="20"/>
                <w:szCs w:val="20"/>
                <w:color w:val="auto"/>
              </w:rPr>
            </w:pPr>
            <w:r>
              <w:rPr>
                <w:rFonts w:ascii="Arial" w:cs="Arial" w:eastAsia="Arial" w:hAnsi="Arial"/>
                <w:sz w:val="12"/>
                <w:szCs w:val="12"/>
                <w:b w:val="1"/>
                <w:bCs w:val="1"/>
                <w:color w:val="009CCC"/>
              </w:rPr>
              <w:t>vested</w:t>
            </w:r>
            <w:r>
              <w:rPr>
                <w:rFonts w:ascii="Arial" w:cs="Arial" w:eastAsia="Arial" w:hAnsi="Arial"/>
                <w:sz w:val="18"/>
                <w:szCs w:val="18"/>
                <w:b w:val="1"/>
                <w:bCs w:val="1"/>
                <w:color w:val="009CCC"/>
                <w:vertAlign w:val="superscript"/>
              </w:rPr>
              <w:t>(4)</w:t>
            </w:r>
          </w:p>
        </w:tc>
        <w:tc>
          <w:tcPr>
            <w:tcW w:w="0" w:type="dxa"/>
            <w:vAlign w:val="bottom"/>
          </w:tcPr>
          <w:p>
            <w:pPr>
              <w:spacing w:after="0"/>
              <w:rPr>
                <w:sz w:val="1"/>
                <w:szCs w:val="1"/>
                <w:color w:val="auto"/>
              </w:rPr>
            </w:pPr>
          </w:p>
        </w:tc>
      </w:tr>
      <w:tr>
        <w:trPr>
          <w:trHeight w:val="147"/>
        </w:trPr>
        <w:tc>
          <w:tcPr>
            <w:tcW w:w="164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w:t>
            </w:r>
          </w:p>
        </w:tc>
        <w:tc>
          <w:tcPr>
            <w:tcW w:w="1000" w:type="dxa"/>
            <w:vAlign w:val="bottom"/>
            <w:tcBorders>
              <w:bottom w:val="single" w:sz="8" w:color="7B7C80"/>
            </w:tcBorders>
          </w:tcPr>
          <w:p>
            <w:pPr>
              <w:spacing w:after="0"/>
              <w:rPr>
                <w:sz w:val="12"/>
                <w:szCs w:val="12"/>
                <w:color w:val="auto"/>
              </w:rPr>
            </w:pPr>
          </w:p>
        </w:tc>
        <w:tc>
          <w:tcPr>
            <w:tcW w:w="1020" w:type="dxa"/>
            <w:vAlign w:val="bottom"/>
            <w:tcBorders>
              <w:bottom w:val="single" w:sz="8" w:color="7B7C80"/>
            </w:tcBorders>
          </w:tcPr>
          <w:p>
            <w:pPr>
              <w:spacing w:after="0"/>
              <w:rPr>
                <w:sz w:val="12"/>
                <w:szCs w:val="12"/>
                <w:color w:val="auto"/>
              </w:rPr>
            </w:pPr>
          </w:p>
        </w:tc>
        <w:tc>
          <w:tcPr>
            <w:tcW w:w="180" w:type="dxa"/>
            <w:vAlign w:val="bottom"/>
            <w:tcBorders>
              <w:bottom w:val="single" w:sz="8" w:color="7B7C80"/>
            </w:tcBorders>
          </w:tcPr>
          <w:p>
            <w:pPr>
              <w:spacing w:after="0"/>
              <w:rPr>
                <w:sz w:val="12"/>
                <w:szCs w:val="12"/>
                <w:color w:val="auto"/>
              </w:rPr>
            </w:pPr>
          </w:p>
        </w:tc>
        <w:tc>
          <w:tcPr>
            <w:tcW w:w="500" w:type="dxa"/>
            <w:vAlign w:val="bottom"/>
            <w:tcBorders>
              <w:bottom w:val="single" w:sz="8" w:color="7B7C80"/>
            </w:tcBorders>
          </w:tcPr>
          <w:p>
            <w:pPr>
              <w:spacing w:after="0"/>
              <w:rPr>
                <w:sz w:val="12"/>
                <w:szCs w:val="12"/>
                <w:color w:val="auto"/>
              </w:rPr>
            </w:pPr>
          </w:p>
        </w:tc>
        <w:tc>
          <w:tcPr>
            <w:tcW w:w="700" w:type="dxa"/>
            <w:vAlign w:val="bottom"/>
            <w:tcBorders>
              <w:bottom w:val="single" w:sz="8" w:color="7B7C80"/>
            </w:tcBorders>
          </w:tcPr>
          <w:p>
            <w:pPr>
              <w:spacing w:after="0"/>
              <w:rPr>
                <w:sz w:val="12"/>
                <w:szCs w:val="12"/>
                <w:color w:val="auto"/>
              </w:rPr>
            </w:pPr>
          </w:p>
        </w:tc>
        <w:tc>
          <w:tcPr>
            <w:tcW w:w="200" w:type="dxa"/>
            <w:vAlign w:val="bottom"/>
            <w:tcBorders>
              <w:bottom w:val="single" w:sz="8" w:color="7B7C80"/>
            </w:tcBorders>
          </w:tcPr>
          <w:p>
            <w:pPr>
              <w:spacing w:after="0"/>
              <w:rPr>
                <w:sz w:val="12"/>
                <w:szCs w:val="12"/>
                <w:color w:val="auto"/>
              </w:rPr>
            </w:pPr>
          </w:p>
        </w:tc>
        <w:tc>
          <w:tcPr>
            <w:tcW w:w="700" w:type="dxa"/>
            <w:vAlign w:val="bottom"/>
            <w:tcBorders>
              <w:bottom w:val="single" w:sz="8" w:color="7B7C80"/>
            </w:tcBorders>
          </w:tcPr>
          <w:p>
            <w:pPr>
              <w:spacing w:after="0"/>
              <w:rPr>
                <w:sz w:val="12"/>
                <w:szCs w:val="12"/>
                <w:color w:val="auto"/>
              </w:rPr>
            </w:pPr>
          </w:p>
        </w:tc>
        <w:tc>
          <w:tcPr>
            <w:tcW w:w="760" w:type="dxa"/>
            <w:vAlign w:val="bottom"/>
            <w:tcBorders>
              <w:bottom w:val="single" w:sz="8" w:color="7B7C80"/>
            </w:tcBorders>
          </w:tcPr>
          <w:p>
            <w:pPr>
              <w:spacing w:after="0"/>
              <w:rPr>
                <w:sz w:val="12"/>
                <w:szCs w:val="12"/>
                <w:color w:val="auto"/>
              </w:rPr>
            </w:pPr>
          </w:p>
        </w:tc>
        <w:tc>
          <w:tcPr>
            <w:tcW w:w="1240" w:type="dxa"/>
            <w:vAlign w:val="bottom"/>
            <w:tcBorders>
              <w:bottom w:val="single" w:sz="8" w:color="7B7C80"/>
            </w:tcBorders>
          </w:tcPr>
          <w:p>
            <w:pPr>
              <w:spacing w:after="0"/>
              <w:rPr>
                <w:sz w:val="12"/>
                <w:szCs w:val="12"/>
                <w:color w:val="auto"/>
              </w:rPr>
            </w:pPr>
          </w:p>
        </w:tc>
        <w:tc>
          <w:tcPr>
            <w:tcW w:w="480" w:type="dxa"/>
            <w:vAlign w:val="bottom"/>
            <w:tcBorders>
              <w:bottom w:val="single" w:sz="8" w:color="7B7C80"/>
            </w:tcBorders>
          </w:tcPr>
          <w:p>
            <w:pPr>
              <w:spacing w:after="0"/>
              <w:rPr>
                <w:sz w:val="12"/>
                <w:szCs w:val="12"/>
                <w:color w:val="auto"/>
              </w:rPr>
            </w:pPr>
          </w:p>
        </w:tc>
        <w:tc>
          <w:tcPr>
            <w:tcW w:w="660" w:type="dxa"/>
            <w:vAlign w:val="bottom"/>
            <w:tcBorders>
              <w:bottom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1640" w:type="dxa"/>
            <w:vAlign w:val="bottom"/>
          </w:tcPr>
          <w:p>
            <w:pPr>
              <w:spacing w:after="0" w:line="129" w:lineRule="exact"/>
              <w:rPr>
                <w:sz w:val="20"/>
                <w:szCs w:val="20"/>
                <w:color w:val="auto"/>
              </w:rPr>
            </w:pPr>
            <w:r>
              <w:rPr>
                <w:rFonts w:ascii="Arial" w:cs="Arial" w:eastAsia="Arial" w:hAnsi="Arial"/>
                <w:sz w:val="12"/>
                <w:szCs w:val="12"/>
                <w:color w:val="7B7C80"/>
              </w:rPr>
              <w:t>Houston</w:t>
            </w:r>
          </w:p>
        </w:tc>
        <w:tc>
          <w:tcPr>
            <w:tcW w:w="100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89,750</w:t>
            </w:r>
          </w:p>
        </w:tc>
        <w:tc>
          <w:tcPr>
            <w:tcW w:w="1020" w:type="dxa"/>
            <w:vAlign w:val="bottom"/>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00" w:type="dxa"/>
            <w:vAlign w:val="bottom"/>
            <w:shd w:val="clear" w:color="auto" w:fill="E7E6E7"/>
          </w:tcPr>
          <w:p>
            <w:pPr>
              <w:jc w:val="center"/>
              <w:spacing w:after="0" w:line="129" w:lineRule="exact"/>
              <w:rPr>
                <w:sz w:val="20"/>
                <w:szCs w:val="20"/>
                <w:color w:val="auto"/>
              </w:rPr>
            </w:pPr>
            <w:r>
              <w:rPr>
                <w:rFonts w:ascii="Arial" w:cs="Arial" w:eastAsia="Arial" w:hAnsi="Arial"/>
                <w:sz w:val="12"/>
                <w:szCs w:val="12"/>
                <w:color w:val="7B7C80"/>
              </w:rPr>
              <w:t>30.70</w:t>
            </w:r>
          </w:p>
        </w:tc>
        <w:tc>
          <w:tcPr>
            <w:tcW w:w="700" w:type="dxa"/>
            <w:vAlign w:val="bottom"/>
            <w:shd w:val="clear" w:color="auto" w:fill="E7E6E7"/>
          </w:tcPr>
          <w:p>
            <w:pPr>
              <w:ind w:left="100"/>
              <w:spacing w:after="0" w:line="129" w:lineRule="exact"/>
              <w:rPr>
                <w:sz w:val="20"/>
                <w:szCs w:val="20"/>
                <w:color w:val="auto"/>
              </w:rPr>
            </w:pPr>
            <w:r>
              <w:rPr>
                <w:rFonts w:ascii="Arial" w:cs="Arial" w:eastAsia="Arial" w:hAnsi="Arial"/>
                <w:sz w:val="12"/>
                <w:szCs w:val="12"/>
                <w:color w:val="7B7C80"/>
                <w:w w:val="96"/>
              </w:rPr>
              <w:t>02/25/2023</w:t>
            </w:r>
          </w:p>
        </w:tc>
        <w:tc>
          <w:tcPr>
            <w:tcW w:w="20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760" w:type="dxa"/>
            <w:vAlign w:val="bottom"/>
            <w:shd w:val="clear" w:color="auto" w:fill="E7E6E7"/>
          </w:tcPr>
          <w:p>
            <w:pPr>
              <w:spacing w:after="0"/>
              <w:rPr>
                <w:sz w:val="11"/>
                <w:szCs w:val="11"/>
                <w:color w:val="auto"/>
              </w:rPr>
            </w:pPr>
          </w:p>
        </w:tc>
        <w:tc>
          <w:tcPr>
            <w:tcW w:w="124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c>
          <w:tcPr>
            <w:tcW w:w="660" w:type="dxa"/>
            <w:vAlign w:val="bottom"/>
            <w:shd w:val="clear" w:color="auto" w:fill="E7E6E7"/>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color w:val="7B7C80"/>
              </w:rPr>
              <w:t>59,060</w:t>
            </w:r>
          </w:p>
        </w:tc>
        <w:tc>
          <w:tcPr>
            <w:tcW w:w="1020" w:type="dxa"/>
            <w:vAlign w:val="bottom"/>
          </w:tcPr>
          <w:p>
            <w:pPr>
              <w:jc w:val="right"/>
              <w:ind w:right="39"/>
              <w:spacing w:after="0"/>
              <w:rPr>
                <w:sz w:val="20"/>
                <w:szCs w:val="20"/>
                <w:color w:val="auto"/>
              </w:rPr>
            </w:pPr>
            <w:r>
              <w:rPr>
                <w:rFonts w:ascii="Arial" w:cs="Arial" w:eastAsia="Arial" w:hAnsi="Arial"/>
                <w:sz w:val="12"/>
                <w:szCs w:val="12"/>
                <w:color w:val="7B7C80"/>
              </w:rPr>
              <w:t>0</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500" w:type="dxa"/>
            <w:vAlign w:val="bottom"/>
          </w:tcPr>
          <w:p>
            <w:pPr>
              <w:jc w:val="center"/>
              <w:spacing w:after="0"/>
              <w:rPr>
                <w:sz w:val="20"/>
                <w:szCs w:val="20"/>
                <w:color w:val="auto"/>
              </w:rPr>
            </w:pPr>
            <w:r>
              <w:rPr>
                <w:rFonts w:ascii="Arial" w:cs="Arial" w:eastAsia="Arial" w:hAnsi="Arial"/>
                <w:sz w:val="12"/>
                <w:szCs w:val="12"/>
                <w:color w:val="7B7C80"/>
              </w:rPr>
              <w:t>44.88</w:t>
            </w:r>
          </w:p>
        </w:tc>
        <w:tc>
          <w:tcPr>
            <w:tcW w:w="700" w:type="dxa"/>
            <w:vAlign w:val="bottom"/>
          </w:tcPr>
          <w:p>
            <w:pPr>
              <w:ind w:left="100"/>
              <w:spacing w:after="0"/>
              <w:rPr>
                <w:sz w:val="20"/>
                <w:szCs w:val="20"/>
                <w:color w:val="auto"/>
              </w:rPr>
            </w:pPr>
            <w:r>
              <w:rPr>
                <w:rFonts w:ascii="Arial" w:cs="Arial" w:eastAsia="Arial" w:hAnsi="Arial"/>
                <w:sz w:val="12"/>
                <w:szCs w:val="12"/>
                <w:color w:val="7B7C80"/>
                <w:w w:val="96"/>
              </w:rPr>
              <w:t>02/24/2024</w:t>
            </w: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46,806</w:t>
            </w:r>
          </w:p>
        </w:tc>
        <w:tc>
          <w:tcPr>
            <w:tcW w:w="102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23,404</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00" w:type="dxa"/>
            <w:vAlign w:val="bottom"/>
            <w:shd w:val="clear" w:color="auto" w:fill="E7E6E7"/>
          </w:tcPr>
          <w:p>
            <w:pPr>
              <w:jc w:val="center"/>
              <w:spacing w:after="0"/>
              <w:rPr>
                <w:sz w:val="20"/>
                <w:szCs w:val="20"/>
                <w:color w:val="auto"/>
              </w:rPr>
            </w:pPr>
            <w:r>
              <w:rPr>
                <w:rFonts w:ascii="Arial" w:cs="Arial" w:eastAsia="Arial" w:hAnsi="Arial"/>
                <w:sz w:val="12"/>
                <w:szCs w:val="12"/>
                <w:color w:val="7B7C80"/>
              </w:rPr>
              <w:t>51.33</w:t>
            </w:r>
          </w:p>
        </w:tc>
        <w:tc>
          <w:tcPr>
            <w:tcW w:w="700" w:type="dxa"/>
            <w:vAlign w:val="bottom"/>
            <w:shd w:val="clear" w:color="auto" w:fill="E7E6E7"/>
          </w:tcPr>
          <w:p>
            <w:pPr>
              <w:ind w:left="100"/>
              <w:spacing w:after="0"/>
              <w:rPr>
                <w:sz w:val="20"/>
                <w:szCs w:val="20"/>
                <w:color w:val="auto"/>
              </w:rPr>
            </w:pPr>
            <w:r>
              <w:rPr>
                <w:rFonts w:ascii="Arial" w:cs="Arial" w:eastAsia="Arial" w:hAnsi="Arial"/>
                <w:sz w:val="12"/>
                <w:szCs w:val="12"/>
                <w:color w:val="7B7C80"/>
                <w:w w:val="96"/>
              </w:rPr>
              <w:t>02/23/2025</w:t>
            </w:r>
          </w:p>
        </w:tc>
        <w:tc>
          <w:tcPr>
            <w:tcW w:w="20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760" w:type="dxa"/>
            <w:vAlign w:val="bottom"/>
            <w:shd w:val="clear" w:color="auto" w:fill="E7E6E7"/>
          </w:tcPr>
          <w:p>
            <w:pPr>
              <w:spacing w:after="0"/>
              <w:rPr>
                <w:sz w:val="11"/>
                <w:szCs w:val="11"/>
                <w:color w:val="auto"/>
              </w:rPr>
            </w:pPr>
          </w:p>
        </w:tc>
        <w:tc>
          <w:tcPr>
            <w:tcW w:w="1240" w:type="dxa"/>
            <w:vAlign w:val="bottom"/>
            <w:shd w:val="clear" w:color="auto" w:fill="E7E6E7"/>
          </w:tcPr>
          <w:p>
            <w:pPr>
              <w:jc w:val="right"/>
              <w:ind w:right="19"/>
              <w:spacing w:after="0"/>
              <w:rPr>
                <w:sz w:val="20"/>
                <w:szCs w:val="20"/>
                <w:color w:val="auto"/>
              </w:rPr>
            </w:pPr>
            <w:r>
              <w:rPr>
                <w:rFonts w:ascii="Arial" w:cs="Arial" w:eastAsia="Arial" w:hAnsi="Arial"/>
                <w:sz w:val="12"/>
                <w:szCs w:val="12"/>
                <w:color w:val="7B7C80"/>
              </w:rPr>
              <w:t>30,684</w:t>
            </w:r>
          </w:p>
        </w:tc>
        <w:tc>
          <w:tcPr>
            <w:tcW w:w="4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1,963,162</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color w:val="7B7C80"/>
              </w:rPr>
              <w:t>74,821</w:t>
            </w:r>
          </w:p>
        </w:tc>
        <w:tc>
          <w:tcPr>
            <w:tcW w:w="1020" w:type="dxa"/>
            <w:vAlign w:val="bottom"/>
          </w:tcPr>
          <w:p>
            <w:pPr>
              <w:jc w:val="right"/>
              <w:ind w:right="39"/>
              <w:spacing w:after="0"/>
              <w:rPr>
                <w:sz w:val="20"/>
                <w:szCs w:val="20"/>
                <w:color w:val="auto"/>
              </w:rPr>
            </w:pPr>
            <w:r>
              <w:rPr>
                <w:rFonts w:ascii="Arial" w:cs="Arial" w:eastAsia="Arial" w:hAnsi="Arial"/>
                <w:sz w:val="12"/>
                <w:szCs w:val="12"/>
                <w:color w:val="7B7C80"/>
              </w:rPr>
              <w:t>149,644</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500" w:type="dxa"/>
            <w:vAlign w:val="bottom"/>
          </w:tcPr>
          <w:p>
            <w:pPr>
              <w:jc w:val="center"/>
              <w:spacing w:after="0"/>
              <w:rPr>
                <w:sz w:val="20"/>
                <w:szCs w:val="20"/>
                <w:color w:val="auto"/>
              </w:rPr>
            </w:pPr>
            <w:r>
              <w:rPr>
                <w:rFonts w:ascii="Arial" w:cs="Arial" w:eastAsia="Arial" w:hAnsi="Arial"/>
                <w:sz w:val="12"/>
                <w:szCs w:val="12"/>
                <w:color w:val="7B7C80"/>
              </w:rPr>
              <w:t>37.38</w:t>
            </w:r>
          </w:p>
        </w:tc>
        <w:tc>
          <w:tcPr>
            <w:tcW w:w="700" w:type="dxa"/>
            <w:vAlign w:val="bottom"/>
          </w:tcPr>
          <w:p>
            <w:pPr>
              <w:ind w:left="100"/>
              <w:spacing w:after="0"/>
              <w:rPr>
                <w:sz w:val="20"/>
                <w:szCs w:val="20"/>
                <w:color w:val="auto"/>
              </w:rPr>
            </w:pPr>
            <w:r>
              <w:rPr>
                <w:rFonts w:ascii="Arial" w:cs="Arial" w:eastAsia="Arial" w:hAnsi="Arial"/>
                <w:sz w:val="12"/>
                <w:szCs w:val="12"/>
                <w:color w:val="7B7C80"/>
                <w:w w:val="96"/>
              </w:rPr>
              <w:t>02/22/2026</w:t>
            </w: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jc w:val="right"/>
              <w:ind w:right="19"/>
              <w:spacing w:after="0"/>
              <w:rPr>
                <w:sz w:val="20"/>
                <w:szCs w:val="20"/>
                <w:color w:val="auto"/>
              </w:rPr>
            </w:pPr>
            <w:r>
              <w:rPr>
                <w:rFonts w:ascii="Arial" w:cs="Arial" w:eastAsia="Arial" w:hAnsi="Arial"/>
                <w:sz w:val="12"/>
                <w:szCs w:val="12"/>
                <w:color w:val="7B7C80"/>
              </w:rPr>
              <w:t>53,505</w:t>
            </w:r>
          </w:p>
        </w:tc>
        <w:tc>
          <w:tcPr>
            <w:tcW w:w="480" w:type="dxa"/>
            <w:vAlign w:val="bottom"/>
          </w:tcPr>
          <w:p>
            <w:pPr>
              <w:jc w:val="right"/>
              <w:spacing w:after="0"/>
              <w:rPr>
                <w:sz w:val="20"/>
                <w:szCs w:val="20"/>
                <w:color w:val="auto"/>
              </w:rPr>
            </w:pPr>
            <w:r>
              <w:rPr>
                <w:rFonts w:ascii="Arial" w:cs="Arial" w:eastAsia="Arial" w:hAnsi="Arial"/>
                <w:sz w:val="12"/>
                <w:szCs w:val="12"/>
                <w:color w:val="7B7C80"/>
              </w:rPr>
              <w:t>$</w:t>
            </w:r>
          </w:p>
        </w:tc>
        <w:tc>
          <w:tcPr>
            <w:tcW w:w="660" w:type="dxa"/>
            <w:vAlign w:val="bottom"/>
          </w:tcPr>
          <w:p>
            <w:pPr>
              <w:jc w:val="right"/>
              <w:spacing w:after="0"/>
              <w:rPr>
                <w:sz w:val="20"/>
                <w:szCs w:val="20"/>
                <w:color w:val="auto"/>
              </w:rPr>
            </w:pPr>
            <w:r>
              <w:rPr>
                <w:rFonts w:ascii="Arial" w:cs="Arial" w:eastAsia="Arial" w:hAnsi="Arial"/>
                <w:sz w:val="12"/>
                <w:szCs w:val="12"/>
                <w:color w:val="7B7C80"/>
              </w:rPr>
              <w:t>3,775,313</w:t>
            </w:r>
          </w:p>
        </w:tc>
        <w:tc>
          <w:tcPr>
            <w:tcW w:w="0" w:type="dxa"/>
            <w:vAlign w:val="bottom"/>
          </w:tcPr>
          <w:p>
            <w:pPr>
              <w:spacing w:after="0"/>
              <w:rPr>
                <w:sz w:val="1"/>
                <w:szCs w:val="1"/>
                <w:color w:val="auto"/>
              </w:rPr>
            </w:pPr>
          </w:p>
        </w:tc>
      </w:tr>
      <w:tr>
        <w:trPr>
          <w:trHeight w:val="137"/>
        </w:trPr>
        <w:tc>
          <w:tcPr>
            <w:tcW w:w="1640" w:type="dxa"/>
            <w:vAlign w:val="bottom"/>
            <w:tcBorders>
              <w:bottom w:val="single" w:sz="8" w:color="7B7C80"/>
            </w:tcBorders>
          </w:tcPr>
          <w:p>
            <w:pPr>
              <w:spacing w:after="0"/>
              <w:rPr>
                <w:sz w:val="11"/>
                <w:szCs w:val="11"/>
                <w:color w:val="auto"/>
              </w:rPr>
            </w:pPr>
          </w:p>
        </w:tc>
        <w:tc>
          <w:tcPr>
            <w:tcW w:w="1000" w:type="dxa"/>
            <w:vAlign w:val="bottom"/>
            <w:tcBorders>
              <w:bottom w:val="single" w:sz="8" w:color="7B7C80"/>
            </w:tcBorders>
            <w:shd w:val="clear" w:color="auto" w:fill="E7E6E7"/>
          </w:tcPr>
          <w:p>
            <w:pPr>
              <w:jc w:val="right"/>
              <w:ind w:right="39"/>
              <w:spacing w:after="0"/>
              <w:rPr>
                <w:sz w:val="20"/>
                <w:szCs w:val="20"/>
                <w:color w:val="auto"/>
              </w:rPr>
            </w:pPr>
            <w:r>
              <w:rPr>
                <w:rFonts w:ascii="Arial" w:cs="Arial" w:eastAsia="Arial" w:hAnsi="Arial"/>
                <w:sz w:val="12"/>
                <w:szCs w:val="12"/>
                <w:color w:val="7B7C80"/>
              </w:rPr>
              <w:t>0</w:t>
            </w:r>
          </w:p>
        </w:tc>
        <w:tc>
          <w:tcPr>
            <w:tcW w:w="1020" w:type="dxa"/>
            <w:vAlign w:val="bottom"/>
            <w:tcBorders>
              <w:bottom w:val="single" w:sz="8" w:color="7B7C80"/>
            </w:tcBorders>
            <w:shd w:val="clear" w:color="auto" w:fill="E7E6E7"/>
          </w:tcPr>
          <w:p>
            <w:pPr>
              <w:jc w:val="right"/>
              <w:ind w:right="39"/>
              <w:spacing w:after="0"/>
              <w:rPr>
                <w:sz w:val="20"/>
                <w:szCs w:val="20"/>
                <w:color w:val="auto"/>
              </w:rPr>
            </w:pPr>
            <w:r>
              <w:rPr>
                <w:rFonts w:ascii="Arial" w:cs="Arial" w:eastAsia="Arial" w:hAnsi="Arial"/>
                <w:sz w:val="12"/>
                <w:szCs w:val="12"/>
                <w:color w:val="7B7C80"/>
              </w:rPr>
              <w:t>161,660</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00" w:type="dxa"/>
            <w:vAlign w:val="bottom"/>
            <w:tcBorders>
              <w:bottom w:val="single" w:sz="8" w:color="7B7C80"/>
            </w:tcBorders>
            <w:shd w:val="clear" w:color="auto" w:fill="E7E6E7"/>
          </w:tcPr>
          <w:p>
            <w:pPr>
              <w:jc w:val="center"/>
              <w:spacing w:after="0"/>
              <w:rPr>
                <w:sz w:val="20"/>
                <w:szCs w:val="20"/>
                <w:color w:val="auto"/>
              </w:rPr>
            </w:pPr>
            <w:r>
              <w:rPr>
                <w:rFonts w:ascii="Arial" w:cs="Arial" w:eastAsia="Arial" w:hAnsi="Arial"/>
                <w:sz w:val="12"/>
                <w:szCs w:val="12"/>
                <w:color w:val="7B7C80"/>
              </w:rPr>
              <w:t>62.78</w:t>
            </w:r>
          </w:p>
        </w:tc>
        <w:tc>
          <w:tcPr>
            <w:tcW w:w="700" w:type="dxa"/>
            <w:vAlign w:val="bottom"/>
            <w:tcBorders>
              <w:bottom w:val="single" w:sz="8" w:color="7B7C80"/>
            </w:tcBorders>
            <w:shd w:val="clear" w:color="auto" w:fill="E7E6E7"/>
          </w:tcPr>
          <w:p>
            <w:pPr>
              <w:ind w:left="100"/>
              <w:spacing w:after="0"/>
              <w:rPr>
                <w:sz w:val="20"/>
                <w:szCs w:val="20"/>
                <w:color w:val="auto"/>
              </w:rPr>
            </w:pPr>
            <w:r>
              <w:rPr>
                <w:rFonts w:ascii="Arial" w:cs="Arial" w:eastAsia="Arial" w:hAnsi="Arial"/>
                <w:sz w:val="12"/>
                <w:szCs w:val="12"/>
                <w:color w:val="7B7C80"/>
                <w:w w:val="96"/>
              </w:rPr>
              <w:t>02/27/2027</w:t>
            </w:r>
          </w:p>
        </w:tc>
        <w:tc>
          <w:tcPr>
            <w:tcW w:w="200" w:type="dxa"/>
            <w:vAlign w:val="bottom"/>
            <w:tcBorders>
              <w:bottom w:val="single" w:sz="8" w:color="7B7C80"/>
            </w:tcBorders>
            <w:shd w:val="clear" w:color="auto" w:fill="E7E6E7"/>
          </w:tcPr>
          <w:p>
            <w:pPr>
              <w:spacing w:after="0"/>
              <w:rPr>
                <w:sz w:val="11"/>
                <w:szCs w:val="11"/>
                <w:color w:val="auto"/>
              </w:rPr>
            </w:pPr>
          </w:p>
        </w:tc>
        <w:tc>
          <w:tcPr>
            <w:tcW w:w="700" w:type="dxa"/>
            <w:vAlign w:val="bottom"/>
            <w:tcBorders>
              <w:bottom w:val="single" w:sz="8" w:color="7B7C80"/>
            </w:tcBorders>
            <w:shd w:val="clear" w:color="auto" w:fill="E7E6E7"/>
          </w:tcPr>
          <w:p>
            <w:pPr>
              <w:spacing w:after="0"/>
              <w:rPr>
                <w:sz w:val="11"/>
                <w:szCs w:val="11"/>
                <w:color w:val="auto"/>
              </w:rPr>
            </w:pPr>
          </w:p>
        </w:tc>
        <w:tc>
          <w:tcPr>
            <w:tcW w:w="760" w:type="dxa"/>
            <w:vAlign w:val="bottom"/>
            <w:tcBorders>
              <w:bottom w:val="single" w:sz="8" w:color="7B7C80"/>
            </w:tcBorders>
            <w:shd w:val="clear" w:color="auto" w:fill="E7E6E7"/>
          </w:tcPr>
          <w:p>
            <w:pPr>
              <w:spacing w:after="0"/>
              <w:rPr>
                <w:sz w:val="11"/>
                <w:szCs w:val="11"/>
                <w:color w:val="auto"/>
              </w:rPr>
            </w:pPr>
          </w:p>
        </w:tc>
        <w:tc>
          <w:tcPr>
            <w:tcW w:w="1240" w:type="dxa"/>
            <w:vAlign w:val="bottom"/>
            <w:tcBorders>
              <w:bottom w:val="single" w:sz="8" w:color="7B7C80"/>
            </w:tcBorders>
            <w:shd w:val="clear" w:color="auto" w:fill="E7E6E7"/>
          </w:tcPr>
          <w:p>
            <w:pPr>
              <w:jc w:val="right"/>
              <w:ind w:right="19"/>
              <w:spacing w:after="0"/>
              <w:rPr>
                <w:sz w:val="20"/>
                <w:szCs w:val="20"/>
                <w:color w:val="auto"/>
              </w:rPr>
            </w:pPr>
            <w:r>
              <w:rPr>
                <w:rFonts w:ascii="Arial" w:cs="Arial" w:eastAsia="Arial" w:hAnsi="Arial"/>
                <w:sz w:val="12"/>
                <w:szCs w:val="12"/>
                <w:color w:val="7B7C80"/>
              </w:rPr>
              <w:t>39,423</w:t>
            </w:r>
          </w:p>
        </w:tc>
        <w:tc>
          <w:tcPr>
            <w:tcW w:w="4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2,781,687</w:t>
            </w:r>
          </w:p>
        </w:tc>
        <w:tc>
          <w:tcPr>
            <w:tcW w:w="0" w:type="dxa"/>
            <w:vAlign w:val="bottom"/>
          </w:tcPr>
          <w:p>
            <w:pPr>
              <w:spacing w:after="0"/>
              <w:rPr>
                <w:sz w:val="1"/>
                <w:szCs w:val="1"/>
                <w:color w:val="auto"/>
              </w:rPr>
            </w:pPr>
          </w:p>
        </w:tc>
      </w:tr>
      <w:tr>
        <w:trPr>
          <w:trHeight w:val="129"/>
        </w:trPr>
        <w:tc>
          <w:tcPr>
            <w:tcW w:w="1640" w:type="dxa"/>
            <w:vAlign w:val="bottom"/>
          </w:tcPr>
          <w:p>
            <w:pPr>
              <w:spacing w:after="0" w:line="129" w:lineRule="exact"/>
              <w:rPr>
                <w:sz w:val="20"/>
                <w:szCs w:val="20"/>
                <w:color w:val="auto"/>
              </w:rPr>
            </w:pPr>
            <w:r>
              <w:rPr>
                <w:rFonts w:ascii="Arial" w:cs="Arial" w:eastAsia="Arial" w:hAnsi="Arial"/>
                <w:sz w:val="12"/>
                <w:szCs w:val="12"/>
                <w:color w:val="7B7C80"/>
              </w:rPr>
              <w:t>Strable</w:t>
            </w:r>
          </w:p>
        </w:tc>
        <w:tc>
          <w:tcPr>
            <w:tcW w:w="100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22,680</w:t>
            </w:r>
          </w:p>
        </w:tc>
        <w:tc>
          <w:tcPr>
            <w:tcW w:w="102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45,360</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00" w:type="dxa"/>
            <w:vAlign w:val="bottom"/>
            <w:shd w:val="clear" w:color="auto" w:fill="E7E6E7"/>
          </w:tcPr>
          <w:p>
            <w:pPr>
              <w:jc w:val="center"/>
              <w:spacing w:after="0"/>
              <w:rPr>
                <w:sz w:val="20"/>
                <w:szCs w:val="20"/>
                <w:color w:val="auto"/>
              </w:rPr>
            </w:pPr>
            <w:r>
              <w:rPr>
                <w:rFonts w:ascii="Arial" w:cs="Arial" w:eastAsia="Arial" w:hAnsi="Arial"/>
                <w:sz w:val="12"/>
                <w:szCs w:val="12"/>
                <w:color w:val="7B7C80"/>
              </w:rPr>
              <w:t>37.38</w:t>
            </w:r>
          </w:p>
        </w:tc>
        <w:tc>
          <w:tcPr>
            <w:tcW w:w="700" w:type="dxa"/>
            <w:vAlign w:val="bottom"/>
            <w:shd w:val="clear" w:color="auto" w:fill="E7E6E7"/>
          </w:tcPr>
          <w:p>
            <w:pPr>
              <w:ind w:left="100"/>
              <w:spacing w:after="0"/>
              <w:rPr>
                <w:sz w:val="20"/>
                <w:szCs w:val="20"/>
                <w:color w:val="auto"/>
              </w:rPr>
            </w:pPr>
            <w:r>
              <w:rPr>
                <w:rFonts w:ascii="Arial" w:cs="Arial" w:eastAsia="Arial" w:hAnsi="Arial"/>
                <w:sz w:val="12"/>
                <w:szCs w:val="12"/>
                <w:color w:val="7B7C80"/>
                <w:w w:val="96"/>
              </w:rPr>
              <w:t>02/26/2026</w:t>
            </w:r>
          </w:p>
        </w:tc>
        <w:tc>
          <w:tcPr>
            <w:tcW w:w="20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760" w:type="dxa"/>
            <w:vAlign w:val="bottom"/>
            <w:shd w:val="clear" w:color="auto" w:fill="E7E6E7"/>
          </w:tcPr>
          <w:p>
            <w:pPr>
              <w:spacing w:after="0"/>
              <w:rPr>
                <w:sz w:val="11"/>
                <w:szCs w:val="11"/>
                <w:color w:val="auto"/>
              </w:rPr>
            </w:pPr>
          </w:p>
        </w:tc>
        <w:tc>
          <w:tcPr>
            <w:tcW w:w="1240" w:type="dxa"/>
            <w:vAlign w:val="bottom"/>
            <w:shd w:val="clear" w:color="auto" w:fill="E7E6E7"/>
          </w:tcPr>
          <w:p>
            <w:pPr>
              <w:jc w:val="right"/>
              <w:ind w:right="19"/>
              <w:spacing w:after="0"/>
              <w:rPr>
                <w:sz w:val="20"/>
                <w:szCs w:val="20"/>
                <w:color w:val="auto"/>
              </w:rPr>
            </w:pPr>
            <w:r>
              <w:rPr>
                <w:rFonts w:ascii="Arial" w:cs="Arial" w:eastAsia="Arial" w:hAnsi="Arial"/>
                <w:sz w:val="12"/>
                <w:szCs w:val="12"/>
                <w:color w:val="7B7C80"/>
              </w:rPr>
              <w:t>16,219</w:t>
            </w:r>
          </w:p>
        </w:tc>
        <w:tc>
          <w:tcPr>
            <w:tcW w:w="4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1,144,413</w:t>
            </w:r>
          </w:p>
        </w:tc>
        <w:tc>
          <w:tcPr>
            <w:tcW w:w="0" w:type="dxa"/>
            <w:vAlign w:val="bottom"/>
          </w:tcPr>
          <w:p>
            <w:pPr>
              <w:spacing w:after="0"/>
              <w:rPr>
                <w:sz w:val="1"/>
                <w:szCs w:val="1"/>
                <w:color w:val="auto"/>
              </w:rPr>
            </w:pPr>
          </w:p>
        </w:tc>
      </w:tr>
      <w:tr>
        <w:trPr>
          <w:trHeight w:val="137"/>
        </w:trPr>
        <w:tc>
          <w:tcPr>
            <w:tcW w:w="1640" w:type="dxa"/>
            <w:vAlign w:val="bottom"/>
            <w:tcBorders>
              <w:bottom w:val="single" w:sz="8" w:color="7B7C80"/>
            </w:tcBorders>
          </w:tcPr>
          <w:p>
            <w:pPr>
              <w:spacing w:after="0"/>
              <w:rPr>
                <w:sz w:val="11"/>
                <w:szCs w:val="11"/>
                <w:color w:val="auto"/>
              </w:rPr>
            </w:pPr>
          </w:p>
        </w:tc>
        <w:tc>
          <w:tcPr>
            <w:tcW w:w="1000" w:type="dxa"/>
            <w:vAlign w:val="bottom"/>
            <w:tcBorders>
              <w:bottom w:val="single" w:sz="8" w:color="7B7C80"/>
            </w:tcBorders>
          </w:tcPr>
          <w:p>
            <w:pPr>
              <w:jc w:val="right"/>
              <w:ind w:right="39"/>
              <w:spacing w:after="0"/>
              <w:rPr>
                <w:sz w:val="20"/>
                <w:szCs w:val="20"/>
                <w:color w:val="auto"/>
              </w:rPr>
            </w:pPr>
            <w:r>
              <w:rPr>
                <w:rFonts w:ascii="Arial" w:cs="Arial" w:eastAsia="Arial" w:hAnsi="Arial"/>
                <w:sz w:val="12"/>
                <w:szCs w:val="12"/>
                <w:color w:val="7B7C80"/>
              </w:rPr>
              <w:t>0</w:t>
            </w:r>
          </w:p>
        </w:tc>
        <w:tc>
          <w:tcPr>
            <w:tcW w:w="1020" w:type="dxa"/>
            <w:vAlign w:val="bottom"/>
            <w:tcBorders>
              <w:bottom w:val="single" w:sz="8" w:color="7B7C80"/>
            </w:tcBorders>
          </w:tcPr>
          <w:p>
            <w:pPr>
              <w:jc w:val="right"/>
              <w:ind w:right="39"/>
              <w:spacing w:after="0"/>
              <w:rPr>
                <w:sz w:val="20"/>
                <w:szCs w:val="20"/>
                <w:color w:val="auto"/>
              </w:rPr>
            </w:pPr>
            <w:r>
              <w:rPr>
                <w:rFonts w:ascii="Arial" w:cs="Arial" w:eastAsia="Arial" w:hAnsi="Arial"/>
                <w:sz w:val="12"/>
                <w:szCs w:val="12"/>
                <w:color w:val="7B7C80"/>
              </w:rPr>
              <w:t>50,475</w:t>
            </w:r>
          </w:p>
        </w:tc>
        <w:tc>
          <w:tcPr>
            <w:tcW w:w="1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500" w:type="dxa"/>
            <w:vAlign w:val="bottom"/>
            <w:tcBorders>
              <w:bottom w:val="single" w:sz="8" w:color="7B7C80"/>
            </w:tcBorders>
          </w:tcPr>
          <w:p>
            <w:pPr>
              <w:jc w:val="center"/>
              <w:spacing w:after="0"/>
              <w:rPr>
                <w:sz w:val="20"/>
                <w:szCs w:val="20"/>
                <w:color w:val="auto"/>
              </w:rPr>
            </w:pPr>
            <w:r>
              <w:rPr>
                <w:rFonts w:ascii="Arial" w:cs="Arial" w:eastAsia="Arial" w:hAnsi="Arial"/>
                <w:sz w:val="12"/>
                <w:szCs w:val="12"/>
                <w:color w:val="7B7C80"/>
              </w:rPr>
              <w:t>62.78</w:t>
            </w:r>
          </w:p>
        </w:tc>
        <w:tc>
          <w:tcPr>
            <w:tcW w:w="700" w:type="dxa"/>
            <w:vAlign w:val="bottom"/>
            <w:tcBorders>
              <w:bottom w:val="single" w:sz="8" w:color="7B7C80"/>
            </w:tcBorders>
          </w:tcPr>
          <w:p>
            <w:pPr>
              <w:ind w:left="100"/>
              <w:spacing w:after="0"/>
              <w:rPr>
                <w:sz w:val="20"/>
                <w:szCs w:val="20"/>
                <w:color w:val="auto"/>
              </w:rPr>
            </w:pPr>
            <w:r>
              <w:rPr>
                <w:rFonts w:ascii="Arial" w:cs="Arial" w:eastAsia="Arial" w:hAnsi="Arial"/>
                <w:sz w:val="12"/>
                <w:szCs w:val="12"/>
                <w:color w:val="7B7C80"/>
                <w:w w:val="96"/>
              </w:rPr>
              <w:t>02/27/2027</w:t>
            </w:r>
          </w:p>
        </w:tc>
        <w:tc>
          <w:tcPr>
            <w:tcW w:w="200" w:type="dxa"/>
            <w:vAlign w:val="bottom"/>
            <w:tcBorders>
              <w:bottom w:val="single" w:sz="8" w:color="7B7C80"/>
            </w:tcBorders>
          </w:tcPr>
          <w:p>
            <w:pPr>
              <w:spacing w:after="0"/>
              <w:rPr>
                <w:sz w:val="11"/>
                <w:szCs w:val="11"/>
                <w:color w:val="auto"/>
              </w:rPr>
            </w:pPr>
          </w:p>
        </w:tc>
        <w:tc>
          <w:tcPr>
            <w:tcW w:w="700" w:type="dxa"/>
            <w:vAlign w:val="bottom"/>
            <w:tcBorders>
              <w:bottom w:val="single" w:sz="8" w:color="7B7C80"/>
            </w:tcBorders>
          </w:tcPr>
          <w:p>
            <w:pPr>
              <w:spacing w:after="0"/>
              <w:rPr>
                <w:sz w:val="11"/>
                <w:szCs w:val="11"/>
                <w:color w:val="auto"/>
              </w:rPr>
            </w:pPr>
          </w:p>
        </w:tc>
        <w:tc>
          <w:tcPr>
            <w:tcW w:w="760" w:type="dxa"/>
            <w:vAlign w:val="bottom"/>
            <w:tcBorders>
              <w:bottom w:val="single" w:sz="8" w:color="7B7C80"/>
            </w:tcBorders>
          </w:tcPr>
          <w:p>
            <w:pPr>
              <w:spacing w:after="0"/>
              <w:rPr>
                <w:sz w:val="11"/>
                <w:szCs w:val="11"/>
                <w:color w:val="auto"/>
              </w:rPr>
            </w:pPr>
          </w:p>
        </w:tc>
        <w:tc>
          <w:tcPr>
            <w:tcW w:w="1240" w:type="dxa"/>
            <w:vAlign w:val="bottom"/>
            <w:tcBorders>
              <w:bottom w:val="single" w:sz="8" w:color="7B7C80"/>
            </w:tcBorders>
          </w:tcPr>
          <w:p>
            <w:pPr>
              <w:jc w:val="right"/>
              <w:ind w:right="19"/>
              <w:spacing w:after="0"/>
              <w:rPr>
                <w:sz w:val="20"/>
                <w:szCs w:val="20"/>
                <w:color w:val="auto"/>
              </w:rPr>
            </w:pPr>
            <w:r>
              <w:rPr>
                <w:rFonts w:ascii="Arial" w:cs="Arial" w:eastAsia="Arial" w:hAnsi="Arial"/>
                <w:sz w:val="12"/>
                <w:szCs w:val="12"/>
                <w:color w:val="7B7C80"/>
              </w:rPr>
              <w:t>12,309</w:t>
            </w:r>
          </w:p>
        </w:tc>
        <w:tc>
          <w:tcPr>
            <w:tcW w:w="4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868,523</w:t>
            </w:r>
          </w:p>
        </w:tc>
        <w:tc>
          <w:tcPr>
            <w:tcW w:w="0" w:type="dxa"/>
            <w:vAlign w:val="bottom"/>
          </w:tcPr>
          <w:p>
            <w:pPr>
              <w:spacing w:after="0"/>
              <w:rPr>
                <w:sz w:val="1"/>
                <w:szCs w:val="1"/>
                <w:color w:val="auto"/>
              </w:rPr>
            </w:pPr>
          </w:p>
        </w:tc>
      </w:tr>
      <w:tr>
        <w:trPr>
          <w:trHeight w:val="129"/>
        </w:trPr>
        <w:tc>
          <w:tcPr>
            <w:tcW w:w="1640" w:type="dxa"/>
            <w:vAlign w:val="bottom"/>
            <w:tcBorders>
              <w:bottom w:val="single" w:sz="8" w:color="7B7C80"/>
            </w:tcBorders>
          </w:tcPr>
          <w:p>
            <w:pPr>
              <w:spacing w:after="0" w:line="129" w:lineRule="exact"/>
              <w:rPr>
                <w:sz w:val="20"/>
                <w:szCs w:val="20"/>
                <w:color w:val="auto"/>
              </w:rPr>
            </w:pPr>
            <w:r>
              <w:rPr>
                <w:rFonts w:ascii="Arial" w:cs="Arial" w:eastAsia="Arial" w:hAnsi="Arial"/>
                <w:sz w:val="12"/>
                <w:szCs w:val="12"/>
                <w:color w:val="7B7C80"/>
              </w:rPr>
              <w:t>Everett</w:t>
            </w:r>
          </w:p>
        </w:tc>
        <w:tc>
          <w:tcPr>
            <w:tcW w:w="1000" w:type="dxa"/>
            <w:vAlign w:val="bottom"/>
            <w:tcBorders>
              <w:bottom w:val="single" w:sz="8" w:color="7B7C80"/>
            </w:tcBorders>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0</w:t>
            </w:r>
          </w:p>
        </w:tc>
        <w:tc>
          <w:tcPr>
            <w:tcW w:w="1020" w:type="dxa"/>
            <w:vAlign w:val="bottom"/>
            <w:tcBorders>
              <w:bottom w:val="single" w:sz="8" w:color="7B7C80"/>
            </w:tcBorders>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43,230</w:t>
            </w:r>
          </w:p>
        </w:tc>
        <w:tc>
          <w:tcPr>
            <w:tcW w:w="18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00" w:type="dxa"/>
            <w:vAlign w:val="bottom"/>
            <w:tcBorders>
              <w:bottom w:val="single" w:sz="8" w:color="7B7C80"/>
            </w:tcBorders>
            <w:shd w:val="clear" w:color="auto" w:fill="E7E6E7"/>
          </w:tcPr>
          <w:p>
            <w:pPr>
              <w:jc w:val="center"/>
              <w:spacing w:after="0" w:line="129" w:lineRule="exact"/>
              <w:rPr>
                <w:sz w:val="20"/>
                <w:szCs w:val="20"/>
                <w:color w:val="auto"/>
              </w:rPr>
            </w:pPr>
            <w:r>
              <w:rPr>
                <w:rFonts w:ascii="Arial" w:cs="Arial" w:eastAsia="Arial" w:hAnsi="Arial"/>
                <w:sz w:val="12"/>
                <w:szCs w:val="12"/>
                <w:color w:val="7B7C80"/>
              </w:rPr>
              <w:t>62.78</w:t>
            </w:r>
          </w:p>
        </w:tc>
        <w:tc>
          <w:tcPr>
            <w:tcW w:w="700" w:type="dxa"/>
            <w:vAlign w:val="bottom"/>
            <w:tcBorders>
              <w:bottom w:val="single" w:sz="8" w:color="7B7C80"/>
            </w:tcBorders>
            <w:shd w:val="clear" w:color="auto" w:fill="E7E6E7"/>
          </w:tcPr>
          <w:p>
            <w:pPr>
              <w:ind w:left="100"/>
              <w:spacing w:after="0" w:line="129" w:lineRule="exact"/>
              <w:rPr>
                <w:sz w:val="20"/>
                <w:szCs w:val="20"/>
                <w:color w:val="auto"/>
              </w:rPr>
            </w:pPr>
            <w:r>
              <w:rPr>
                <w:rFonts w:ascii="Arial" w:cs="Arial" w:eastAsia="Arial" w:hAnsi="Arial"/>
                <w:sz w:val="12"/>
                <w:szCs w:val="12"/>
                <w:color w:val="7B7C80"/>
                <w:w w:val="96"/>
              </w:rPr>
              <w:t>02/27/2027</w:t>
            </w:r>
          </w:p>
        </w:tc>
        <w:tc>
          <w:tcPr>
            <w:tcW w:w="200" w:type="dxa"/>
            <w:vAlign w:val="bottom"/>
            <w:tcBorders>
              <w:bottom w:val="single" w:sz="8" w:color="7B7C80"/>
            </w:tcBorders>
            <w:shd w:val="clear" w:color="auto" w:fill="E7E6E7"/>
          </w:tcPr>
          <w:p>
            <w:pPr>
              <w:spacing w:after="0"/>
              <w:rPr>
                <w:sz w:val="11"/>
                <w:szCs w:val="11"/>
                <w:color w:val="auto"/>
              </w:rPr>
            </w:pPr>
          </w:p>
        </w:tc>
        <w:tc>
          <w:tcPr>
            <w:tcW w:w="700" w:type="dxa"/>
            <w:vAlign w:val="bottom"/>
            <w:tcBorders>
              <w:bottom w:val="single" w:sz="8" w:color="7B7C80"/>
            </w:tcBorders>
            <w:shd w:val="clear" w:color="auto" w:fill="E7E6E7"/>
          </w:tcPr>
          <w:p>
            <w:pPr>
              <w:spacing w:after="0"/>
              <w:rPr>
                <w:sz w:val="11"/>
                <w:szCs w:val="11"/>
                <w:color w:val="auto"/>
              </w:rPr>
            </w:pPr>
          </w:p>
        </w:tc>
        <w:tc>
          <w:tcPr>
            <w:tcW w:w="760" w:type="dxa"/>
            <w:vAlign w:val="bottom"/>
            <w:tcBorders>
              <w:bottom w:val="single" w:sz="8" w:color="7B7C80"/>
            </w:tcBorders>
            <w:shd w:val="clear" w:color="auto" w:fill="E7E6E7"/>
          </w:tcPr>
          <w:p>
            <w:pPr>
              <w:spacing w:after="0"/>
              <w:rPr>
                <w:sz w:val="11"/>
                <w:szCs w:val="11"/>
                <w:color w:val="auto"/>
              </w:rPr>
            </w:pPr>
          </w:p>
        </w:tc>
        <w:tc>
          <w:tcPr>
            <w:tcW w:w="1240" w:type="dxa"/>
            <w:vAlign w:val="bottom"/>
            <w:tcBorders>
              <w:bottom w:val="single" w:sz="8" w:color="7B7C80"/>
            </w:tcBorders>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10,543</w:t>
            </w:r>
          </w:p>
        </w:tc>
        <w:tc>
          <w:tcPr>
            <w:tcW w:w="48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6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743,917</w:t>
            </w:r>
          </w:p>
        </w:tc>
        <w:tc>
          <w:tcPr>
            <w:tcW w:w="0" w:type="dxa"/>
            <w:vAlign w:val="bottom"/>
          </w:tcPr>
          <w:p>
            <w:pPr>
              <w:spacing w:after="0"/>
              <w:rPr>
                <w:sz w:val="1"/>
                <w:szCs w:val="1"/>
                <w:color w:val="auto"/>
              </w:rPr>
            </w:pPr>
          </w:p>
        </w:tc>
      </w:tr>
      <w:tr>
        <w:trPr>
          <w:trHeight w:val="129"/>
        </w:trPr>
        <w:tc>
          <w:tcPr>
            <w:tcW w:w="1640" w:type="dxa"/>
            <w:vAlign w:val="bottom"/>
          </w:tcPr>
          <w:p>
            <w:pPr>
              <w:spacing w:after="0" w:line="129" w:lineRule="exact"/>
              <w:rPr>
                <w:sz w:val="20"/>
                <w:szCs w:val="20"/>
                <w:color w:val="auto"/>
              </w:rPr>
            </w:pPr>
            <w:r>
              <w:rPr>
                <w:rFonts w:ascii="Arial" w:cs="Arial" w:eastAsia="Arial" w:hAnsi="Arial"/>
                <w:sz w:val="12"/>
                <w:szCs w:val="12"/>
                <w:color w:val="7B7C80"/>
              </w:rPr>
              <w:t>Lillis</w:t>
            </w:r>
          </w:p>
        </w:tc>
        <w:tc>
          <w:tcPr>
            <w:tcW w:w="1000" w:type="dxa"/>
            <w:vAlign w:val="bottom"/>
          </w:tcPr>
          <w:p>
            <w:pPr>
              <w:jc w:val="right"/>
              <w:ind w:right="39"/>
              <w:spacing w:after="0" w:line="129" w:lineRule="exact"/>
              <w:rPr>
                <w:sz w:val="20"/>
                <w:szCs w:val="20"/>
                <w:color w:val="auto"/>
              </w:rPr>
            </w:pPr>
            <w:r>
              <w:rPr>
                <w:rFonts w:ascii="Arial" w:cs="Arial" w:eastAsia="Arial" w:hAnsi="Arial"/>
                <w:sz w:val="12"/>
                <w:szCs w:val="12"/>
                <w:color w:val="7B7C80"/>
              </w:rPr>
              <w:t>62,760</w:t>
            </w:r>
          </w:p>
        </w:tc>
        <w:tc>
          <w:tcPr>
            <w:tcW w:w="1020" w:type="dxa"/>
            <w:vAlign w:val="bottom"/>
          </w:tcPr>
          <w:p>
            <w:pPr>
              <w:jc w:val="right"/>
              <w:ind w:right="39"/>
              <w:spacing w:after="0" w:line="129" w:lineRule="exact"/>
              <w:rPr>
                <w:sz w:val="20"/>
                <w:szCs w:val="20"/>
                <w:color w:val="auto"/>
              </w:rPr>
            </w:pPr>
            <w:r>
              <w:rPr>
                <w:rFonts w:ascii="Arial" w:cs="Arial" w:eastAsia="Arial" w:hAnsi="Arial"/>
                <w:sz w:val="12"/>
                <w:szCs w:val="12"/>
                <w:color w:val="7B7C80"/>
              </w:rPr>
              <w:t>0</w:t>
            </w:r>
          </w:p>
        </w:tc>
        <w:tc>
          <w:tcPr>
            <w:tcW w:w="18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500" w:type="dxa"/>
            <w:vAlign w:val="bottom"/>
          </w:tcPr>
          <w:p>
            <w:pPr>
              <w:jc w:val="center"/>
              <w:spacing w:after="0" w:line="129" w:lineRule="exact"/>
              <w:rPr>
                <w:sz w:val="20"/>
                <w:szCs w:val="20"/>
                <w:color w:val="auto"/>
              </w:rPr>
            </w:pPr>
            <w:r>
              <w:rPr>
                <w:rFonts w:ascii="Arial" w:cs="Arial" w:eastAsia="Arial" w:hAnsi="Arial"/>
                <w:sz w:val="12"/>
                <w:szCs w:val="12"/>
                <w:color w:val="7B7C80"/>
              </w:rPr>
              <w:t>30.70</w:t>
            </w:r>
          </w:p>
        </w:tc>
        <w:tc>
          <w:tcPr>
            <w:tcW w:w="700" w:type="dxa"/>
            <w:vAlign w:val="bottom"/>
          </w:tcPr>
          <w:p>
            <w:pPr>
              <w:ind w:left="100"/>
              <w:spacing w:after="0" w:line="129" w:lineRule="exact"/>
              <w:rPr>
                <w:sz w:val="20"/>
                <w:szCs w:val="20"/>
                <w:color w:val="auto"/>
              </w:rPr>
            </w:pPr>
            <w:r>
              <w:rPr>
                <w:rFonts w:ascii="Arial" w:cs="Arial" w:eastAsia="Arial" w:hAnsi="Arial"/>
                <w:sz w:val="12"/>
                <w:szCs w:val="12"/>
                <w:color w:val="7B7C80"/>
                <w:w w:val="96"/>
              </w:rPr>
              <w:t>02/25/2023</w:t>
            </w: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42,085</w:t>
            </w:r>
          </w:p>
        </w:tc>
        <w:tc>
          <w:tcPr>
            <w:tcW w:w="102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00" w:type="dxa"/>
            <w:vAlign w:val="bottom"/>
            <w:shd w:val="clear" w:color="auto" w:fill="E7E6E7"/>
          </w:tcPr>
          <w:p>
            <w:pPr>
              <w:jc w:val="center"/>
              <w:spacing w:after="0"/>
              <w:rPr>
                <w:sz w:val="20"/>
                <w:szCs w:val="20"/>
                <w:color w:val="auto"/>
              </w:rPr>
            </w:pPr>
            <w:r>
              <w:rPr>
                <w:rFonts w:ascii="Arial" w:cs="Arial" w:eastAsia="Arial" w:hAnsi="Arial"/>
                <w:sz w:val="12"/>
                <w:szCs w:val="12"/>
                <w:color w:val="7B7C80"/>
              </w:rPr>
              <w:t>44.88</w:t>
            </w:r>
          </w:p>
        </w:tc>
        <w:tc>
          <w:tcPr>
            <w:tcW w:w="700" w:type="dxa"/>
            <w:vAlign w:val="bottom"/>
            <w:shd w:val="clear" w:color="auto" w:fill="E7E6E7"/>
          </w:tcPr>
          <w:p>
            <w:pPr>
              <w:ind w:left="100"/>
              <w:spacing w:after="0"/>
              <w:rPr>
                <w:sz w:val="20"/>
                <w:szCs w:val="20"/>
                <w:color w:val="auto"/>
              </w:rPr>
            </w:pPr>
            <w:r>
              <w:rPr>
                <w:rFonts w:ascii="Arial" w:cs="Arial" w:eastAsia="Arial" w:hAnsi="Arial"/>
                <w:sz w:val="12"/>
                <w:szCs w:val="12"/>
                <w:color w:val="7B7C80"/>
                <w:w w:val="96"/>
              </w:rPr>
              <w:t>02/24/2024</w:t>
            </w:r>
          </w:p>
        </w:tc>
        <w:tc>
          <w:tcPr>
            <w:tcW w:w="20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760" w:type="dxa"/>
            <w:vAlign w:val="bottom"/>
            <w:shd w:val="clear" w:color="auto" w:fill="E7E6E7"/>
          </w:tcPr>
          <w:p>
            <w:pPr>
              <w:spacing w:after="0"/>
              <w:rPr>
                <w:sz w:val="11"/>
                <w:szCs w:val="11"/>
                <w:color w:val="auto"/>
              </w:rPr>
            </w:pPr>
          </w:p>
        </w:tc>
        <w:tc>
          <w:tcPr>
            <w:tcW w:w="124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c>
          <w:tcPr>
            <w:tcW w:w="660" w:type="dxa"/>
            <w:vAlign w:val="bottom"/>
            <w:shd w:val="clear" w:color="auto" w:fill="E7E6E7"/>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color w:val="7B7C80"/>
              </w:rPr>
              <w:t>40,455</w:t>
            </w:r>
          </w:p>
        </w:tc>
        <w:tc>
          <w:tcPr>
            <w:tcW w:w="1020" w:type="dxa"/>
            <w:vAlign w:val="bottom"/>
          </w:tcPr>
          <w:p>
            <w:pPr>
              <w:jc w:val="right"/>
              <w:ind w:right="39"/>
              <w:spacing w:after="0"/>
              <w:rPr>
                <w:sz w:val="20"/>
                <w:szCs w:val="20"/>
                <w:color w:val="auto"/>
              </w:rPr>
            </w:pPr>
            <w:r>
              <w:rPr>
                <w:rFonts w:ascii="Arial" w:cs="Arial" w:eastAsia="Arial" w:hAnsi="Arial"/>
                <w:sz w:val="12"/>
                <w:szCs w:val="12"/>
                <w:color w:val="7B7C80"/>
              </w:rPr>
              <w:t>0</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500" w:type="dxa"/>
            <w:vAlign w:val="bottom"/>
          </w:tcPr>
          <w:p>
            <w:pPr>
              <w:jc w:val="center"/>
              <w:spacing w:after="0"/>
              <w:rPr>
                <w:sz w:val="20"/>
                <w:szCs w:val="20"/>
                <w:color w:val="auto"/>
              </w:rPr>
            </w:pPr>
            <w:r>
              <w:rPr>
                <w:rFonts w:ascii="Arial" w:cs="Arial" w:eastAsia="Arial" w:hAnsi="Arial"/>
                <w:sz w:val="12"/>
                <w:szCs w:val="12"/>
                <w:color w:val="7B7C80"/>
              </w:rPr>
              <w:t>51.33</w:t>
            </w:r>
          </w:p>
        </w:tc>
        <w:tc>
          <w:tcPr>
            <w:tcW w:w="700" w:type="dxa"/>
            <w:vAlign w:val="bottom"/>
          </w:tcPr>
          <w:p>
            <w:pPr>
              <w:ind w:left="100"/>
              <w:spacing w:after="0"/>
              <w:rPr>
                <w:sz w:val="20"/>
                <w:szCs w:val="20"/>
                <w:color w:val="auto"/>
              </w:rPr>
            </w:pPr>
            <w:r>
              <w:rPr>
                <w:rFonts w:ascii="Arial" w:cs="Arial" w:eastAsia="Arial" w:hAnsi="Arial"/>
                <w:sz w:val="12"/>
                <w:szCs w:val="12"/>
                <w:color w:val="7B7C80"/>
                <w:w w:val="96"/>
              </w:rPr>
              <w:t>02/23/2025</w:t>
            </w: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jc w:val="right"/>
              <w:ind w:right="19"/>
              <w:spacing w:after="0"/>
              <w:rPr>
                <w:sz w:val="20"/>
                <w:szCs w:val="20"/>
                <w:color w:val="auto"/>
              </w:rPr>
            </w:pPr>
            <w:r>
              <w:rPr>
                <w:rFonts w:ascii="Arial" w:cs="Arial" w:eastAsia="Arial" w:hAnsi="Arial"/>
                <w:sz w:val="12"/>
                <w:szCs w:val="12"/>
                <w:color w:val="7B7C80"/>
              </w:rPr>
              <w:t>17,681</w:t>
            </w:r>
          </w:p>
        </w:tc>
        <w:tc>
          <w:tcPr>
            <w:tcW w:w="480" w:type="dxa"/>
            <w:vAlign w:val="bottom"/>
          </w:tcPr>
          <w:p>
            <w:pPr>
              <w:jc w:val="right"/>
              <w:spacing w:after="0"/>
              <w:rPr>
                <w:sz w:val="20"/>
                <w:szCs w:val="20"/>
                <w:color w:val="auto"/>
              </w:rPr>
            </w:pPr>
            <w:r>
              <w:rPr>
                <w:rFonts w:ascii="Arial" w:cs="Arial" w:eastAsia="Arial" w:hAnsi="Arial"/>
                <w:sz w:val="12"/>
                <w:szCs w:val="12"/>
                <w:color w:val="7B7C80"/>
              </w:rPr>
              <w:t>$</w:t>
            </w:r>
          </w:p>
        </w:tc>
        <w:tc>
          <w:tcPr>
            <w:tcW w:w="660" w:type="dxa"/>
            <w:vAlign w:val="bottom"/>
          </w:tcPr>
          <w:p>
            <w:pPr>
              <w:jc w:val="right"/>
              <w:spacing w:after="0"/>
              <w:rPr>
                <w:sz w:val="20"/>
                <w:szCs w:val="20"/>
                <w:color w:val="auto"/>
              </w:rPr>
            </w:pPr>
            <w:r>
              <w:rPr>
                <w:rFonts w:ascii="Arial" w:cs="Arial" w:eastAsia="Arial" w:hAnsi="Arial"/>
                <w:sz w:val="12"/>
                <w:szCs w:val="12"/>
                <w:color w:val="7B7C80"/>
              </w:rPr>
              <w:t>1,131,230</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31,847</w:t>
            </w:r>
          </w:p>
        </w:tc>
        <w:tc>
          <w:tcPr>
            <w:tcW w:w="102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63,693</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00" w:type="dxa"/>
            <w:vAlign w:val="bottom"/>
            <w:shd w:val="clear" w:color="auto" w:fill="E7E6E7"/>
          </w:tcPr>
          <w:p>
            <w:pPr>
              <w:jc w:val="center"/>
              <w:spacing w:after="0"/>
              <w:rPr>
                <w:sz w:val="20"/>
                <w:szCs w:val="20"/>
                <w:color w:val="auto"/>
              </w:rPr>
            </w:pPr>
            <w:r>
              <w:rPr>
                <w:rFonts w:ascii="Arial" w:cs="Arial" w:eastAsia="Arial" w:hAnsi="Arial"/>
                <w:sz w:val="12"/>
                <w:szCs w:val="12"/>
                <w:color w:val="7B7C80"/>
              </w:rPr>
              <w:t>37.38</w:t>
            </w:r>
          </w:p>
        </w:tc>
        <w:tc>
          <w:tcPr>
            <w:tcW w:w="700" w:type="dxa"/>
            <w:vAlign w:val="bottom"/>
            <w:shd w:val="clear" w:color="auto" w:fill="E7E6E7"/>
          </w:tcPr>
          <w:p>
            <w:pPr>
              <w:ind w:left="100"/>
              <w:spacing w:after="0"/>
              <w:rPr>
                <w:sz w:val="20"/>
                <w:szCs w:val="20"/>
                <w:color w:val="auto"/>
              </w:rPr>
            </w:pPr>
            <w:r>
              <w:rPr>
                <w:rFonts w:ascii="Arial" w:cs="Arial" w:eastAsia="Arial" w:hAnsi="Arial"/>
                <w:sz w:val="12"/>
                <w:szCs w:val="12"/>
                <w:color w:val="7B7C80"/>
                <w:w w:val="96"/>
              </w:rPr>
              <w:t>02/26/2026</w:t>
            </w:r>
          </w:p>
        </w:tc>
        <w:tc>
          <w:tcPr>
            <w:tcW w:w="20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760" w:type="dxa"/>
            <w:vAlign w:val="bottom"/>
            <w:shd w:val="clear" w:color="auto" w:fill="E7E6E7"/>
          </w:tcPr>
          <w:p>
            <w:pPr>
              <w:spacing w:after="0"/>
              <w:rPr>
                <w:sz w:val="11"/>
                <w:szCs w:val="11"/>
                <w:color w:val="auto"/>
              </w:rPr>
            </w:pPr>
          </w:p>
        </w:tc>
        <w:tc>
          <w:tcPr>
            <w:tcW w:w="1240" w:type="dxa"/>
            <w:vAlign w:val="bottom"/>
            <w:shd w:val="clear" w:color="auto" w:fill="E7E6E7"/>
          </w:tcPr>
          <w:p>
            <w:pPr>
              <w:jc w:val="right"/>
              <w:ind w:right="19"/>
              <w:spacing w:after="0"/>
              <w:rPr>
                <w:sz w:val="20"/>
                <w:szCs w:val="20"/>
                <w:color w:val="auto"/>
              </w:rPr>
            </w:pPr>
            <w:r>
              <w:rPr>
                <w:rFonts w:ascii="Arial" w:cs="Arial" w:eastAsia="Arial" w:hAnsi="Arial"/>
                <w:sz w:val="12"/>
                <w:szCs w:val="12"/>
                <w:color w:val="7B7C80"/>
              </w:rPr>
              <w:t>22,773</w:t>
            </w:r>
          </w:p>
        </w:tc>
        <w:tc>
          <w:tcPr>
            <w:tcW w:w="4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1,606,863</w:t>
            </w:r>
          </w:p>
        </w:tc>
        <w:tc>
          <w:tcPr>
            <w:tcW w:w="0" w:type="dxa"/>
            <w:vAlign w:val="bottom"/>
          </w:tcPr>
          <w:p>
            <w:pPr>
              <w:spacing w:after="0"/>
              <w:rPr>
                <w:sz w:val="1"/>
                <w:szCs w:val="1"/>
                <w:color w:val="auto"/>
              </w:rPr>
            </w:pPr>
          </w:p>
        </w:tc>
      </w:tr>
      <w:tr>
        <w:trPr>
          <w:trHeight w:val="137"/>
        </w:trPr>
        <w:tc>
          <w:tcPr>
            <w:tcW w:w="1640" w:type="dxa"/>
            <w:vAlign w:val="bottom"/>
            <w:vMerge w:val="restart"/>
          </w:tcPr>
          <w:p>
            <w:pPr>
              <w:spacing w:after="0"/>
              <w:rPr>
                <w:sz w:val="20"/>
                <w:szCs w:val="20"/>
                <w:color w:val="auto"/>
              </w:rPr>
            </w:pPr>
            <w:r>
              <w:rPr>
                <w:rFonts w:ascii="Arial" w:cs="Arial" w:eastAsia="Arial" w:hAnsi="Arial"/>
                <w:sz w:val="12"/>
                <w:szCs w:val="12"/>
                <w:color w:val="7B7C80"/>
              </w:rPr>
              <w:t>McCaughan</w:t>
            </w:r>
          </w:p>
        </w:tc>
        <w:tc>
          <w:tcPr>
            <w:tcW w:w="1000" w:type="dxa"/>
            <w:vAlign w:val="bottom"/>
          </w:tcPr>
          <w:p>
            <w:pPr>
              <w:jc w:val="right"/>
              <w:ind w:right="39"/>
              <w:spacing w:after="0"/>
              <w:rPr>
                <w:sz w:val="20"/>
                <w:szCs w:val="20"/>
                <w:color w:val="auto"/>
              </w:rPr>
            </w:pPr>
            <w:r>
              <w:rPr>
                <w:rFonts w:ascii="Arial" w:cs="Arial" w:eastAsia="Arial" w:hAnsi="Arial"/>
                <w:sz w:val="12"/>
                <w:szCs w:val="12"/>
                <w:color w:val="7B7C80"/>
              </w:rPr>
              <w:t>16,820</w:t>
            </w:r>
          </w:p>
        </w:tc>
        <w:tc>
          <w:tcPr>
            <w:tcW w:w="1020" w:type="dxa"/>
            <w:vAlign w:val="bottom"/>
          </w:tcPr>
          <w:p>
            <w:pPr>
              <w:jc w:val="right"/>
              <w:ind w:right="39"/>
              <w:spacing w:after="0"/>
              <w:rPr>
                <w:sz w:val="20"/>
                <w:szCs w:val="20"/>
                <w:color w:val="auto"/>
              </w:rPr>
            </w:pPr>
            <w:r>
              <w:rPr>
                <w:rFonts w:ascii="Arial" w:cs="Arial" w:eastAsia="Arial" w:hAnsi="Arial"/>
                <w:sz w:val="12"/>
                <w:szCs w:val="12"/>
                <w:color w:val="7B7C80"/>
              </w:rPr>
              <w:t>0</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500" w:type="dxa"/>
            <w:vAlign w:val="bottom"/>
          </w:tcPr>
          <w:p>
            <w:pPr>
              <w:jc w:val="center"/>
              <w:spacing w:after="0"/>
              <w:rPr>
                <w:sz w:val="20"/>
                <w:szCs w:val="20"/>
                <w:color w:val="auto"/>
              </w:rPr>
            </w:pPr>
            <w:r>
              <w:rPr>
                <w:rFonts w:ascii="Arial" w:cs="Arial" w:eastAsia="Arial" w:hAnsi="Arial"/>
                <w:sz w:val="12"/>
                <w:szCs w:val="12"/>
                <w:color w:val="7B7C80"/>
              </w:rPr>
              <w:t>62.78</w:t>
            </w:r>
          </w:p>
        </w:tc>
        <w:tc>
          <w:tcPr>
            <w:tcW w:w="700" w:type="dxa"/>
            <w:vAlign w:val="bottom"/>
          </w:tcPr>
          <w:p>
            <w:pPr>
              <w:ind w:left="100"/>
              <w:spacing w:after="0"/>
              <w:rPr>
                <w:sz w:val="20"/>
                <w:szCs w:val="20"/>
                <w:color w:val="auto"/>
              </w:rPr>
            </w:pPr>
            <w:r>
              <w:rPr>
                <w:rFonts w:ascii="Arial" w:cs="Arial" w:eastAsia="Arial" w:hAnsi="Arial"/>
                <w:sz w:val="12"/>
                <w:szCs w:val="12"/>
                <w:color w:val="7B7C80"/>
                <w:w w:val="96"/>
              </w:rPr>
              <w:t>02/27/2027</w:t>
            </w: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jc w:val="right"/>
              <w:ind w:right="19"/>
              <w:spacing w:after="0"/>
              <w:rPr>
                <w:sz w:val="20"/>
                <w:szCs w:val="20"/>
                <w:color w:val="auto"/>
              </w:rPr>
            </w:pPr>
            <w:r>
              <w:rPr>
                <w:rFonts w:ascii="Arial" w:cs="Arial" w:eastAsia="Arial" w:hAnsi="Arial"/>
                <w:sz w:val="12"/>
                <w:szCs w:val="12"/>
                <w:color w:val="7B7C80"/>
              </w:rPr>
              <w:t>4,102</w:t>
            </w:r>
          </w:p>
        </w:tc>
        <w:tc>
          <w:tcPr>
            <w:tcW w:w="480" w:type="dxa"/>
            <w:vAlign w:val="bottom"/>
          </w:tcPr>
          <w:p>
            <w:pPr>
              <w:jc w:val="right"/>
              <w:spacing w:after="0"/>
              <w:rPr>
                <w:sz w:val="20"/>
                <w:szCs w:val="20"/>
                <w:color w:val="auto"/>
              </w:rPr>
            </w:pPr>
            <w:r>
              <w:rPr>
                <w:rFonts w:ascii="Arial" w:cs="Arial" w:eastAsia="Arial" w:hAnsi="Arial"/>
                <w:sz w:val="12"/>
                <w:szCs w:val="12"/>
                <w:color w:val="7B7C80"/>
              </w:rPr>
              <w:t>$</w:t>
            </w:r>
          </w:p>
        </w:tc>
        <w:tc>
          <w:tcPr>
            <w:tcW w:w="660" w:type="dxa"/>
            <w:vAlign w:val="bottom"/>
          </w:tcPr>
          <w:p>
            <w:pPr>
              <w:jc w:val="right"/>
              <w:spacing w:after="0"/>
              <w:rPr>
                <w:sz w:val="20"/>
                <w:szCs w:val="20"/>
                <w:color w:val="auto"/>
              </w:rPr>
            </w:pPr>
            <w:r>
              <w:rPr>
                <w:rFonts w:ascii="Arial" w:cs="Arial" w:eastAsia="Arial" w:hAnsi="Arial"/>
                <w:sz w:val="12"/>
                <w:szCs w:val="12"/>
                <w:color w:val="7B7C80"/>
              </w:rPr>
              <w:t>289,437</w:t>
            </w:r>
          </w:p>
        </w:tc>
        <w:tc>
          <w:tcPr>
            <w:tcW w:w="0" w:type="dxa"/>
            <w:vAlign w:val="bottom"/>
          </w:tcPr>
          <w:p>
            <w:pPr>
              <w:spacing w:after="0"/>
              <w:rPr>
                <w:sz w:val="1"/>
                <w:szCs w:val="1"/>
                <w:color w:val="auto"/>
              </w:rPr>
            </w:pPr>
          </w:p>
        </w:tc>
      </w:tr>
      <w:tr>
        <w:trPr>
          <w:trHeight w:val="137"/>
        </w:trPr>
        <w:tc>
          <w:tcPr>
            <w:tcW w:w="1640" w:type="dxa"/>
            <w:vAlign w:val="bottom"/>
            <w:vMerge w:val="continue"/>
          </w:tcPr>
          <w:p>
            <w:pPr>
              <w:spacing w:after="0"/>
              <w:rPr>
                <w:sz w:val="11"/>
                <w:szCs w:val="11"/>
                <w:color w:val="auto"/>
              </w:rPr>
            </w:pPr>
          </w:p>
        </w:tc>
        <w:tc>
          <w:tcPr>
            <w:tcW w:w="100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83,630</w:t>
            </w:r>
          </w:p>
        </w:tc>
        <w:tc>
          <w:tcPr>
            <w:tcW w:w="102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0</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00" w:type="dxa"/>
            <w:vAlign w:val="bottom"/>
            <w:shd w:val="clear" w:color="auto" w:fill="E7E6E7"/>
          </w:tcPr>
          <w:p>
            <w:pPr>
              <w:jc w:val="center"/>
              <w:spacing w:after="0"/>
              <w:rPr>
                <w:sz w:val="20"/>
                <w:szCs w:val="20"/>
                <w:color w:val="auto"/>
              </w:rPr>
            </w:pPr>
            <w:r>
              <w:rPr>
                <w:rFonts w:ascii="Arial" w:cs="Arial" w:eastAsia="Arial" w:hAnsi="Arial"/>
                <w:sz w:val="12"/>
                <w:szCs w:val="12"/>
                <w:color w:val="7B7C80"/>
              </w:rPr>
              <w:t>30.70</w:t>
            </w:r>
          </w:p>
        </w:tc>
        <w:tc>
          <w:tcPr>
            <w:tcW w:w="700" w:type="dxa"/>
            <w:vAlign w:val="bottom"/>
            <w:shd w:val="clear" w:color="auto" w:fill="E7E6E7"/>
          </w:tcPr>
          <w:p>
            <w:pPr>
              <w:ind w:left="100"/>
              <w:spacing w:after="0"/>
              <w:rPr>
                <w:sz w:val="20"/>
                <w:szCs w:val="20"/>
                <w:color w:val="auto"/>
              </w:rPr>
            </w:pPr>
            <w:r>
              <w:rPr>
                <w:rFonts w:ascii="Arial" w:cs="Arial" w:eastAsia="Arial" w:hAnsi="Arial"/>
                <w:sz w:val="12"/>
                <w:szCs w:val="12"/>
                <w:color w:val="7B7C80"/>
                <w:w w:val="96"/>
              </w:rPr>
              <w:t>02/25/2023</w:t>
            </w:r>
          </w:p>
        </w:tc>
        <w:tc>
          <w:tcPr>
            <w:tcW w:w="20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760" w:type="dxa"/>
            <w:vAlign w:val="bottom"/>
            <w:shd w:val="clear" w:color="auto" w:fill="E7E6E7"/>
          </w:tcPr>
          <w:p>
            <w:pPr>
              <w:spacing w:after="0"/>
              <w:rPr>
                <w:sz w:val="11"/>
                <w:szCs w:val="11"/>
                <w:color w:val="auto"/>
              </w:rPr>
            </w:pPr>
          </w:p>
        </w:tc>
        <w:tc>
          <w:tcPr>
            <w:tcW w:w="124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c>
          <w:tcPr>
            <w:tcW w:w="660" w:type="dxa"/>
            <w:vAlign w:val="bottom"/>
            <w:shd w:val="clear" w:color="auto" w:fill="E7E6E7"/>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color w:val="7B7C80"/>
              </w:rPr>
              <w:t>54,540</w:t>
            </w:r>
          </w:p>
        </w:tc>
        <w:tc>
          <w:tcPr>
            <w:tcW w:w="1020" w:type="dxa"/>
            <w:vAlign w:val="bottom"/>
          </w:tcPr>
          <w:p>
            <w:pPr>
              <w:jc w:val="right"/>
              <w:ind w:right="39"/>
              <w:spacing w:after="0"/>
              <w:rPr>
                <w:sz w:val="20"/>
                <w:szCs w:val="20"/>
                <w:color w:val="auto"/>
              </w:rPr>
            </w:pPr>
            <w:r>
              <w:rPr>
                <w:rFonts w:ascii="Arial" w:cs="Arial" w:eastAsia="Arial" w:hAnsi="Arial"/>
                <w:sz w:val="12"/>
                <w:szCs w:val="12"/>
                <w:color w:val="7B7C80"/>
              </w:rPr>
              <w:t>0</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500" w:type="dxa"/>
            <w:vAlign w:val="bottom"/>
          </w:tcPr>
          <w:p>
            <w:pPr>
              <w:jc w:val="center"/>
              <w:spacing w:after="0"/>
              <w:rPr>
                <w:sz w:val="20"/>
                <w:szCs w:val="20"/>
                <w:color w:val="auto"/>
              </w:rPr>
            </w:pPr>
            <w:r>
              <w:rPr>
                <w:rFonts w:ascii="Arial" w:cs="Arial" w:eastAsia="Arial" w:hAnsi="Arial"/>
                <w:sz w:val="12"/>
                <w:szCs w:val="12"/>
                <w:color w:val="7B7C80"/>
              </w:rPr>
              <w:t>44.88</w:t>
            </w:r>
          </w:p>
        </w:tc>
        <w:tc>
          <w:tcPr>
            <w:tcW w:w="700" w:type="dxa"/>
            <w:vAlign w:val="bottom"/>
          </w:tcPr>
          <w:p>
            <w:pPr>
              <w:ind w:left="100"/>
              <w:spacing w:after="0"/>
              <w:rPr>
                <w:sz w:val="20"/>
                <w:szCs w:val="20"/>
                <w:color w:val="auto"/>
              </w:rPr>
            </w:pPr>
            <w:r>
              <w:rPr>
                <w:rFonts w:ascii="Arial" w:cs="Arial" w:eastAsia="Arial" w:hAnsi="Arial"/>
                <w:sz w:val="12"/>
                <w:szCs w:val="12"/>
                <w:color w:val="7B7C80"/>
                <w:w w:val="96"/>
              </w:rPr>
              <w:t>02/24/2024</w:t>
            </w: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34,626</w:t>
            </w:r>
          </w:p>
        </w:tc>
        <w:tc>
          <w:tcPr>
            <w:tcW w:w="102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17,314</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00" w:type="dxa"/>
            <w:vAlign w:val="bottom"/>
            <w:shd w:val="clear" w:color="auto" w:fill="E7E6E7"/>
          </w:tcPr>
          <w:p>
            <w:pPr>
              <w:jc w:val="center"/>
              <w:spacing w:after="0"/>
              <w:rPr>
                <w:sz w:val="20"/>
                <w:szCs w:val="20"/>
                <w:color w:val="auto"/>
              </w:rPr>
            </w:pPr>
            <w:r>
              <w:rPr>
                <w:rFonts w:ascii="Arial" w:cs="Arial" w:eastAsia="Arial" w:hAnsi="Arial"/>
                <w:sz w:val="12"/>
                <w:szCs w:val="12"/>
                <w:color w:val="7B7C80"/>
              </w:rPr>
              <w:t>51.33</w:t>
            </w:r>
          </w:p>
        </w:tc>
        <w:tc>
          <w:tcPr>
            <w:tcW w:w="700" w:type="dxa"/>
            <w:vAlign w:val="bottom"/>
            <w:shd w:val="clear" w:color="auto" w:fill="E7E6E7"/>
          </w:tcPr>
          <w:p>
            <w:pPr>
              <w:ind w:left="100"/>
              <w:spacing w:after="0"/>
              <w:rPr>
                <w:sz w:val="20"/>
                <w:szCs w:val="20"/>
                <w:color w:val="auto"/>
              </w:rPr>
            </w:pPr>
            <w:r>
              <w:rPr>
                <w:rFonts w:ascii="Arial" w:cs="Arial" w:eastAsia="Arial" w:hAnsi="Arial"/>
                <w:sz w:val="12"/>
                <w:szCs w:val="12"/>
                <w:color w:val="7B7C80"/>
                <w:w w:val="96"/>
              </w:rPr>
              <w:t>02/23/2025</w:t>
            </w:r>
          </w:p>
        </w:tc>
        <w:tc>
          <w:tcPr>
            <w:tcW w:w="20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760" w:type="dxa"/>
            <w:vAlign w:val="bottom"/>
            <w:shd w:val="clear" w:color="auto" w:fill="E7E6E7"/>
          </w:tcPr>
          <w:p>
            <w:pPr>
              <w:spacing w:after="0"/>
              <w:rPr>
                <w:sz w:val="11"/>
                <w:szCs w:val="11"/>
                <w:color w:val="auto"/>
              </w:rPr>
            </w:pPr>
          </w:p>
        </w:tc>
        <w:tc>
          <w:tcPr>
            <w:tcW w:w="1240" w:type="dxa"/>
            <w:vAlign w:val="bottom"/>
            <w:shd w:val="clear" w:color="auto" w:fill="E7E6E7"/>
          </w:tcPr>
          <w:p>
            <w:pPr>
              <w:jc w:val="right"/>
              <w:ind w:right="19"/>
              <w:spacing w:after="0"/>
              <w:rPr>
                <w:sz w:val="20"/>
                <w:szCs w:val="20"/>
                <w:color w:val="auto"/>
              </w:rPr>
            </w:pPr>
            <w:r>
              <w:rPr>
                <w:rFonts w:ascii="Arial" w:cs="Arial" w:eastAsia="Arial" w:hAnsi="Arial"/>
                <w:sz w:val="12"/>
                <w:szCs w:val="12"/>
                <w:color w:val="7B7C80"/>
              </w:rPr>
              <w:t>22,700</w:t>
            </w:r>
          </w:p>
        </w:tc>
        <w:tc>
          <w:tcPr>
            <w:tcW w:w="4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1,452,346</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tcPr>
          <w:p>
            <w:pPr>
              <w:jc w:val="right"/>
              <w:ind w:right="39"/>
              <w:spacing w:after="0"/>
              <w:rPr>
                <w:sz w:val="20"/>
                <w:szCs w:val="20"/>
                <w:color w:val="auto"/>
              </w:rPr>
            </w:pPr>
            <w:r>
              <w:rPr>
                <w:rFonts w:ascii="Arial" w:cs="Arial" w:eastAsia="Arial" w:hAnsi="Arial"/>
                <w:sz w:val="12"/>
                <w:szCs w:val="12"/>
                <w:color w:val="7B7C80"/>
              </w:rPr>
              <w:t>40,488</w:t>
            </w:r>
          </w:p>
        </w:tc>
        <w:tc>
          <w:tcPr>
            <w:tcW w:w="1020" w:type="dxa"/>
            <w:vAlign w:val="bottom"/>
          </w:tcPr>
          <w:p>
            <w:pPr>
              <w:jc w:val="right"/>
              <w:ind w:right="39"/>
              <w:spacing w:after="0"/>
              <w:rPr>
                <w:sz w:val="20"/>
                <w:szCs w:val="20"/>
                <w:color w:val="auto"/>
              </w:rPr>
            </w:pPr>
            <w:r>
              <w:rPr>
                <w:rFonts w:ascii="Arial" w:cs="Arial" w:eastAsia="Arial" w:hAnsi="Arial"/>
                <w:sz w:val="12"/>
                <w:szCs w:val="12"/>
                <w:color w:val="7B7C80"/>
              </w:rPr>
              <w:t>80,977</w:t>
            </w:r>
          </w:p>
        </w:tc>
        <w:tc>
          <w:tcPr>
            <w:tcW w:w="180" w:type="dxa"/>
            <w:vAlign w:val="bottom"/>
          </w:tcPr>
          <w:p>
            <w:pPr>
              <w:jc w:val="right"/>
              <w:spacing w:after="0"/>
              <w:rPr>
                <w:sz w:val="20"/>
                <w:szCs w:val="20"/>
                <w:color w:val="auto"/>
              </w:rPr>
            </w:pPr>
            <w:r>
              <w:rPr>
                <w:rFonts w:ascii="Arial" w:cs="Arial" w:eastAsia="Arial" w:hAnsi="Arial"/>
                <w:sz w:val="12"/>
                <w:szCs w:val="12"/>
                <w:color w:val="7B7C80"/>
              </w:rPr>
              <w:t>$</w:t>
            </w:r>
          </w:p>
        </w:tc>
        <w:tc>
          <w:tcPr>
            <w:tcW w:w="500" w:type="dxa"/>
            <w:vAlign w:val="bottom"/>
          </w:tcPr>
          <w:p>
            <w:pPr>
              <w:jc w:val="center"/>
              <w:spacing w:after="0"/>
              <w:rPr>
                <w:sz w:val="20"/>
                <w:szCs w:val="20"/>
                <w:color w:val="auto"/>
              </w:rPr>
            </w:pPr>
            <w:r>
              <w:rPr>
                <w:rFonts w:ascii="Arial" w:cs="Arial" w:eastAsia="Arial" w:hAnsi="Arial"/>
                <w:sz w:val="12"/>
                <w:szCs w:val="12"/>
                <w:color w:val="7B7C80"/>
              </w:rPr>
              <w:t>37.38</w:t>
            </w:r>
          </w:p>
        </w:tc>
        <w:tc>
          <w:tcPr>
            <w:tcW w:w="700" w:type="dxa"/>
            <w:vAlign w:val="bottom"/>
          </w:tcPr>
          <w:p>
            <w:pPr>
              <w:ind w:left="100"/>
              <w:spacing w:after="0"/>
              <w:rPr>
                <w:sz w:val="20"/>
                <w:szCs w:val="20"/>
                <w:color w:val="auto"/>
              </w:rPr>
            </w:pPr>
            <w:r>
              <w:rPr>
                <w:rFonts w:ascii="Arial" w:cs="Arial" w:eastAsia="Arial" w:hAnsi="Arial"/>
                <w:sz w:val="12"/>
                <w:szCs w:val="12"/>
                <w:color w:val="7B7C80"/>
                <w:w w:val="96"/>
              </w:rPr>
              <w:t>02/26/2026</w:t>
            </w: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jc w:val="right"/>
              <w:ind w:right="19"/>
              <w:spacing w:after="0"/>
              <w:rPr>
                <w:sz w:val="20"/>
                <w:szCs w:val="20"/>
                <w:color w:val="auto"/>
              </w:rPr>
            </w:pPr>
            <w:r>
              <w:rPr>
                <w:rFonts w:ascii="Arial" w:cs="Arial" w:eastAsia="Arial" w:hAnsi="Arial"/>
                <w:sz w:val="12"/>
                <w:szCs w:val="12"/>
                <w:color w:val="7B7C80"/>
              </w:rPr>
              <w:t>28,953</w:t>
            </w:r>
          </w:p>
        </w:tc>
        <w:tc>
          <w:tcPr>
            <w:tcW w:w="480" w:type="dxa"/>
            <w:vAlign w:val="bottom"/>
          </w:tcPr>
          <w:p>
            <w:pPr>
              <w:jc w:val="right"/>
              <w:spacing w:after="0"/>
              <w:rPr>
                <w:sz w:val="20"/>
                <w:szCs w:val="20"/>
                <w:color w:val="auto"/>
              </w:rPr>
            </w:pPr>
            <w:r>
              <w:rPr>
                <w:rFonts w:ascii="Arial" w:cs="Arial" w:eastAsia="Arial" w:hAnsi="Arial"/>
                <w:sz w:val="12"/>
                <w:szCs w:val="12"/>
                <w:color w:val="7B7C80"/>
              </w:rPr>
              <w:t>$</w:t>
            </w:r>
          </w:p>
        </w:tc>
        <w:tc>
          <w:tcPr>
            <w:tcW w:w="660" w:type="dxa"/>
            <w:vAlign w:val="bottom"/>
          </w:tcPr>
          <w:p>
            <w:pPr>
              <w:jc w:val="right"/>
              <w:spacing w:after="0"/>
              <w:rPr>
                <w:sz w:val="20"/>
                <w:szCs w:val="20"/>
                <w:color w:val="auto"/>
              </w:rPr>
            </w:pPr>
            <w:r>
              <w:rPr>
                <w:rFonts w:ascii="Arial" w:cs="Arial" w:eastAsia="Arial" w:hAnsi="Arial"/>
                <w:sz w:val="12"/>
                <w:szCs w:val="12"/>
                <w:color w:val="7B7C80"/>
              </w:rPr>
              <w:t>2,042,924</w:t>
            </w:r>
          </w:p>
        </w:tc>
        <w:tc>
          <w:tcPr>
            <w:tcW w:w="0" w:type="dxa"/>
            <w:vAlign w:val="bottom"/>
          </w:tcPr>
          <w:p>
            <w:pPr>
              <w:spacing w:after="0"/>
              <w:rPr>
                <w:sz w:val="1"/>
                <w:szCs w:val="1"/>
                <w:color w:val="auto"/>
              </w:rPr>
            </w:pPr>
          </w:p>
        </w:tc>
      </w:tr>
      <w:tr>
        <w:trPr>
          <w:trHeight w:val="137"/>
        </w:trPr>
        <w:tc>
          <w:tcPr>
            <w:tcW w:w="1640" w:type="dxa"/>
            <w:vAlign w:val="bottom"/>
            <w:tcBorders>
              <w:bottom w:val="single" w:sz="8" w:color="7B7C80"/>
            </w:tcBorders>
          </w:tcPr>
          <w:p>
            <w:pPr>
              <w:spacing w:after="0"/>
              <w:rPr>
                <w:sz w:val="11"/>
                <w:szCs w:val="11"/>
                <w:color w:val="auto"/>
              </w:rPr>
            </w:pPr>
          </w:p>
        </w:tc>
        <w:tc>
          <w:tcPr>
            <w:tcW w:w="1000" w:type="dxa"/>
            <w:vAlign w:val="bottom"/>
            <w:tcBorders>
              <w:bottom w:val="single" w:sz="8" w:color="7B7C80"/>
            </w:tcBorders>
            <w:shd w:val="clear" w:color="auto" w:fill="E7E6E7"/>
          </w:tcPr>
          <w:p>
            <w:pPr>
              <w:jc w:val="right"/>
              <w:ind w:right="39"/>
              <w:spacing w:after="0"/>
              <w:rPr>
                <w:sz w:val="20"/>
                <w:szCs w:val="20"/>
                <w:color w:val="auto"/>
              </w:rPr>
            </w:pPr>
            <w:r>
              <w:rPr>
                <w:rFonts w:ascii="Arial" w:cs="Arial" w:eastAsia="Arial" w:hAnsi="Arial"/>
                <w:sz w:val="12"/>
                <w:szCs w:val="12"/>
                <w:color w:val="7B7C80"/>
              </w:rPr>
              <w:t>0</w:t>
            </w:r>
          </w:p>
        </w:tc>
        <w:tc>
          <w:tcPr>
            <w:tcW w:w="1020" w:type="dxa"/>
            <w:vAlign w:val="bottom"/>
            <w:tcBorders>
              <w:bottom w:val="single" w:sz="8" w:color="7B7C80"/>
            </w:tcBorders>
            <w:shd w:val="clear" w:color="auto" w:fill="E7E6E7"/>
          </w:tcPr>
          <w:p>
            <w:pPr>
              <w:jc w:val="right"/>
              <w:ind w:right="39"/>
              <w:spacing w:after="0"/>
              <w:rPr>
                <w:sz w:val="20"/>
                <w:szCs w:val="20"/>
                <w:color w:val="auto"/>
              </w:rPr>
            </w:pPr>
            <w:r>
              <w:rPr>
                <w:rFonts w:ascii="Arial" w:cs="Arial" w:eastAsia="Arial" w:hAnsi="Arial"/>
                <w:sz w:val="12"/>
                <w:szCs w:val="12"/>
                <w:color w:val="7B7C80"/>
              </w:rPr>
              <w:t>77,670</w:t>
            </w:r>
          </w:p>
        </w:tc>
        <w:tc>
          <w:tcPr>
            <w:tcW w:w="1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00" w:type="dxa"/>
            <w:vAlign w:val="bottom"/>
            <w:tcBorders>
              <w:bottom w:val="single" w:sz="8" w:color="7B7C80"/>
            </w:tcBorders>
            <w:shd w:val="clear" w:color="auto" w:fill="E7E6E7"/>
          </w:tcPr>
          <w:p>
            <w:pPr>
              <w:jc w:val="center"/>
              <w:spacing w:after="0"/>
              <w:rPr>
                <w:sz w:val="20"/>
                <w:szCs w:val="20"/>
                <w:color w:val="auto"/>
              </w:rPr>
            </w:pPr>
            <w:r>
              <w:rPr>
                <w:rFonts w:ascii="Arial" w:cs="Arial" w:eastAsia="Arial" w:hAnsi="Arial"/>
                <w:sz w:val="12"/>
                <w:szCs w:val="12"/>
                <w:color w:val="7B7C80"/>
              </w:rPr>
              <w:t>62.78</w:t>
            </w:r>
          </w:p>
        </w:tc>
        <w:tc>
          <w:tcPr>
            <w:tcW w:w="700" w:type="dxa"/>
            <w:vAlign w:val="bottom"/>
            <w:tcBorders>
              <w:bottom w:val="single" w:sz="8" w:color="7B7C80"/>
            </w:tcBorders>
            <w:shd w:val="clear" w:color="auto" w:fill="E7E6E7"/>
          </w:tcPr>
          <w:p>
            <w:pPr>
              <w:ind w:left="100"/>
              <w:spacing w:after="0"/>
              <w:rPr>
                <w:sz w:val="20"/>
                <w:szCs w:val="20"/>
                <w:color w:val="auto"/>
              </w:rPr>
            </w:pPr>
            <w:r>
              <w:rPr>
                <w:rFonts w:ascii="Arial" w:cs="Arial" w:eastAsia="Arial" w:hAnsi="Arial"/>
                <w:sz w:val="12"/>
                <w:szCs w:val="12"/>
                <w:color w:val="7B7C80"/>
                <w:w w:val="96"/>
              </w:rPr>
              <w:t>02/27/2027</w:t>
            </w:r>
          </w:p>
        </w:tc>
        <w:tc>
          <w:tcPr>
            <w:tcW w:w="200" w:type="dxa"/>
            <w:vAlign w:val="bottom"/>
            <w:tcBorders>
              <w:bottom w:val="single" w:sz="8" w:color="7B7C80"/>
            </w:tcBorders>
            <w:shd w:val="clear" w:color="auto" w:fill="E7E6E7"/>
          </w:tcPr>
          <w:p>
            <w:pPr>
              <w:spacing w:after="0"/>
              <w:rPr>
                <w:sz w:val="11"/>
                <w:szCs w:val="11"/>
                <w:color w:val="auto"/>
              </w:rPr>
            </w:pPr>
          </w:p>
        </w:tc>
        <w:tc>
          <w:tcPr>
            <w:tcW w:w="700" w:type="dxa"/>
            <w:vAlign w:val="bottom"/>
            <w:tcBorders>
              <w:bottom w:val="single" w:sz="8" w:color="7B7C80"/>
            </w:tcBorders>
            <w:shd w:val="clear" w:color="auto" w:fill="E7E6E7"/>
          </w:tcPr>
          <w:p>
            <w:pPr>
              <w:spacing w:after="0"/>
              <w:rPr>
                <w:sz w:val="11"/>
                <w:szCs w:val="11"/>
                <w:color w:val="auto"/>
              </w:rPr>
            </w:pPr>
          </w:p>
        </w:tc>
        <w:tc>
          <w:tcPr>
            <w:tcW w:w="760" w:type="dxa"/>
            <w:vAlign w:val="bottom"/>
            <w:tcBorders>
              <w:bottom w:val="single" w:sz="8" w:color="7B7C80"/>
            </w:tcBorders>
            <w:shd w:val="clear" w:color="auto" w:fill="E7E6E7"/>
          </w:tcPr>
          <w:p>
            <w:pPr>
              <w:spacing w:after="0"/>
              <w:rPr>
                <w:sz w:val="11"/>
                <w:szCs w:val="11"/>
                <w:color w:val="auto"/>
              </w:rPr>
            </w:pPr>
          </w:p>
        </w:tc>
        <w:tc>
          <w:tcPr>
            <w:tcW w:w="1240" w:type="dxa"/>
            <w:vAlign w:val="bottom"/>
            <w:tcBorders>
              <w:bottom w:val="single" w:sz="8" w:color="7B7C80"/>
            </w:tcBorders>
            <w:shd w:val="clear" w:color="auto" w:fill="E7E6E7"/>
          </w:tcPr>
          <w:p>
            <w:pPr>
              <w:jc w:val="right"/>
              <w:ind w:right="19"/>
              <w:spacing w:after="0"/>
              <w:rPr>
                <w:sz w:val="20"/>
                <w:szCs w:val="20"/>
                <w:color w:val="auto"/>
              </w:rPr>
            </w:pPr>
            <w:r>
              <w:rPr>
                <w:rFonts w:ascii="Arial" w:cs="Arial" w:eastAsia="Arial" w:hAnsi="Arial"/>
                <w:sz w:val="12"/>
                <w:szCs w:val="12"/>
                <w:color w:val="7B7C80"/>
              </w:rPr>
              <w:t>18,941</w:t>
            </w:r>
          </w:p>
        </w:tc>
        <w:tc>
          <w:tcPr>
            <w:tcW w:w="4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1,336,477</w:t>
            </w:r>
          </w:p>
        </w:tc>
        <w:tc>
          <w:tcPr>
            <w:tcW w:w="0" w:type="dxa"/>
            <w:vAlign w:val="bottom"/>
          </w:tcPr>
          <w:p>
            <w:pPr>
              <w:spacing w:after="0"/>
              <w:rPr>
                <w:sz w:val="1"/>
                <w:szCs w:val="1"/>
                <w:color w:val="auto"/>
              </w:rPr>
            </w:pPr>
          </w:p>
        </w:tc>
      </w:tr>
      <w:tr>
        <w:trPr>
          <w:trHeight w:val="129"/>
        </w:trPr>
        <w:tc>
          <w:tcPr>
            <w:tcW w:w="1640" w:type="dxa"/>
            <w:vAlign w:val="bottom"/>
          </w:tcPr>
          <w:p>
            <w:pPr>
              <w:spacing w:after="0" w:line="129" w:lineRule="exact"/>
              <w:rPr>
                <w:sz w:val="20"/>
                <w:szCs w:val="20"/>
                <w:color w:val="auto"/>
              </w:rPr>
            </w:pPr>
            <w:r>
              <w:rPr>
                <w:rFonts w:ascii="Arial" w:cs="Arial" w:eastAsia="Arial" w:hAnsi="Arial"/>
                <w:sz w:val="12"/>
                <w:szCs w:val="12"/>
                <w:color w:val="7B7C80"/>
              </w:rPr>
              <w:t>Valdés</w:t>
            </w:r>
          </w:p>
        </w:tc>
        <w:tc>
          <w:tcPr>
            <w:tcW w:w="1000" w:type="dxa"/>
            <w:vAlign w:val="bottom"/>
          </w:tcPr>
          <w:p>
            <w:pPr>
              <w:jc w:val="right"/>
              <w:ind w:right="39"/>
              <w:spacing w:after="0" w:line="129" w:lineRule="exact"/>
              <w:rPr>
                <w:sz w:val="20"/>
                <w:szCs w:val="20"/>
                <w:color w:val="auto"/>
              </w:rPr>
            </w:pPr>
            <w:r>
              <w:rPr>
                <w:rFonts w:ascii="Arial" w:cs="Arial" w:eastAsia="Arial" w:hAnsi="Arial"/>
                <w:sz w:val="12"/>
                <w:szCs w:val="12"/>
                <w:color w:val="7B7C80"/>
              </w:rPr>
              <w:t>0</w:t>
            </w:r>
          </w:p>
        </w:tc>
        <w:tc>
          <w:tcPr>
            <w:tcW w:w="1020" w:type="dxa"/>
            <w:vAlign w:val="bottom"/>
          </w:tcPr>
          <w:p>
            <w:pPr>
              <w:jc w:val="right"/>
              <w:ind w:right="39"/>
              <w:spacing w:after="0" w:line="129" w:lineRule="exact"/>
              <w:rPr>
                <w:sz w:val="20"/>
                <w:szCs w:val="20"/>
                <w:color w:val="auto"/>
              </w:rPr>
            </w:pPr>
            <w:r>
              <w:rPr>
                <w:rFonts w:ascii="Arial" w:cs="Arial" w:eastAsia="Arial" w:hAnsi="Arial"/>
                <w:sz w:val="12"/>
                <w:szCs w:val="12"/>
                <w:color w:val="7B7C80"/>
              </w:rPr>
              <w:t>11,829</w:t>
            </w:r>
          </w:p>
        </w:tc>
        <w:tc>
          <w:tcPr>
            <w:tcW w:w="18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500" w:type="dxa"/>
            <w:vAlign w:val="bottom"/>
          </w:tcPr>
          <w:p>
            <w:pPr>
              <w:jc w:val="center"/>
              <w:spacing w:after="0" w:line="129" w:lineRule="exact"/>
              <w:rPr>
                <w:sz w:val="20"/>
                <w:szCs w:val="20"/>
                <w:color w:val="auto"/>
              </w:rPr>
            </w:pPr>
            <w:r>
              <w:rPr>
                <w:rFonts w:ascii="Arial" w:cs="Arial" w:eastAsia="Arial" w:hAnsi="Arial"/>
                <w:sz w:val="12"/>
                <w:szCs w:val="12"/>
                <w:color w:val="7B7C80"/>
              </w:rPr>
              <w:t>51.33</w:t>
            </w:r>
          </w:p>
        </w:tc>
        <w:tc>
          <w:tcPr>
            <w:tcW w:w="700" w:type="dxa"/>
            <w:vAlign w:val="bottom"/>
          </w:tcPr>
          <w:p>
            <w:pPr>
              <w:ind w:left="100"/>
              <w:spacing w:after="0" w:line="129" w:lineRule="exact"/>
              <w:rPr>
                <w:sz w:val="20"/>
                <w:szCs w:val="20"/>
                <w:color w:val="auto"/>
              </w:rPr>
            </w:pPr>
            <w:r>
              <w:rPr>
                <w:rFonts w:ascii="Arial" w:cs="Arial" w:eastAsia="Arial" w:hAnsi="Arial"/>
                <w:sz w:val="12"/>
                <w:szCs w:val="12"/>
                <w:color w:val="7B7C80"/>
                <w:w w:val="96"/>
              </w:rPr>
              <w:t>02/23/2025</w:t>
            </w: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40" w:type="dxa"/>
            <w:vAlign w:val="bottom"/>
          </w:tcPr>
          <w:p>
            <w:pPr>
              <w:jc w:val="right"/>
              <w:ind w:right="19"/>
              <w:spacing w:after="0" w:line="129" w:lineRule="exact"/>
              <w:rPr>
                <w:sz w:val="20"/>
                <w:szCs w:val="20"/>
                <w:color w:val="auto"/>
              </w:rPr>
            </w:pPr>
            <w:r>
              <w:rPr>
                <w:rFonts w:ascii="Arial" w:cs="Arial" w:eastAsia="Arial" w:hAnsi="Arial"/>
                <w:sz w:val="12"/>
                <w:szCs w:val="12"/>
                <w:color w:val="7B7C80"/>
              </w:rPr>
              <w:t>15,509</w:t>
            </w:r>
          </w:p>
        </w:tc>
        <w:tc>
          <w:tcPr>
            <w:tcW w:w="480" w:type="dxa"/>
            <w:vAlign w:val="bottom"/>
          </w:tcPr>
          <w:p>
            <w:pPr>
              <w:jc w:val="right"/>
              <w:spacing w:after="0" w:line="129" w:lineRule="exact"/>
              <w:rPr>
                <w:sz w:val="20"/>
                <w:szCs w:val="20"/>
                <w:color w:val="auto"/>
              </w:rPr>
            </w:pPr>
            <w:r>
              <w:rPr>
                <w:rFonts w:ascii="Arial" w:cs="Arial" w:eastAsia="Arial" w:hAnsi="Arial"/>
                <w:sz w:val="12"/>
                <w:szCs w:val="12"/>
                <w:color w:val="7B7C80"/>
              </w:rPr>
              <w:t>$</w:t>
            </w:r>
          </w:p>
        </w:tc>
        <w:tc>
          <w:tcPr>
            <w:tcW w:w="660" w:type="dxa"/>
            <w:vAlign w:val="bottom"/>
          </w:tcPr>
          <w:p>
            <w:pPr>
              <w:jc w:val="right"/>
              <w:spacing w:after="0" w:line="129" w:lineRule="exact"/>
              <w:rPr>
                <w:sz w:val="20"/>
                <w:szCs w:val="20"/>
                <w:color w:val="auto"/>
              </w:rPr>
            </w:pPr>
            <w:r>
              <w:rPr>
                <w:rFonts w:ascii="Arial" w:cs="Arial" w:eastAsia="Arial" w:hAnsi="Arial"/>
                <w:sz w:val="12"/>
                <w:szCs w:val="12"/>
                <w:color w:val="7B7C80"/>
              </w:rPr>
              <w:t>1,131,230</w:t>
            </w:r>
          </w:p>
        </w:tc>
        <w:tc>
          <w:tcPr>
            <w:tcW w:w="0" w:type="dxa"/>
            <w:vAlign w:val="bottom"/>
          </w:tcPr>
          <w:p>
            <w:pPr>
              <w:spacing w:after="0"/>
              <w:rPr>
                <w:sz w:val="1"/>
                <w:szCs w:val="1"/>
                <w:color w:val="auto"/>
              </w:rPr>
            </w:pPr>
          </w:p>
        </w:tc>
      </w:tr>
      <w:tr>
        <w:trPr>
          <w:trHeight w:val="137"/>
        </w:trPr>
        <w:tc>
          <w:tcPr>
            <w:tcW w:w="1640" w:type="dxa"/>
            <w:vAlign w:val="bottom"/>
          </w:tcPr>
          <w:p>
            <w:pPr>
              <w:spacing w:after="0"/>
              <w:rPr>
                <w:sz w:val="11"/>
                <w:szCs w:val="11"/>
                <w:color w:val="auto"/>
              </w:rPr>
            </w:pPr>
          </w:p>
        </w:tc>
        <w:tc>
          <w:tcPr>
            <w:tcW w:w="100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0</w:t>
            </w:r>
          </w:p>
        </w:tc>
        <w:tc>
          <w:tcPr>
            <w:tcW w:w="1020" w:type="dxa"/>
            <w:vAlign w:val="bottom"/>
            <w:shd w:val="clear" w:color="auto" w:fill="E7E6E7"/>
          </w:tcPr>
          <w:p>
            <w:pPr>
              <w:jc w:val="right"/>
              <w:ind w:right="39"/>
              <w:spacing w:after="0"/>
              <w:rPr>
                <w:sz w:val="20"/>
                <w:szCs w:val="20"/>
                <w:color w:val="auto"/>
              </w:rPr>
            </w:pPr>
            <w:r>
              <w:rPr>
                <w:rFonts w:ascii="Arial" w:cs="Arial" w:eastAsia="Arial" w:hAnsi="Arial"/>
                <w:sz w:val="12"/>
                <w:szCs w:val="12"/>
                <w:color w:val="7B7C80"/>
              </w:rPr>
              <w:t>55,323</w:t>
            </w:r>
          </w:p>
        </w:tc>
        <w:tc>
          <w:tcPr>
            <w:tcW w:w="1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00" w:type="dxa"/>
            <w:vAlign w:val="bottom"/>
            <w:shd w:val="clear" w:color="auto" w:fill="E7E6E7"/>
          </w:tcPr>
          <w:p>
            <w:pPr>
              <w:jc w:val="center"/>
              <w:spacing w:after="0"/>
              <w:rPr>
                <w:sz w:val="20"/>
                <w:szCs w:val="20"/>
                <w:color w:val="auto"/>
              </w:rPr>
            </w:pPr>
            <w:r>
              <w:rPr>
                <w:rFonts w:ascii="Arial" w:cs="Arial" w:eastAsia="Arial" w:hAnsi="Arial"/>
                <w:sz w:val="12"/>
                <w:szCs w:val="12"/>
                <w:color w:val="7B7C80"/>
              </w:rPr>
              <w:t>37.38</w:t>
            </w:r>
          </w:p>
        </w:tc>
        <w:tc>
          <w:tcPr>
            <w:tcW w:w="700" w:type="dxa"/>
            <w:vAlign w:val="bottom"/>
            <w:shd w:val="clear" w:color="auto" w:fill="E7E6E7"/>
          </w:tcPr>
          <w:p>
            <w:pPr>
              <w:ind w:left="100"/>
              <w:spacing w:after="0"/>
              <w:rPr>
                <w:sz w:val="20"/>
                <w:szCs w:val="20"/>
                <w:color w:val="auto"/>
              </w:rPr>
            </w:pPr>
            <w:r>
              <w:rPr>
                <w:rFonts w:ascii="Arial" w:cs="Arial" w:eastAsia="Arial" w:hAnsi="Arial"/>
                <w:sz w:val="12"/>
                <w:szCs w:val="12"/>
                <w:color w:val="7B7C80"/>
                <w:w w:val="96"/>
              </w:rPr>
              <w:t>02/26/2026</w:t>
            </w:r>
          </w:p>
        </w:tc>
        <w:tc>
          <w:tcPr>
            <w:tcW w:w="200" w:type="dxa"/>
            <w:vAlign w:val="bottom"/>
            <w:shd w:val="clear" w:color="auto" w:fill="E7E6E7"/>
          </w:tcPr>
          <w:p>
            <w:pPr>
              <w:spacing w:after="0"/>
              <w:rPr>
                <w:sz w:val="11"/>
                <w:szCs w:val="11"/>
                <w:color w:val="auto"/>
              </w:rPr>
            </w:pPr>
          </w:p>
        </w:tc>
        <w:tc>
          <w:tcPr>
            <w:tcW w:w="700" w:type="dxa"/>
            <w:vAlign w:val="bottom"/>
            <w:shd w:val="clear" w:color="auto" w:fill="E7E6E7"/>
          </w:tcPr>
          <w:p>
            <w:pPr>
              <w:spacing w:after="0"/>
              <w:rPr>
                <w:sz w:val="11"/>
                <w:szCs w:val="11"/>
                <w:color w:val="auto"/>
              </w:rPr>
            </w:pPr>
          </w:p>
        </w:tc>
        <w:tc>
          <w:tcPr>
            <w:tcW w:w="760" w:type="dxa"/>
            <w:vAlign w:val="bottom"/>
            <w:shd w:val="clear" w:color="auto" w:fill="E7E6E7"/>
          </w:tcPr>
          <w:p>
            <w:pPr>
              <w:spacing w:after="0"/>
              <w:rPr>
                <w:sz w:val="11"/>
                <w:szCs w:val="11"/>
                <w:color w:val="auto"/>
              </w:rPr>
            </w:pPr>
          </w:p>
        </w:tc>
        <w:tc>
          <w:tcPr>
            <w:tcW w:w="1240" w:type="dxa"/>
            <w:vAlign w:val="bottom"/>
            <w:shd w:val="clear" w:color="auto" w:fill="E7E6E7"/>
          </w:tcPr>
          <w:p>
            <w:pPr>
              <w:jc w:val="right"/>
              <w:ind w:right="19"/>
              <w:spacing w:after="0"/>
              <w:rPr>
                <w:sz w:val="20"/>
                <w:szCs w:val="20"/>
                <w:color w:val="auto"/>
              </w:rPr>
            </w:pPr>
            <w:r>
              <w:rPr>
                <w:rFonts w:ascii="Arial" w:cs="Arial" w:eastAsia="Arial" w:hAnsi="Arial"/>
                <w:sz w:val="12"/>
                <w:szCs w:val="12"/>
                <w:color w:val="7B7C80"/>
              </w:rPr>
              <w:t>19,780</w:t>
            </w:r>
          </w:p>
        </w:tc>
        <w:tc>
          <w:tcPr>
            <w:tcW w:w="4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6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1,395,677</w:t>
            </w:r>
          </w:p>
        </w:tc>
        <w:tc>
          <w:tcPr>
            <w:tcW w:w="0" w:type="dxa"/>
            <w:vAlign w:val="bottom"/>
          </w:tcPr>
          <w:p>
            <w:pPr>
              <w:spacing w:after="0"/>
              <w:rPr>
                <w:sz w:val="1"/>
                <w:szCs w:val="1"/>
                <w:color w:val="auto"/>
              </w:rPr>
            </w:pPr>
          </w:p>
        </w:tc>
      </w:tr>
      <w:tr>
        <w:trPr>
          <w:trHeight w:val="140"/>
        </w:trPr>
        <w:tc>
          <w:tcPr>
            <w:tcW w:w="1640" w:type="dxa"/>
            <w:vAlign w:val="bottom"/>
            <w:tcBorders>
              <w:bottom w:val="single" w:sz="8" w:color="009CCC"/>
            </w:tcBorders>
          </w:tcPr>
          <w:p>
            <w:pPr>
              <w:spacing w:after="0"/>
              <w:rPr>
                <w:sz w:val="12"/>
                <w:szCs w:val="12"/>
                <w:color w:val="auto"/>
              </w:rPr>
            </w:pPr>
          </w:p>
        </w:tc>
        <w:tc>
          <w:tcPr>
            <w:tcW w:w="1000" w:type="dxa"/>
            <w:vAlign w:val="bottom"/>
            <w:tcBorders>
              <w:bottom w:val="single" w:sz="8" w:color="009CCC"/>
            </w:tcBorders>
          </w:tcPr>
          <w:p>
            <w:pPr>
              <w:jc w:val="right"/>
              <w:ind w:right="39"/>
              <w:spacing w:after="0"/>
              <w:rPr>
                <w:sz w:val="20"/>
                <w:szCs w:val="20"/>
                <w:color w:val="auto"/>
              </w:rPr>
            </w:pPr>
            <w:r>
              <w:rPr>
                <w:rFonts w:ascii="Arial" w:cs="Arial" w:eastAsia="Arial" w:hAnsi="Arial"/>
                <w:sz w:val="12"/>
                <w:szCs w:val="12"/>
                <w:color w:val="7B7C80"/>
              </w:rPr>
              <w:t>0</w:t>
            </w:r>
          </w:p>
        </w:tc>
        <w:tc>
          <w:tcPr>
            <w:tcW w:w="1020" w:type="dxa"/>
            <w:vAlign w:val="bottom"/>
            <w:tcBorders>
              <w:bottom w:val="single" w:sz="8" w:color="009CCC"/>
            </w:tcBorders>
          </w:tcPr>
          <w:p>
            <w:pPr>
              <w:jc w:val="right"/>
              <w:ind w:right="39"/>
              <w:spacing w:after="0"/>
              <w:rPr>
                <w:sz w:val="20"/>
                <w:szCs w:val="20"/>
                <w:color w:val="auto"/>
              </w:rPr>
            </w:pPr>
            <w:r>
              <w:rPr>
                <w:rFonts w:ascii="Arial" w:cs="Arial" w:eastAsia="Arial" w:hAnsi="Arial"/>
                <w:sz w:val="12"/>
                <w:szCs w:val="12"/>
                <w:color w:val="7B7C80"/>
              </w:rPr>
              <w:t>49,275</w:t>
            </w:r>
          </w:p>
        </w:tc>
        <w:tc>
          <w:tcPr>
            <w:tcW w:w="18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w:t>
            </w:r>
          </w:p>
        </w:tc>
        <w:tc>
          <w:tcPr>
            <w:tcW w:w="500" w:type="dxa"/>
            <w:vAlign w:val="bottom"/>
            <w:tcBorders>
              <w:bottom w:val="single" w:sz="8" w:color="009CCC"/>
            </w:tcBorders>
          </w:tcPr>
          <w:p>
            <w:pPr>
              <w:jc w:val="center"/>
              <w:spacing w:after="0"/>
              <w:rPr>
                <w:sz w:val="20"/>
                <w:szCs w:val="20"/>
                <w:color w:val="auto"/>
              </w:rPr>
            </w:pPr>
            <w:r>
              <w:rPr>
                <w:rFonts w:ascii="Arial" w:cs="Arial" w:eastAsia="Arial" w:hAnsi="Arial"/>
                <w:sz w:val="12"/>
                <w:szCs w:val="12"/>
                <w:color w:val="7B7C80"/>
              </w:rPr>
              <w:t>62.78</w:t>
            </w:r>
          </w:p>
        </w:tc>
        <w:tc>
          <w:tcPr>
            <w:tcW w:w="700" w:type="dxa"/>
            <w:vAlign w:val="bottom"/>
            <w:tcBorders>
              <w:bottom w:val="single" w:sz="8" w:color="009CCC"/>
            </w:tcBorders>
          </w:tcPr>
          <w:p>
            <w:pPr>
              <w:ind w:left="100"/>
              <w:spacing w:after="0"/>
              <w:rPr>
                <w:sz w:val="20"/>
                <w:szCs w:val="20"/>
                <w:color w:val="auto"/>
              </w:rPr>
            </w:pPr>
            <w:r>
              <w:rPr>
                <w:rFonts w:ascii="Arial" w:cs="Arial" w:eastAsia="Arial" w:hAnsi="Arial"/>
                <w:sz w:val="12"/>
                <w:szCs w:val="12"/>
                <w:color w:val="7B7C80"/>
                <w:w w:val="96"/>
              </w:rPr>
              <w:t>02/27/2027</w:t>
            </w:r>
          </w:p>
        </w:tc>
        <w:tc>
          <w:tcPr>
            <w:tcW w:w="200" w:type="dxa"/>
            <w:vAlign w:val="bottom"/>
            <w:tcBorders>
              <w:bottom w:val="single" w:sz="8" w:color="009CCC"/>
            </w:tcBorders>
          </w:tcPr>
          <w:p>
            <w:pPr>
              <w:spacing w:after="0"/>
              <w:rPr>
                <w:sz w:val="12"/>
                <w:szCs w:val="12"/>
                <w:color w:val="auto"/>
              </w:rPr>
            </w:pPr>
          </w:p>
        </w:tc>
        <w:tc>
          <w:tcPr>
            <w:tcW w:w="700" w:type="dxa"/>
            <w:vAlign w:val="bottom"/>
            <w:tcBorders>
              <w:bottom w:val="single" w:sz="8" w:color="009CCC"/>
            </w:tcBorders>
          </w:tcPr>
          <w:p>
            <w:pPr>
              <w:spacing w:after="0"/>
              <w:rPr>
                <w:sz w:val="12"/>
                <w:szCs w:val="12"/>
                <w:color w:val="auto"/>
              </w:rPr>
            </w:pPr>
          </w:p>
        </w:tc>
        <w:tc>
          <w:tcPr>
            <w:tcW w:w="760" w:type="dxa"/>
            <w:vAlign w:val="bottom"/>
            <w:tcBorders>
              <w:bottom w:val="single" w:sz="8" w:color="009CCC"/>
            </w:tcBorders>
          </w:tcPr>
          <w:p>
            <w:pPr>
              <w:spacing w:after="0"/>
              <w:rPr>
                <w:sz w:val="12"/>
                <w:szCs w:val="12"/>
                <w:color w:val="auto"/>
              </w:rPr>
            </w:pPr>
          </w:p>
        </w:tc>
        <w:tc>
          <w:tcPr>
            <w:tcW w:w="1240" w:type="dxa"/>
            <w:vAlign w:val="bottom"/>
            <w:tcBorders>
              <w:bottom w:val="single" w:sz="8" w:color="009CCC"/>
            </w:tcBorders>
          </w:tcPr>
          <w:p>
            <w:pPr>
              <w:jc w:val="right"/>
              <w:ind w:right="19"/>
              <w:spacing w:after="0"/>
              <w:rPr>
                <w:sz w:val="20"/>
                <w:szCs w:val="20"/>
                <w:color w:val="auto"/>
              </w:rPr>
            </w:pPr>
            <w:r>
              <w:rPr>
                <w:rFonts w:ascii="Arial" w:cs="Arial" w:eastAsia="Arial" w:hAnsi="Arial"/>
                <w:sz w:val="12"/>
                <w:szCs w:val="12"/>
                <w:color w:val="7B7C80"/>
              </w:rPr>
              <w:t>12,016</w:t>
            </w:r>
          </w:p>
        </w:tc>
        <w:tc>
          <w:tcPr>
            <w:tcW w:w="48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w:t>
            </w:r>
          </w:p>
        </w:tc>
        <w:tc>
          <w:tcPr>
            <w:tcW w:w="66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847,849</w:t>
            </w:r>
          </w:p>
        </w:tc>
        <w:tc>
          <w:tcPr>
            <w:tcW w:w="0" w:type="dxa"/>
            <w:vAlign w:val="bottom"/>
          </w:tcPr>
          <w:p>
            <w:pPr>
              <w:spacing w:after="0"/>
              <w:rPr>
                <w:sz w:val="1"/>
                <w:szCs w:val="1"/>
                <w:color w:val="auto"/>
              </w:rPr>
            </w:pPr>
          </w:p>
        </w:tc>
      </w:tr>
    </w:tbl>
    <w:p>
      <w:pPr>
        <w:spacing w:after="0" w:line="187" w:lineRule="exact"/>
        <w:rPr>
          <w:sz w:val="20"/>
          <w:szCs w:val="20"/>
          <w:color w:val="auto"/>
        </w:rPr>
      </w:pPr>
    </w:p>
    <w:p>
      <w:pPr>
        <w:ind w:left="1600" w:right="20" w:hanging="464"/>
        <w:spacing w:after="0" w:line="253" w:lineRule="auto"/>
        <w:tabs>
          <w:tab w:leader="none" w:pos="1600" w:val="left"/>
        </w:tabs>
        <w:numPr>
          <w:ilvl w:val="0"/>
          <w:numId w:val="55"/>
        </w:numPr>
        <w:rPr>
          <w:rFonts w:ascii="Arial" w:cs="Arial" w:eastAsia="Arial" w:hAnsi="Arial"/>
          <w:sz w:val="12"/>
          <w:szCs w:val="12"/>
          <w:color w:val="7B7C80"/>
        </w:rPr>
      </w:pPr>
      <w:r>
        <w:rPr>
          <w:rFonts w:ascii="Arial" w:cs="Arial" w:eastAsia="Arial" w:hAnsi="Arial"/>
          <w:sz w:val="12"/>
          <w:szCs w:val="12"/>
          <w:color w:val="7B7C80"/>
        </w:rPr>
        <w:t>All options vest in three equal installments on the first, second and third anniversaries of the grant date. Each of these options is also subject to accelerated vesting in certain events, such as the Named Executive Officer's death, disability or retirement (awards granted prior to January 1, 2016), or upon the occurrence of a Change of Control.</w:t>
      </w:r>
    </w:p>
    <w:p>
      <w:pPr>
        <w:spacing w:after="0" w:line="121" w:lineRule="exact"/>
        <w:rPr>
          <w:rFonts w:ascii="Arial" w:cs="Arial" w:eastAsia="Arial" w:hAnsi="Arial"/>
          <w:sz w:val="12"/>
          <w:szCs w:val="12"/>
          <w:color w:val="7B7C80"/>
        </w:rPr>
      </w:pPr>
    </w:p>
    <w:p>
      <w:pPr>
        <w:ind w:left="1600" w:hanging="464"/>
        <w:spacing w:after="0"/>
        <w:tabs>
          <w:tab w:leader="none" w:pos="1600" w:val="left"/>
        </w:tabs>
        <w:numPr>
          <w:ilvl w:val="0"/>
          <w:numId w:val="55"/>
        </w:numPr>
        <w:rPr>
          <w:rFonts w:ascii="Arial" w:cs="Arial" w:eastAsia="Arial" w:hAnsi="Arial"/>
          <w:sz w:val="12"/>
          <w:szCs w:val="12"/>
          <w:color w:val="7B7C80"/>
        </w:rPr>
      </w:pPr>
      <w:r>
        <w:rPr>
          <w:rFonts w:ascii="Arial" w:cs="Arial" w:eastAsia="Arial" w:hAnsi="Arial"/>
          <w:sz w:val="12"/>
          <w:szCs w:val="12"/>
          <w:color w:val="7B7C80"/>
        </w:rPr>
        <w:t>All RSUs vest on the third anniversary of the grant date.</w:t>
      </w:r>
    </w:p>
    <w:p>
      <w:pPr>
        <w:spacing w:after="0" w:line="136" w:lineRule="exact"/>
        <w:rPr>
          <w:rFonts w:ascii="Arial" w:cs="Arial" w:eastAsia="Arial" w:hAnsi="Arial"/>
          <w:sz w:val="12"/>
          <w:szCs w:val="12"/>
          <w:color w:val="7B7C80"/>
        </w:rPr>
      </w:pPr>
    </w:p>
    <w:p>
      <w:pPr>
        <w:jc w:val="both"/>
        <w:ind w:left="1600" w:hanging="464"/>
        <w:spacing w:after="0" w:line="244" w:lineRule="auto"/>
        <w:tabs>
          <w:tab w:leader="none" w:pos="1600" w:val="left"/>
        </w:tabs>
        <w:numPr>
          <w:ilvl w:val="0"/>
          <w:numId w:val="55"/>
        </w:numPr>
        <w:rPr>
          <w:rFonts w:ascii="Arial" w:cs="Arial" w:eastAsia="Arial" w:hAnsi="Arial"/>
          <w:sz w:val="12"/>
          <w:szCs w:val="12"/>
          <w:color w:val="7B7C80"/>
        </w:rPr>
      </w:pPr>
      <w:r>
        <w:rPr>
          <w:rFonts w:ascii="Arial" w:cs="Arial" w:eastAsia="Arial" w:hAnsi="Arial"/>
          <w:sz w:val="12"/>
          <w:szCs w:val="12"/>
          <w:color w:val="7B7C80"/>
        </w:rPr>
        <w:t>The PSUs granted in 2015 vested on December 31, 2017 and are disclosed at 100% of target in accordance with ASC Topic 718. The PSUs granted in 2016 will vest on December 31, 2018 and will pay out based on performance against certain ROE and Book Value/Share performance goals, but only if either the ROE or operating income threshold performance measure is met as approved by the Human Resources Committee. PSUs granted in 2017 will vest on December 31, 2019, and will pay out based on performance against certain ROE and BV/Share performance goals, but only if either the ROE or operating income threshold is met as approved by the Human Resources Committee.</w:t>
      </w:r>
    </w:p>
    <w:p>
      <w:pPr>
        <w:spacing w:after="0" w:line="126" w:lineRule="exact"/>
        <w:rPr>
          <w:rFonts w:ascii="Arial" w:cs="Arial" w:eastAsia="Arial" w:hAnsi="Arial"/>
          <w:sz w:val="12"/>
          <w:szCs w:val="12"/>
          <w:color w:val="7B7C80"/>
        </w:rPr>
      </w:pPr>
    </w:p>
    <w:p>
      <w:pPr>
        <w:ind w:left="1600" w:hanging="464"/>
        <w:spacing w:after="0"/>
        <w:tabs>
          <w:tab w:leader="none" w:pos="1600" w:val="left"/>
        </w:tabs>
        <w:numPr>
          <w:ilvl w:val="0"/>
          <w:numId w:val="55"/>
        </w:numPr>
        <w:rPr>
          <w:rFonts w:ascii="Arial" w:cs="Arial" w:eastAsia="Arial" w:hAnsi="Arial"/>
          <w:sz w:val="12"/>
          <w:szCs w:val="12"/>
          <w:color w:val="7B7C80"/>
        </w:rPr>
      </w:pPr>
      <w:r>
        <w:rPr>
          <w:rFonts w:ascii="Arial" w:cs="Arial" w:eastAsia="Arial" w:hAnsi="Arial"/>
          <w:sz w:val="12"/>
          <w:szCs w:val="12"/>
          <w:color w:val="7B7C80"/>
        </w:rPr>
        <w:t>Assumes a stock price of $70.56 per share, the closing price of a share of Common Stock on the last trading day of the year, December 29, 2017, reported for the Nasdaq.</w:t>
      </w:r>
    </w:p>
    <w:p>
      <w:pPr>
        <w:spacing w:after="0" w:line="181" w:lineRule="exact"/>
        <w:rPr>
          <w:sz w:val="20"/>
          <w:szCs w:val="20"/>
          <w:color w:val="auto"/>
        </w:rPr>
      </w:pPr>
    </w:p>
    <w:p>
      <w:pPr>
        <w:spacing w:after="0" w:line="247" w:lineRule="auto"/>
        <w:rPr>
          <w:sz w:val="20"/>
          <w:szCs w:val="20"/>
          <w:color w:val="auto"/>
        </w:rPr>
      </w:pPr>
      <w:r>
        <w:rPr>
          <w:rFonts w:ascii="Arial" w:cs="Arial" w:eastAsia="Arial" w:hAnsi="Arial"/>
          <w:sz w:val="15"/>
          <w:szCs w:val="15"/>
          <w:color w:val="7B7C80"/>
        </w:rPr>
        <w:t>Named Executive Officers may defer PSUs that are earned and would otherwise be paid shortly after the performance period. Annual cash incentive awards, as shown in the NonEquity Incentive Compensation column of the Summary Compensation Table, may also be deferred into the Excess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3195320</wp:posOffset>
            </wp:positionH>
            <wp:positionV relativeFrom="paragraph">
              <wp:posOffset>107315</wp:posOffset>
            </wp:positionV>
            <wp:extent cx="960120" cy="2838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9"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44</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47" w:name="page48"/>
    <w:bookmarkEnd w:id="47"/>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Option Exercises and Stock Vesting</w:t>
      </w:r>
    </w:p>
    <w:p>
      <w:pPr>
        <w:spacing w:after="0" w:line="201" w:lineRule="exact"/>
        <w:rPr>
          <w:sz w:val="20"/>
          <w:szCs w:val="20"/>
          <w:color w:val="auto"/>
        </w:rPr>
      </w:pPr>
    </w:p>
    <w:p>
      <w:pPr>
        <w:spacing w:after="0" w:line="247" w:lineRule="auto"/>
        <w:rPr>
          <w:sz w:val="20"/>
          <w:szCs w:val="20"/>
          <w:color w:val="auto"/>
        </w:rPr>
      </w:pPr>
      <w:r>
        <w:rPr>
          <w:rFonts w:ascii="Arial" w:cs="Arial" w:eastAsia="Arial" w:hAnsi="Arial"/>
          <w:sz w:val="15"/>
          <w:szCs w:val="15"/>
          <w:color w:val="7B7C80"/>
        </w:rPr>
        <w:t>The following table provides information concerning the exercise of stock options and the vesting of RSUs and PSUs during calendar year 2017 for each Named Executive Officer on an aggregated basis.</w:t>
      </w:r>
    </w:p>
    <w:p>
      <w:pPr>
        <w:spacing w:after="0" w:line="149" w:lineRule="exact"/>
        <w:rPr>
          <w:sz w:val="20"/>
          <w:szCs w:val="20"/>
          <w:color w:val="auto"/>
        </w:rPr>
      </w:pPr>
    </w:p>
    <w:tbl>
      <w:tblPr>
        <w:tblLayout w:type="fixed"/>
        <w:tblInd w:w="1140" w:type="dxa"/>
        <w:tblCellMar>
          <w:top w:w="0" w:type="dxa"/>
          <w:left w:w="0" w:type="dxa"/>
          <w:bottom w:w="0" w:type="dxa"/>
          <w:right w:w="0" w:type="dxa"/>
        </w:tblCellMar>
      </w:tblPr>
      <w:tr>
        <w:trPr>
          <w:trHeight w:val="149"/>
        </w:trPr>
        <w:tc>
          <w:tcPr>
            <w:tcW w:w="4820" w:type="dxa"/>
            <w:vAlign w:val="bottom"/>
            <w:tcBorders>
              <w:top w:val="single" w:sz="8" w:color="009CCC"/>
            </w:tcBorders>
          </w:tcPr>
          <w:p>
            <w:pPr>
              <w:spacing w:after="0"/>
              <w:rPr>
                <w:sz w:val="12"/>
                <w:szCs w:val="12"/>
                <w:color w:val="auto"/>
              </w:rPr>
            </w:pPr>
          </w:p>
        </w:tc>
        <w:tc>
          <w:tcPr>
            <w:tcW w:w="1880" w:type="dxa"/>
            <w:vAlign w:val="bottom"/>
            <w:tcBorders>
              <w:top w:val="single" w:sz="8" w:color="009CCC"/>
              <w:bottom w:val="single" w:sz="8" w:color="7B7C80"/>
            </w:tcBorders>
            <w:gridSpan w:val="3"/>
          </w:tcPr>
          <w:p>
            <w:pPr>
              <w:jc w:val="right"/>
              <w:ind w:right="429"/>
              <w:spacing w:after="0"/>
              <w:rPr>
                <w:sz w:val="20"/>
                <w:szCs w:val="20"/>
                <w:color w:val="auto"/>
              </w:rPr>
            </w:pPr>
            <w:r>
              <w:rPr>
                <w:rFonts w:ascii="Arial" w:cs="Arial" w:eastAsia="Arial" w:hAnsi="Arial"/>
                <w:sz w:val="12"/>
                <w:szCs w:val="12"/>
                <w:b w:val="1"/>
                <w:bCs w:val="1"/>
                <w:color w:val="009CCC"/>
              </w:rPr>
              <w:t>Option Awards</w:t>
            </w:r>
          </w:p>
        </w:tc>
        <w:tc>
          <w:tcPr>
            <w:tcW w:w="180" w:type="dxa"/>
            <w:vAlign w:val="bottom"/>
            <w:tcBorders>
              <w:top w:val="single" w:sz="8" w:color="009CCC"/>
            </w:tcBorders>
          </w:tcPr>
          <w:p>
            <w:pPr>
              <w:spacing w:after="0"/>
              <w:rPr>
                <w:sz w:val="12"/>
                <w:szCs w:val="12"/>
                <w:color w:val="auto"/>
              </w:rPr>
            </w:pPr>
          </w:p>
        </w:tc>
        <w:tc>
          <w:tcPr>
            <w:tcW w:w="2140" w:type="dxa"/>
            <w:vAlign w:val="bottom"/>
            <w:tcBorders>
              <w:top w:val="single" w:sz="8" w:color="009CCC"/>
              <w:bottom w:val="single" w:sz="8" w:color="7B7C80"/>
            </w:tcBorders>
            <w:gridSpan w:val="3"/>
          </w:tcPr>
          <w:p>
            <w:pPr>
              <w:jc w:val="right"/>
              <w:ind w:right="611"/>
              <w:spacing w:after="0"/>
              <w:rPr>
                <w:sz w:val="20"/>
                <w:szCs w:val="20"/>
                <w:color w:val="auto"/>
              </w:rPr>
            </w:pPr>
            <w:r>
              <w:rPr>
                <w:rFonts w:ascii="Arial" w:cs="Arial" w:eastAsia="Arial" w:hAnsi="Arial"/>
                <w:sz w:val="12"/>
                <w:szCs w:val="12"/>
                <w:b w:val="1"/>
                <w:bCs w:val="1"/>
                <w:color w:val="009CCC"/>
              </w:rPr>
              <w:t>Stock Awards</w:t>
            </w:r>
          </w:p>
        </w:tc>
        <w:tc>
          <w:tcPr>
            <w:tcW w:w="0" w:type="dxa"/>
            <w:vAlign w:val="bottom"/>
          </w:tcPr>
          <w:p>
            <w:pPr>
              <w:spacing w:after="0"/>
              <w:rPr>
                <w:sz w:val="1"/>
                <w:szCs w:val="1"/>
                <w:color w:val="auto"/>
              </w:rPr>
            </w:pPr>
          </w:p>
        </w:tc>
      </w:tr>
      <w:tr>
        <w:trPr>
          <w:trHeight w:val="119"/>
        </w:trPr>
        <w:tc>
          <w:tcPr>
            <w:tcW w:w="4820" w:type="dxa"/>
            <w:vAlign w:val="bottom"/>
          </w:tcPr>
          <w:p>
            <w:pPr>
              <w:spacing w:after="0"/>
              <w:rPr>
                <w:sz w:val="10"/>
                <w:szCs w:val="10"/>
                <w:color w:val="auto"/>
              </w:rPr>
            </w:pPr>
          </w:p>
        </w:tc>
        <w:tc>
          <w:tcPr>
            <w:tcW w:w="1040" w:type="dxa"/>
            <w:vAlign w:val="bottom"/>
          </w:tcPr>
          <w:p>
            <w:pPr>
              <w:jc w:val="right"/>
              <w:ind w:right="32"/>
              <w:spacing w:after="0" w:line="119" w:lineRule="exact"/>
              <w:rPr>
                <w:sz w:val="20"/>
                <w:szCs w:val="20"/>
                <w:color w:val="auto"/>
              </w:rPr>
            </w:pPr>
            <w:r>
              <w:rPr>
                <w:rFonts w:ascii="Arial" w:cs="Arial" w:eastAsia="Arial" w:hAnsi="Arial"/>
                <w:sz w:val="12"/>
                <w:szCs w:val="12"/>
                <w:b w:val="1"/>
                <w:bCs w:val="1"/>
                <w:color w:val="009CCC"/>
              </w:rPr>
              <w:t>Number of</w:t>
            </w:r>
          </w:p>
        </w:tc>
        <w:tc>
          <w:tcPr>
            <w:tcW w:w="160" w:type="dxa"/>
            <w:vAlign w:val="bottom"/>
          </w:tcPr>
          <w:p>
            <w:pPr>
              <w:spacing w:after="0"/>
              <w:rPr>
                <w:sz w:val="10"/>
                <w:szCs w:val="10"/>
                <w:color w:val="auto"/>
              </w:rPr>
            </w:pPr>
          </w:p>
        </w:tc>
        <w:tc>
          <w:tcPr>
            <w:tcW w:w="680" w:type="dxa"/>
            <w:vAlign w:val="bottom"/>
            <w:vMerge w:val="restart"/>
          </w:tcPr>
          <w:p>
            <w:pPr>
              <w:jc w:val="right"/>
              <w:spacing w:after="0"/>
              <w:rPr>
                <w:sz w:val="20"/>
                <w:szCs w:val="20"/>
                <w:color w:val="auto"/>
              </w:rPr>
            </w:pPr>
            <w:r>
              <w:rPr>
                <w:rFonts w:ascii="Arial" w:cs="Arial" w:eastAsia="Arial" w:hAnsi="Arial"/>
                <w:sz w:val="12"/>
                <w:szCs w:val="12"/>
                <w:b w:val="1"/>
                <w:bCs w:val="1"/>
                <w:color w:val="009CCC"/>
              </w:rPr>
              <w:t>Value</w:t>
            </w:r>
          </w:p>
        </w:tc>
        <w:tc>
          <w:tcPr>
            <w:tcW w:w="180" w:type="dxa"/>
            <w:vAlign w:val="bottom"/>
          </w:tcPr>
          <w:p>
            <w:pPr>
              <w:spacing w:after="0"/>
              <w:rPr>
                <w:sz w:val="10"/>
                <w:szCs w:val="10"/>
                <w:color w:val="auto"/>
              </w:rPr>
            </w:pPr>
          </w:p>
        </w:tc>
        <w:tc>
          <w:tcPr>
            <w:tcW w:w="1080" w:type="dxa"/>
            <w:vAlign w:val="bottom"/>
          </w:tcPr>
          <w:p>
            <w:pPr>
              <w:jc w:val="right"/>
              <w:ind w:right="79"/>
              <w:spacing w:after="0" w:line="119" w:lineRule="exact"/>
              <w:rPr>
                <w:sz w:val="20"/>
                <w:szCs w:val="20"/>
                <w:color w:val="auto"/>
              </w:rPr>
            </w:pPr>
            <w:r>
              <w:rPr>
                <w:rFonts w:ascii="Arial" w:cs="Arial" w:eastAsia="Arial" w:hAnsi="Arial"/>
                <w:sz w:val="12"/>
                <w:szCs w:val="12"/>
                <w:b w:val="1"/>
                <w:bCs w:val="1"/>
                <w:color w:val="009CCC"/>
              </w:rPr>
              <w:t>Number of</w:t>
            </w:r>
          </w:p>
        </w:tc>
        <w:tc>
          <w:tcPr>
            <w:tcW w:w="220" w:type="dxa"/>
            <w:vAlign w:val="bottom"/>
          </w:tcPr>
          <w:p>
            <w:pPr>
              <w:spacing w:after="0"/>
              <w:rPr>
                <w:sz w:val="10"/>
                <w:szCs w:val="10"/>
                <w:color w:val="auto"/>
              </w:rPr>
            </w:pPr>
          </w:p>
        </w:tc>
        <w:tc>
          <w:tcPr>
            <w:tcW w:w="840" w:type="dxa"/>
            <w:vAlign w:val="bottom"/>
            <w:vMerge w:val="restart"/>
          </w:tcPr>
          <w:p>
            <w:pPr>
              <w:jc w:val="right"/>
              <w:spacing w:after="0"/>
              <w:rPr>
                <w:sz w:val="20"/>
                <w:szCs w:val="20"/>
                <w:color w:val="auto"/>
              </w:rPr>
            </w:pPr>
            <w:r>
              <w:rPr>
                <w:rFonts w:ascii="Arial" w:cs="Arial" w:eastAsia="Arial" w:hAnsi="Arial"/>
                <w:sz w:val="12"/>
                <w:szCs w:val="12"/>
                <w:b w:val="1"/>
                <w:bCs w:val="1"/>
                <w:color w:val="009CCC"/>
              </w:rPr>
              <w:t>Value</w:t>
            </w:r>
          </w:p>
        </w:tc>
        <w:tc>
          <w:tcPr>
            <w:tcW w:w="0" w:type="dxa"/>
            <w:vAlign w:val="bottom"/>
          </w:tcPr>
          <w:p>
            <w:pPr>
              <w:spacing w:after="0"/>
              <w:rPr>
                <w:sz w:val="1"/>
                <w:szCs w:val="1"/>
                <w:color w:val="auto"/>
              </w:rPr>
            </w:pPr>
          </w:p>
        </w:tc>
      </w:tr>
      <w:tr>
        <w:trPr>
          <w:trHeight w:val="125"/>
        </w:trPr>
        <w:tc>
          <w:tcPr>
            <w:tcW w:w="4820" w:type="dxa"/>
            <w:vAlign w:val="bottom"/>
          </w:tcPr>
          <w:p>
            <w:pPr>
              <w:spacing w:after="0"/>
              <w:rPr>
                <w:sz w:val="10"/>
                <w:szCs w:val="10"/>
                <w:color w:val="auto"/>
              </w:rPr>
            </w:pPr>
          </w:p>
        </w:tc>
        <w:tc>
          <w:tcPr>
            <w:tcW w:w="1040" w:type="dxa"/>
            <w:vAlign w:val="bottom"/>
          </w:tcPr>
          <w:p>
            <w:pPr>
              <w:jc w:val="right"/>
              <w:ind w:right="32"/>
              <w:spacing w:after="0" w:line="125" w:lineRule="exact"/>
              <w:rPr>
                <w:sz w:val="20"/>
                <w:szCs w:val="20"/>
                <w:color w:val="auto"/>
              </w:rPr>
            </w:pPr>
            <w:r>
              <w:rPr>
                <w:rFonts w:ascii="Arial" w:cs="Arial" w:eastAsia="Arial" w:hAnsi="Arial"/>
                <w:sz w:val="12"/>
                <w:szCs w:val="12"/>
                <w:b w:val="1"/>
                <w:bCs w:val="1"/>
                <w:color w:val="009CCC"/>
              </w:rPr>
              <w:t>Shares</w:t>
            </w:r>
          </w:p>
        </w:tc>
        <w:tc>
          <w:tcPr>
            <w:tcW w:w="160" w:type="dxa"/>
            <w:vAlign w:val="bottom"/>
          </w:tcPr>
          <w:p>
            <w:pPr>
              <w:spacing w:after="0"/>
              <w:rPr>
                <w:sz w:val="10"/>
                <w:szCs w:val="10"/>
                <w:color w:val="auto"/>
              </w:rPr>
            </w:pPr>
          </w:p>
        </w:tc>
        <w:tc>
          <w:tcPr>
            <w:tcW w:w="680" w:type="dxa"/>
            <w:vAlign w:val="bottom"/>
            <w:vMerge w:val="continue"/>
          </w:tcPr>
          <w:p>
            <w:pPr>
              <w:spacing w:after="0"/>
              <w:rPr>
                <w:sz w:val="10"/>
                <w:szCs w:val="10"/>
                <w:color w:val="auto"/>
              </w:rPr>
            </w:pPr>
          </w:p>
        </w:tc>
        <w:tc>
          <w:tcPr>
            <w:tcW w:w="180" w:type="dxa"/>
            <w:vAlign w:val="bottom"/>
          </w:tcPr>
          <w:p>
            <w:pPr>
              <w:spacing w:after="0"/>
              <w:rPr>
                <w:sz w:val="10"/>
                <w:szCs w:val="10"/>
                <w:color w:val="auto"/>
              </w:rPr>
            </w:pPr>
          </w:p>
        </w:tc>
        <w:tc>
          <w:tcPr>
            <w:tcW w:w="1080" w:type="dxa"/>
            <w:vAlign w:val="bottom"/>
          </w:tcPr>
          <w:p>
            <w:pPr>
              <w:jc w:val="right"/>
              <w:ind w:right="79"/>
              <w:spacing w:after="0" w:line="125" w:lineRule="exact"/>
              <w:rPr>
                <w:sz w:val="20"/>
                <w:szCs w:val="20"/>
                <w:color w:val="auto"/>
              </w:rPr>
            </w:pPr>
            <w:r>
              <w:rPr>
                <w:rFonts w:ascii="Arial" w:cs="Arial" w:eastAsia="Arial" w:hAnsi="Arial"/>
                <w:sz w:val="12"/>
                <w:szCs w:val="12"/>
                <w:b w:val="1"/>
                <w:bCs w:val="1"/>
                <w:color w:val="009CCC"/>
              </w:rPr>
              <w:t>Shares</w:t>
            </w:r>
          </w:p>
        </w:tc>
        <w:tc>
          <w:tcPr>
            <w:tcW w:w="220" w:type="dxa"/>
            <w:vAlign w:val="bottom"/>
          </w:tcPr>
          <w:p>
            <w:pPr>
              <w:spacing w:after="0"/>
              <w:rPr>
                <w:sz w:val="10"/>
                <w:szCs w:val="10"/>
                <w:color w:val="auto"/>
              </w:rPr>
            </w:pPr>
          </w:p>
        </w:tc>
        <w:tc>
          <w:tcPr>
            <w:tcW w:w="8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7"/>
        </w:trPr>
        <w:tc>
          <w:tcPr>
            <w:tcW w:w="4820" w:type="dxa"/>
            <w:vAlign w:val="bottom"/>
          </w:tcPr>
          <w:p>
            <w:pPr>
              <w:spacing w:after="0"/>
              <w:rPr>
                <w:sz w:val="11"/>
                <w:szCs w:val="11"/>
                <w:color w:val="auto"/>
              </w:rPr>
            </w:pPr>
          </w:p>
        </w:tc>
        <w:tc>
          <w:tcPr>
            <w:tcW w:w="1040" w:type="dxa"/>
            <w:vAlign w:val="bottom"/>
          </w:tcPr>
          <w:p>
            <w:pPr>
              <w:jc w:val="right"/>
              <w:ind w:right="32"/>
              <w:spacing w:after="0"/>
              <w:rPr>
                <w:sz w:val="20"/>
                <w:szCs w:val="20"/>
                <w:color w:val="auto"/>
              </w:rPr>
            </w:pPr>
            <w:r>
              <w:rPr>
                <w:rFonts w:ascii="Arial" w:cs="Arial" w:eastAsia="Arial" w:hAnsi="Arial"/>
                <w:sz w:val="12"/>
                <w:szCs w:val="12"/>
                <w:b w:val="1"/>
                <w:bCs w:val="1"/>
                <w:color w:val="009CCC"/>
              </w:rPr>
              <w:t>Acquired on</w:t>
            </w:r>
          </w:p>
        </w:tc>
        <w:tc>
          <w:tcPr>
            <w:tcW w:w="840" w:type="dxa"/>
            <w:vAlign w:val="bottom"/>
            <w:gridSpan w:val="2"/>
          </w:tcPr>
          <w:p>
            <w:pPr>
              <w:jc w:val="right"/>
              <w:spacing w:after="0"/>
              <w:rPr>
                <w:sz w:val="20"/>
                <w:szCs w:val="20"/>
                <w:color w:val="auto"/>
              </w:rPr>
            </w:pPr>
            <w:r>
              <w:rPr>
                <w:rFonts w:ascii="Arial" w:cs="Arial" w:eastAsia="Arial" w:hAnsi="Arial"/>
                <w:sz w:val="12"/>
                <w:szCs w:val="12"/>
                <w:b w:val="1"/>
                <w:bCs w:val="1"/>
                <w:color w:val="009CCC"/>
              </w:rPr>
              <w:t>Realized on</w:t>
            </w:r>
          </w:p>
        </w:tc>
        <w:tc>
          <w:tcPr>
            <w:tcW w:w="180" w:type="dxa"/>
            <w:vAlign w:val="bottom"/>
          </w:tcPr>
          <w:p>
            <w:pPr>
              <w:spacing w:after="0"/>
              <w:rPr>
                <w:sz w:val="11"/>
                <w:szCs w:val="11"/>
                <w:color w:val="auto"/>
              </w:rPr>
            </w:pPr>
          </w:p>
        </w:tc>
        <w:tc>
          <w:tcPr>
            <w:tcW w:w="1080" w:type="dxa"/>
            <w:vAlign w:val="bottom"/>
          </w:tcPr>
          <w:p>
            <w:pPr>
              <w:jc w:val="right"/>
              <w:ind w:right="79"/>
              <w:spacing w:after="0"/>
              <w:rPr>
                <w:sz w:val="20"/>
                <w:szCs w:val="20"/>
                <w:color w:val="auto"/>
              </w:rPr>
            </w:pPr>
            <w:r>
              <w:rPr>
                <w:rFonts w:ascii="Arial" w:cs="Arial" w:eastAsia="Arial" w:hAnsi="Arial"/>
                <w:sz w:val="12"/>
                <w:szCs w:val="12"/>
                <w:b w:val="1"/>
                <w:bCs w:val="1"/>
                <w:color w:val="009CCC"/>
              </w:rPr>
              <w:t>Acquired on</w:t>
            </w:r>
          </w:p>
        </w:tc>
        <w:tc>
          <w:tcPr>
            <w:tcW w:w="220" w:type="dxa"/>
            <w:vAlign w:val="bottom"/>
          </w:tcPr>
          <w:p>
            <w:pPr>
              <w:spacing w:after="0"/>
              <w:rPr>
                <w:sz w:val="11"/>
                <w:szCs w:val="11"/>
                <w:color w:val="auto"/>
              </w:rPr>
            </w:pPr>
          </w:p>
        </w:tc>
        <w:tc>
          <w:tcPr>
            <w:tcW w:w="840" w:type="dxa"/>
            <w:vAlign w:val="bottom"/>
          </w:tcPr>
          <w:p>
            <w:pPr>
              <w:jc w:val="right"/>
              <w:spacing w:after="0"/>
              <w:rPr>
                <w:sz w:val="20"/>
                <w:szCs w:val="20"/>
                <w:color w:val="auto"/>
              </w:rPr>
            </w:pPr>
            <w:r>
              <w:rPr>
                <w:rFonts w:ascii="Arial" w:cs="Arial" w:eastAsia="Arial" w:hAnsi="Arial"/>
                <w:sz w:val="12"/>
                <w:szCs w:val="12"/>
                <w:b w:val="1"/>
                <w:bCs w:val="1"/>
                <w:color w:val="009CCC"/>
              </w:rPr>
              <w:t>Realized on</w:t>
            </w:r>
          </w:p>
        </w:tc>
        <w:tc>
          <w:tcPr>
            <w:tcW w:w="0" w:type="dxa"/>
            <w:vAlign w:val="bottom"/>
          </w:tcPr>
          <w:p>
            <w:pPr>
              <w:spacing w:after="0"/>
              <w:rPr>
                <w:sz w:val="1"/>
                <w:szCs w:val="1"/>
                <w:color w:val="auto"/>
              </w:rPr>
            </w:pPr>
          </w:p>
        </w:tc>
      </w:tr>
      <w:tr>
        <w:trPr>
          <w:trHeight w:val="160"/>
        </w:trPr>
        <w:tc>
          <w:tcPr>
            <w:tcW w:w="482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Named Executive Officer</w:t>
            </w:r>
          </w:p>
        </w:tc>
        <w:tc>
          <w:tcPr>
            <w:tcW w:w="1040" w:type="dxa"/>
            <w:vAlign w:val="bottom"/>
            <w:tcBorders>
              <w:bottom w:val="single" w:sz="8" w:color="7B7C80"/>
            </w:tcBorders>
          </w:tcPr>
          <w:p>
            <w:pPr>
              <w:jc w:val="right"/>
              <w:ind w:right="32"/>
              <w:spacing w:after="0"/>
              <w:rPr>
                <w:sz w:val="20"/>
                <w:szCs w:val="20"/>
                <w:color w:val="auto"/>
              </w:rPr>
            </w:pPr>
            <w:r>
              <w:rPr>
                <w:rFonts w:ascii="Arial" w:cs="Arial" w:eastAsia="Arial" w:hAnsi="Arial"/>
                <w:sz w:val="12"/>
                <w:szCs w:val="12"/>
                <w:b w:val="1"/>
                <w:bCs w:val="1"/>
                <w:color w:val="009CCC"/>
              </w:rPr>
              <w:t>Exercise</w:t>
            </w:r>
          </w:p>
        </w:tc>
        <w:tc>
          <w:tcPr>
            <w:tcW w:w="160" w:type="dxa"/>
            <w:vAlign w:val="bottom"/>
            <w:tcBorders>
              <w:bottom w:val="single" w:sz="8" w:color="7B7C80"/>
            </w:tcBorders>
          </w:tcPr>
          <w:p>
            <w:pPr>
              <w:spacing w:after="0"/>
              <w:rPr>
                <w:sz w:val="13"/>
                <w:szCs w:val="13"/>
                <w:color w:val="auto"/>
              </w:rPr>
            </w:pPr>
          </w:p>
        </w:tc>
        <w:tc>
          <w:tcPr>
            <w:tcW w:w="680" w:type="dxa"/>
            <w:vAlign w:val="bottom"/>
            <w:tcBorders>
              <w:bottom w:val="single" w:sz="8" w:color="7B7C80"/>
            </w:tcBorders>
          </w:tcPr>
          <w:p>
            <w:pPr>
              <w:jc w:val="right"/>
              <w:spacing w:after="0" w:line="160" w:lineRule="exact"/>
              <w:rPr>
                <w:sz w:val="20"/>
                <w:szCs w:val="20"/>
                <w:color w:val="auto"/>
              </w:rPr>
            </w:pPr>
            <w:r>
              <w:rPr>
                <w:rFonts w:ascii="Arial" w:cs="Arial" w:eastAsia="Arial" w:hAnsi="Arial"/>
                <w:sz w:val="12"/>
                <w:szCs w:val="12"/>
                <w:b w:val="1"/>
                <w:bCs w:val="1"/>
                <w:color w:val="009CCC"/>
              </w:rPr>
              <w:t>Exercise</w:t>
            </w:r>
            <w:r>
              <w:rPr>
                <w:rFonts w:ascii="Arial" w:cs="Arial" w:eastAsia="Arial" w:hAnsi="Arial"/>
                <w:sz w:val="18"/>
                <w:szCs w:val="18"/>
                <w:b w:val="1"/>
                <w:bCs w:val="1"/>
                <w:color w:val="009CCC"/>
                <w:vertAlign w:val="superscript"/>
              </w:rPr>
              <w:t>(1)</w:t>
            </w:r>
          </w:p>
        </w:tc>
        <w:tc>
          <w:tcPr>
            <w:tcW w:w="180" w:type="dxa"/>
            <w:vAlign w:val="bottom"/>
            <w:tcBorders>
              <w:bottom w:val="single" w:sz="8" w:color="7B7C80"/>
            </w:tcBorders>
          </w:tcPr>
          <w:p>
            <w:pPr>
              <w:spacing w:after="0"/>
              <w:rPr>
                <w:sz w:val="13"/>
                <w:szCs w:val="13"/>
                <w:color w:val="auto"/>
              </w:rPr>
            </w:pPr>
          </w:p>
        </w:tc>
        <w:tc>
          <w:tcPr>
            <w:tcW w:w="1080" w:type="dxa"/>
            <w:vAlign w:val="bottom"/>
            <w:tcBorders>
              <w:bottom w:val="single" w:sz="8" w:color="7B7C80"/>
            </w:tcBorders>
          </w:tcPr>
          <w:p>
            <w:pPr>
              <w:jc w:val="right"/>
              <w:ind w:right="79"/>
              <w:spacing w:after="0"/>
              <w:rPr>
                <w:sz w:val="20"/>
                <w:szCs w:val="20"/>
                <w:color w:val="auto"/>
              </w:rPr>
            </w:pPr>
            <w:r>
              <w:rPr>
                <w:rFonts w:ascii="Arial" w:cs="Arial" w:eastAsia="Arial" w:hAnsi="Arial"/>
                <w:sz w:val="12"/>
                <w:szCs w:val="12"/>
                <w:b w:val="1"/>
                <w:bCs w:val="1"/>
                <w:color w:val="009CCC"/>
              </w:rPr>
              <w:t>Vesting</w:t>
            </w:r>
          </w:p>
        </w:tc>
        <w:tc>
          <w:tcPr>
            <w:tcW w:w="220" w:type="dxa"/>
            <w:vAlign w:val="bottom"/>
            <w:tcBorders>
              <w:bottom w:val="single" w:sz="8" w:color="7B7C80"/>
            </w:tcBorders>
          </w:tcPr>
          <w:p>
            <w:pPr>
              <w:spacing w:after="0"/>
              <w:rPr>
                <w:sz w:val="13"/>
                <w:szCs w:val="13"/>
                <w:color w:val="auto"/>
              </w:rPr>
            </w:pPr>
          </w:p>
        </w:tc>
        <w:tc>
          <w:tcPr>
            <w:tcW w:w="840" w:type="dxa"/>
            <w:vAlign w:val="bottom"/>
            <w:tcBorders>
              <w:bottom w:val="single" w:sz="8" w:color="7B7C80"/>
            </w:tcBorders>
          </w:tcPr>
          <w:p>
            <w:pPr>
              <w:jc w:val="right"/>
              <w:spacing w:after="0" w:line="160" w:lineRule="exact"/>
              <w:rPr>
                <w:sz w:val="20"/>
                <w:szCs w:val="20"/>
                <w:color w:val="auto"/>
              </w:rPr>
            </w:pPr>
            <w:r>
              <w:rPr>
                <w:rFonts w:ascii="Arial" w:cs="Arial" w:eastAsia="Arial" w:hAnsi="Arial"/>
                <w:sz w:val="12"/>
                <w:szCs w:val="12"/>
                <w:b w:val="1"/>
                <w:bCs w:val="1"/>
                <w:color w:val="009CCC"/>
              </w:rPr>
              <w:t>Vesting</w:t>
            </w:r>
            <w:r>
              <w:rPr>
                <w:rFonts w:ascii="Arial" w:cs="Arial" w:eastAsia="Arial" w:hAnsi="Arial"/>
                <w:sz w:val="18"/>
                <w:szCs w:val="18"/>
                <w:b w:val="1"/>
                <w:bCs w:val="1"/>
                <w:color w:val="009CCC"/>
                <w:vertAlign w:val="superscript"/>
              </w:rPr>
              <w:t>(2)</w:t>
            </w:r>
          </w:p>
        </w:tc>
        <w:tc>
          <w:tcPr>
            <w:tcW w:w="0" w:type="dxa"/>
            <w:vAlign w:val="bottom"/>
          </w:tcPr>
          <w:p>
            <w:pPr>
              <w:spacing w:after="0"/>
              <w:rPr>
                <w:sz w:val="1"/>
                <w:szCs w:val="1"/>
                <w:color w:val="auto"/>
              </w:rPr>
            </w:pPr>
          </w:p>
        </w:tc>
      </w:tr>
      <w:tr>
        <w:trPr>
          <w:trHeight w:val="163"/>
        </w:trPr>
        <w:tc>
          <w:tcPr>
            <w:tcW w:w="482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Houston</w:t>
            </w:r>
          </w:p>
        </w:tc>
        <w:tc>
          <w:tcPr>
            <w:tcW w:w="1040" w:type="dxa"/>
            <w:vAlign w:val="bottom"/>
            <w:tcBorders>
              <w:bottom w:val="single" w:sz="8" w:color="7B7C80"/>
            </w:tcBorders>
            <w:shd w:val="clear" w:color="auto" w:fill="E7E6E7"/>
          </w:tcPr>
          <w:p>
            <w:pPr>
              <w:jc w:val="right"/>
              <w:ind w:right="32"/>
              <w:spacing w:after="0" w:line="164" w:lineRule="exact"/>
              <w:rPr>
                <w:sz w:val="20"/>
                <w:szCs w:val="20"/>
                <w:color w:val="auto"/>
              </w:rPr>
            </w:pPr>
            <w:r>
              <w:rPr>
                <w:rFonts w:ascii="Arial" w:cs="Arial" w:eastAsia="Arial" w:hAnsi="Arial"/>
                <w:sz w:val="15"/>
                <w:szCs w:val="15"/>
                <w:color w:val="7B7C80"/>
              </w:rPr>
              <w:t>169,145</w:t>
            </w:r>
          </w:p>
        </w:tc>
        <w:tc>
          <w:tcPr>
            <w:tcW w:w="1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w w:val="98"/>
              </w:rPr>
              <w:t>5,393,666</w:t>
            </w:r>
          </w:p>
        </w:tc>
        <w:tc>
          <w:tcPr>
            <w:tcW w:w="1260" w:type="dxa"/>
            <w:vAlign w:val="bottom"/>
            <w:tcBorders>
              <w:bottom w:val="single" w:sz="8" w:color="7B7C80"/>
            </w:tcBorders>
            <w:gridSpan w:val="2"/>
            <w:shd w:val="clear" w:color="auto" w:fill="E7E6E7"/>
          </w:tcPr>
          <w:p>
            <w:pPr>
              <w:jc w:val="right"/>
              <w:ind w:right="79"/>
              <w:spacing w:after="0" w:line="164" w:lineRule="exact"/>
              <w:rPr>
                <w:sz w:val="20"/>
                <w:szCs w:val="20"/>
                <w:color w:val="auto"/>
              </w:rPr>
            </w:pPr>
            <w:r>
              <w:rPr>
                <w:rFonts w:ascii="Arial" w:cs="Arial" w:eastAsia="Arial" w:hAnsi="Arial"/>
                <w:sz w:val="15"/>
                <w:szCs w:val="15"/>
                <w:color w:val="7B7C80"/>
              </w:rPr>
              <w:t>30,684</w:t>
            </w:r>
          </w:p>
        </w:tc>
        <w:tc>
          <w:tcPr>
            <w:tcW w:w="2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840" w:type="dxa"/>
            <w:vAlign w:val="bottom"/>
            <w:tcBorders>
              <w:bottom w:val="single" w:sz="8" w:color="7B7C80"/>
            </w:tcBorders>
            <w:shd w:val="clear" w:color="auto" w:fill="E7E6E7"/>
          </w:tcPr>
          <w:p>
            <w:pPr>
              <w:jc w:val="right"/>
              <w:ind w:right="91"/>
              <w:spacing w:after="0" w:line="164" w:lineRule="exact"/>
              <w:rPr>
                <w:sz w:val="20"/>
                <w:szCs w:val="20"/>
                <w:color w:val="auto"/>
              </w:rPr>
            </w:pPr>
            <w:r>
              <w:rPr>
                <w:rFonts w:ascii="Arial" w:cs="Arial" w:eastAsia="Arial" w:hAnsi="Arial"/>
                <w:sz w:val="15"/>
                <w:szCs w:val="15"/>
                <w:color w:val="7B7C80"/>
                <w:w w:val="98"/>
              </w:rPr>
              <w:t>1,963,162</w:t>
            </w:r>
          </w:p>
        </w:tc>
        <w:tc>
          <w:tcPr>
            <w:tcW w:w="0" w:type="dxa"/>
            <w:vAlign w:val="bottom"/>
          </w:tcPr>
          <w:p>
            <w:pPr>
              <w:spacing w:after="0"/>
              <w:rPr>
                <w:sz w:val="1"/>
                <w:szCs w:val="1"/>
                <w:color w:val="auto"/>
              </w:rPr>
            </w:pPr>
          </w:p>
        </w:tc>
      </w:tr>
      <w:tr>
        <w:trPr>
          <w:trHeight w:val="163"/>
        </w:trPr>
        <w:tc>
          <w:tcPr>
            <w:tcW w:w="482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Strable</w:t>
            </w:r>
          </w:p>
        </w:tc>
        <w:tc>
          <w:tcPr>
            <w:tcW w:w="1040" w:type="dxa"/>
            <w:vAlign w:val="bottom"/>
            <w:tcBorders>
              <w:bottom w:val="single" w:sz="8" w:color="7B7C80"/>
            </w:tcBorders>
          </w:tcPr>
          <w:p>
            <w:pPr>
              <w:jc w:val="right"/>
              <w:ind w:right="32"/>
              <w:spacing w:after="0" w:line="164" w:lineRule="exact"/>
              <w:rPr>
                <w:sz w:val="20"/>
                <w:szCs w:val="20"/>
                <w:color w:val="auto"/>
              </w:rPr>
            </w:pPr>
            <w:r>
              <w:rPr>
                <w:rFonts w:ascii="Arial" w:cs="Arial" w:eastAsia="Arial" w:hAnsi="Arial"/>
                <w:sz w:val="15"/>
                <w:szCs w:val="15"/>
                <w:color w:val="7B7C80"/>
              </w:rPr>
              <w:t>62,182</w:t>
            </w:r>
          </w:p>
        </w:tc>
        <w:tc>
          <w:tcPr>
            <w:tcW w:w="16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w w:val="98"/>
              </w:rPr>
              <w:t>1,720,346</w:t>
            </w:r>
          </w:p>
        </w:tc>
        <w:tc>
          <w:tcPr>
            <w:tcW w:w="1260" w:type="dxa"/>
            <w:vAlign w:val="bottom"/>
            <w:tcBorders>
              <w:bottom w:val="single" w:sz="8" w:color="7B7C80"/>
            </w:tcBorders>
            <w:gridSpan w:val="2"/>
          </w:tcPr>
          <w:p>
            <w:pPr>
              <w:jc w:val="right"/>
              <w:ind w:right="79"/>
              <w:spacing w:after="0" w:line="164" w:lineRule="exact"/>
              <w:rPr>
                <w:sz w:val="20"/>
                <w:szCs w:val="20"/>
                <w:color w:val="auto"/>
              </w:rPr>
            </w:pPr>
            <w:r>
              <w:rPr>
                <w:rFonts w:ascii="Arial" w:cs="Arial" w:eastAsia="Arial" w:hAnsi="Arial"/>
                <w:sz w:val="15"/>
                <w:szCs w:val="15"/>
                <w:color w:val="7B7C80"/>
              </w:rPr>
              <w:t>9,519</w:t>
            </w:r>
          </w:p>
        </w:tc>
        <w:tc>
          <w:tcPr>
            <w:tcW w:w="2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840" w:type="dxa"/>
            <w:vAlign w:val="bottom"/>
            <w:tcBorders>
              <w:bottom w:val="single" w:sz="8" w:color="7B7C80"/>
            </w:tcBorders>
          </w:tcPr>
          <w:p>
            <w:pPr>
              <w:jc w:val="right"/>
              <w:ind w:right="91"/>
              <w:spacing w:after="0" w:line="164" w:lineRule="exact"/>
              <w:rPr>
                <w:sz w:val="20"/>
                <w:szCs w:val="20"/>
                <w:color w:val="auto"/>
              </w:rPr>
            </w:pPr>
            <w:r>
              <w:rPr>
                <w:rFonts w:ascii="Arial" w:cs="Arial" w:eastAsia="Arial" w:hAnsi="Arial"/>
                <w:sz w:val="15"/>
                <w:szCs w:val="15"/>
                <w:color w:val="7B7C80"/>
              </w:rPr>
              <w:t>609,026</w:t>
            </w:r>
          </w:p>
        </w:tc>
        <w:tc>
          <w:tcPr>
            <w:tcW w:w="0" w:type="dxa"/>
            <w:vAlign w:val="bottom"/>
          </w:tcPr>
          <w:p>
            <w:pPr>
              <w:spacing w:after="0"/>
              <w:rPr>
                <w:sz w:val="1"/>
                <w:szCs w:val="1"/>
                <w:color w:val="auto"/>
              </w:rPr>
            </w:pPr>
          </w:p>
        </w:tc>
      </w:tr>
      <w:tr>
        <w:trPr>
          <w:trHeight w:val="163"/>
        </w:trPr>
        <w:tc>
          <w:tcPr>
            <w:tcW w:w="482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Everett</w:t>
            </w:r>
          </w:p>
        </w:tc>
        <w:tc>
          <w:tcPr>
            <w:tcW w:w="1040" w:type="dxa"/>
            <w:vAlign w:val="bottom"/>
            <w:tcBorders>
              <w:bottom w:val="single" w:sz="8" w:color="7B7C80"/>
            </w:tcBorders>
            <w:shd w:val="clear" w:color="auto" w:fill="E7E6E7"/>
          </w:tcPr>
          <w:p>
            <w:pPr>
              <w:jc w:val="right"/>
              <w:ind w:right="32"/>
              <w:spacing w:after="0" w:line="164" w:lineRule="exact"/>
              <w:rPr>
                <w:sz w:val="20"/>
                <w:szCs w:val="20"/>
                <w:color w:val="auto"/>
              </w:rPr>
            </w:pPr>
            <w:r>
              <w:rPr>
                <w:rFonts w:ascii="Arial" w:cs="Arial" w:eastAsia="Arial" w:hAnsi="Arial"/>
                <w:sz w:val="15"/>
                <w:szCs w:val="15"/>
                <w:color w:val="7B7C80"/>
              </w:rPr>
              <w:t>71,455</w:t>
            </w:r>
          </w:p>
        </w:tc>
        <w:tc>
          <w:tcPr>
            <w:tcW w:w="1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w w:val="98"/>
              </w:rPr>
              <w:t>1,771,409</w:t>
            </w:r>
          </w:p>
        </w:tc>
        <w:tc>
          <w:tcPr>
            <w:tcW w:w="1260" w:type="dxa"/>
            <w:vAlign w:val="bottom"/>
            <w:tcBorders>
              <w:bottom w:val="single" w:sz="8" w:color="7B7C80"/>
            </w:tcBorders>
            <w:gridSpan w:val="2"/>
            <w:shd w:val="clear" w:color="auto" w:fill="E7E6E7"/>
          </w:tcPr>
          <w:p>
            <w:pPr>
              <w:jc w:val="right"/>
              <w:ind w:right="79"/>
              <w:spacing w:after="0" w:line="164" w:lineRule="exact"/>
              <w:rPr>
                <w:sz w:val="20"/>
                <w:szCs w:val="20"/>
                <w:color w:val="auto"/>
              </w:rPr>
            </w:pPr>
            <w:r>
              <w:rPr>
                <w:rFonts w:ascii="Arial" w:cs="Arial" w:eastAsia="Arial" w:hAnsi="Arial"/>
                <w:sz w:val="15"/>
                <w:szCs w:val="15"/>
                <w:color w:val="7B7C80"/>
              </w:rPr>
              <w:t>9,519</w:t>
            </w:r>
          </w:p>
        </w:tc>
        <w:tc>
          <w:tcPr>
            <w:tcW w:w="2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840" w:type="dxa"/>
            <w:vAlign w:val="bottom"/>
            <w:tcBorders>
              <w:bottom w:val="single" w:sz="8" w:color="7B7C80"/>
            </w:tcBorders>
            <w:shd w:val="clear" w:color="auto" w:fill="E7E6E7"/>
          </w:tcPr>
          <w:p>
            <w:pPr>
              <w:jc w:val="right"/>
              <w:ind w:right="91"/>
              <w:spacing w:after="0" w:line="164" w:lineRule="exact"/>
              <w:rPr>
                <w:sz w:val="20"/>
                <w:szCs w:val="20"/>
                <w:color w:val="auto"/>
              </w:rPr>
            </w:pPr>
            <w:r>
              <w:rPr>
                <w:rFonts w:ascii="Arial" w:cs="Arial" w:eastAsia="Arial" w:hAnsi="Arial"/>
                <w:sz w:val="15"/>
                <w:szCs w:val="15"/>
                <w:color w:val="7B7C80"/>
              </w:rPr>
              <w:t>609,026</w:t>
            </w:r>
          </w:p>
        </w:tc>
        <w:tc>
          <w:tcPr>
            <w:tcW w:w="0" w:type="dxa"/>
            <w:vAlign w:val="bottom"/>
          </w:tcPr>
          <w:p>
            <w:pPr>
              <w:spacing w:after="0"/>
              <w:rPr>
                <w:sz w:val="1"/>
                <w:szCs w:val="1"/>
                <w:color w:val="auto"/>
              </w:rPr>
            </w:pPr>
          </w:p>
        </w:tc>
      </w:tr>
      <w:tr>
        <w:trPr>
          <w:trHeight w:val="163"/>
        </w:trPr>
        <w:tc>
          <w:tcPr>
            <w:tcW w:w="482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Lillis</w:t>
            </w:r>
          </w:p>
        </w:tc>
        <w:tc>
          <w:tcPr>
            <w:tcW w:w="1040" w:type="dxa"/>
            <w:vAlign w:val="bottom"/>
            <w:tcBorders>
              <w:bottom w:val="single" w:sz="8" w:color="7B7C80"/>
            </w:tcBorders>
          </w:tcPr>
          <w:p>
            <w:pPr>
              <w:jc w:val="right"/>
              <w:ind w:right="32"/>
              <w:spacing w:after="0" w:line="164" w:lineRule="exact"/>
              <w:rPr>
                <w:sz w:val="20"/>
                <w:szCs w:val="20"/>
                <w:color w:val="auto"/>
              </w:rPr>
            </w:pPr>
            <w:r>
              <w:rPr>
                <w:rFonts w:ascii="Arial" w:cs="Arial" w:eastAsia="Arial" w:hAnsi="Arial"/>
                <w:sz w:val="15"/>
                <w:szCs w:val="15"/>
                <w:color w:val="7B7C80"/>
              </w:rPr>
              <w:t>7,380</w:t>
            </w:r>
          </w:p>
        </w:tc>
        <w:tc>
          <w:tcPr>
            <w:tcW w:w="16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14,465</w:t>
            </w:r>
          </w:p>
        </w:tc>
        <w:tc>
          <w:tcPr>
            <w:tcW w:w="1260" w:type="dxa"/>
            <w:vAlign w:val="bottom"/>
            <w:tcBorders>
              <w:bottom w:val="single" w:sz="8" w:color="7B7C80"/>
            </w:tcBorders>
            <w:gridSpan w:val="2"/>
          </w:tcPr>
          <w:p>
            <w:pPr>
              <w:jc w:val="right"/>
              <w:ind w:right="79"/>
              <w:spacing w:after="0" w:line="164" w:lineRule="exact"/>
              <w:rPr>
                <w:sz w:val="20"/>
                <w:szCs w:val="20"/>
                <w:color w:val="auto"/>
              </w:rPr>
            </w:pPr>
            <w:r>
              <w:rPr>
                <w:rFonts w:ascii="Arial" w:cs="Arial" w:eastAsia="Arial" w:hAnsi="Arial"/>
                <w:sz w:val="15"/>
                <w:szCs w:val="15"/>
                <w:color w:val="7B7C80"/>
              </w:rPr>
              <w:t>17,681</w:t>
            </w:r>
          </w:p>
        </w:tc>
        <w:tc>
          <w:tcPr>
            <w:tcW w:w="2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840" w:type="dxa"/>
            <w:vAlign w:val="bottom"/>
            <w:tcBorders>
              <w:bottom w:val="single" w:sz="8" w:color="7B7C80"/>
            </w:tcBorders>
          </w:tcPr>
          <w:p>
            <w:pPr>
              <w:jc w:val="right"/>
              <w:ind w:right="91"/>
              <w:spacing w:after="0" w:line="164" w:lineRule="exact"/>
              <w:rPr>
                <w:sz w:val="20"/>
                <w:szCs w:val="20"/>
                <w:color w:val="auto"/>
              </w:rPr>
            </w:pPr>
            <w:r>
              <w:rPr>
                <w:rFonts w:ascii="Arial" w:cs="Arial" w:eastAsia="Arial" w:hAnsi="Arial"/>
                <w:sz w:val="15"/>
                <w:szCs w:val="15"/>
                <w:color w:val="7B7C80"/>
                <w:w w:val="98"/>
              </w:rPr>
              <w:t>1,131,230</w:t>
            </w:r>
          </w:p>
        </w:tc>
        <w:tc>
          <w:tcPr>
            <w:tcW w:w="0" w:type="dxa"/>
            <w:vAlign w:val="bottom"/>
          </w:tcPr>
          <w:p>
            <w:pPr>
              <w:spacing w:after="0"/>
              <w:rPr>
                <w:sz w:val="1"/>
                <w:szCs w:val="1"/>
                <w:color w:val="auto"/>
              </w:rPr>
            </w:pPr>
          </w:p>
        </w:tc>
      </w:tr>
      <w:tr>
        <w:trPr>
          <w:trHeight w:val="198"/>
        </w:trPr>
        <w:tc>
          <w:tcPr>
            <w:tcW w:w="4820" w:type="dxa"/>
            <w:vAlign w:val="bottom"/>
            <w:tcBorders>
              <w:bottom w:val="single" w:sz="8" w:color="7B7C80"/>
            </w:tcBorders>
            <w:shd w:val="clear" w:color="auto" w:fill="E7E6E7"/>
          </w:tcPr>
          <w:p>
            <w:pPr>
              <w:spacing w:after="0"/>
              <w:rPr>
                <w:sz w:val="20"/>
                <w:szCs w:val="20"/>
                <w:color w:val="auto"/>
              </w:rPr>
            </w:pPr>
            <w:r>
              <w:rPr>
                <w:rFonts w:ascii="Arial" w:cs="Arial" w:eastAsia="Arial" w:hAnsi="Arial"/>
                <w:sz w:val="15"/>
                <w:szCs w:val="15"/>
                <w:color w:val="7B7C80"/>
              </w:rPr>
              <w:t>McCaughan</w:t>
            </w:r>
          </w:p>
        </w:tc>
        <w:tc>
          <w:tcPr>
            <w:tcW w:w="1040" w:type="dxa"/>
            <w:vAlign w:val="bottom"/>
            <w:tcBorders>
              <w:bottom w:val="single" w:sz="8" w:color="7B7C80"/>
            </w:tcBorders>
            <w:shd w:val="clear" w:color="auto" w:fill="E7E6E7"/>
          </w:tcPr>
          <w:p>
            <w:pPr>
              <w:jc w:val="right"/>
              <w:ind w:right="32"/>
              <w:spacing w:after="0"/>
              <w:rPr>
                <w:sz w:val="20"/>
                <w:szCs w:val="20"/>
                <w:color w:val="auto"/>
              </w:rPr>
            </w:pPr>
            <w:r>
              <w:rPr>
                <w:rFonts w:ascii="Arial" w:cs="Arial" w:eastAsia="Arial" w:hAnsi="Arial"/>
                <w:sz w:val="15"/>
                <w:szCs w:val="15"/>
                <w:color w:val="7B7C80"/>
              </w:rPr>
              <w:t>243,265</w:t>
            </w:r>
          </w:p>
        </w:tc>
        <w:tc>
          <w:tcPr>
            <w:tcW w:w="1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5"/>
                <w:szCs w:val="15"/>
                <w:color w:val="7B7C80"/>
              </w:rPr>
              <w:t>$</w:t>
            </w:r>
          </w:p>
        </w:tc>
        <w:tc>
          <w:tcPr>
            <w:tcW w:w="6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5"/>
                <w:szCs w:val="15"/>
                <w:color w:val="7B7C80"/>
                <w:w w:val="98"/>
              </w:rPr>
              <w:t>7,057,199</w:t>
            </w:r>
          </w:p>
        </w:tc>
        <w:tc>
          <w:tcPr>
            <w:tcW w:w="1260" w:type="dxa"/>
            <w:vAlign w:val="bottom"/>
            <w:tcBorders>
              <w:bottom w:val="single" w:sz="8" w:color="7B7C80"/>
            </w:tcBorders>
            <w:gridSpan w:val="2"/>
            <w:shd w:val="clear" w:color="auto" w:fill="E7E6E7"/>
          </w:tcPr>
          <w:p>
            <w:pPr>
              <w:jc w:val="right"/>
              <w:ind w:right="79"/>
              <w:spacing w:after="0"/>
              <w:rPr>
                <w:sz w:val="20"/>
                <w:szCs w:val="20"/>
                <w:color w:val="auto"/>
              </w:rPr>
            </w:pPr>
            <w:r>
              <w:rPr>
                <w:rFonts w:ascii="Arial" w:cs="Arial" w:eastAsia="Arial" w:hAnsi="Arial"/>
                <w:sz w:val="15"/>
                <w:szCs w:val="15"/>
                <w:color w:val="7B7C80"/>
              </w:rPr>
              <w:t>63,410</w:t>
            </w:r>
          </w:p>
        </w:tc>
        <w:tc>
          <w:tcPr>
            <w:tcW w:w="2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5"/>
                <w:szCs w:val="15"/>
                <w:color w:val="7B7C80"/>
              </w:rPr>
              <w:t>$</w:t>
            </w:r>
          </w:p>
        </w:tc>
        <w:tc>
          <w:tcPr>
            <w:tcW w:w="840" w:type="dxa"/>
            <w:vAlign w:val="bottom"/>
            <w:tcBorders>
              <w:bottom w:val="single" w:sz="8" w:color="7B7C80"/>
            </w:tcBorders>
            <w:shd w:val="clear" w:color="auto" w:fill="E7E6E7"/>
          </w:tcPr>
          <w:p>
            <w:pPr>
              <w:jc w:val="right"/>
              <w:spacing w:after="0" w:line="198" w:lineRule="exact"/>
              <w:rPr>
                <w:sz w:val="20"/>
                <w:szCs w:val="20"/>
                <w:color w:val="auto"/>
              </w:rPr>
            </w:pPr>
            <w:r>
              <w:rPr>
                <w:rFonts w:ascii="Arial" w:cs="Arial" w:eastAsia="Arial" w:hAnsi="Arial"/>
                <w:sz w:val="14"/>
                <w:szCs w:val="14"/>
                <w:color w:val="7B7C80"/>
                <w:w w:val="99"/>
              </w:rPr>
              <w:t>4,247,131</w:t>
            </w:r>
            <w:r>
              <w:rPr>
                <w:rFonts w:ascii="Arial" w:cs="Arial" w:eastAsia="Arial" w:hAnsi="Arial"/>
                <w:sz w:val="22"/>
                <w:szCs w:val="22"/>
                <w:color w:val="7B7C80"/>
                <w:w w:val="99"/>
                <w:vertAlign w:val="superscript"/>
              </w:rPr>
              <w:t>(3)</w:t>
            </w:r>
          </w:p>
        </w:tc>
        <w:tc>
          <w:tcPr>
            <w:tcW w:w="0" w:type="dxa"/>
            <w:vAlign w:val="bottom"/>
          </w:tcPr>
          <w:p>
            <w:pPr>
              <w:spacing w:after="0"/>
              <w:rPr>
                <w:sz w:val="1"/>
                <w:szCs w:val="1"/>
                <w:color w:val="auto"/>
              </w:rPr>
            </w:pPr>
          </w:p>
        </w:tc>
      </w:tr>
      <w:tr>
        <w:trPr>
          <w:trHeight w:val="201"/>
        </w:trPr>
        <w:tc>
          <w:tcPr>
            <w:tcW w:w="4820" w:type="dxa"/>
            <w:vAlign w:val="bottom"/>
            <w:tcBorders>
              <w:bottom w:val="single" w:sz="8" w:color="009CCC"/>
            </w:tcBorders>
          </w:tcPr>
          <w:p>
            <w:pPr>
              <w:spacing w:after="0"/>
              <w:rPr>
                <w:sz w:val="20"/>
                <w:szCs w:val="20"/>
                <w:color w:val="auto"/>
              </w:rPr>
            </w:pPr>
            <w:r>
              <w:rPr>
                <w:rFonts w:ascii="Arial" w:cs="Arial" w:eastAsia="Arial" w:hAnsi="Arial"/>
                <w:sz w:val="15"/>
                <w:szCs w:val="15"/>
                <w:color w:val="7B7C80"/>
              </w:rPr>
              <w:t>Valdés</w:t>
            </w:r>
          </w:p>
        </w:tc>
        <w:tc>
          <w:tcPr>
            <w:tcW w:w="1040" w:type="dxa"/>
            <w:vAlign w:val="bottom"/>
            <w:tcBorders>
              <w:bottom w:val="single" w:sz="8" w:color="009CCC"/>
            </w:tcBorders>
          </w:tcPr>
          <w:p>
            <w:pPr>
              <w:jc w:val="right"/>
              <w:ind w:right="32"/>
              <w:spacing w:after="0"/>
              <w:rPr>
                <w:sz w:val="20"/>
                <w:szCs w:val="20"/>
                <w:color w:val="auto"/>
              </w:rPr>
            </w:pPr>
            <w:r>
              <w:rPr>
                <w:rFonts w:ascii="Arial" w:cs="Arial" w:eastAsia="Arial" w:hAnsi="Arial"/>
                <w:sz w:val="15"/>
                <w:szCs w:val="15"/>
                <w:color w:val="7B7C80"/>
              </w:rPr>
              <w:t>98,948</w:t>
            </w:r>
          </w:p>
        </w:tc>
        <w:tc>
          <w:tcPr>
            <w:tcW w:w="160" w:type="dxa"/>
            <w:vAlign w:val="bottom"/>
            <w:tcBorders>
              <w:bottom w:val="single" w:sz="8" w:color="009CCC"/>
            </w:tcBorders>
          </w:tcPr>
          <w:p>
            <w:pPr>
              <w:jc w:val="right"/>
              <w:spacing w:after="0"/>
              <w:rPr>
                <w:sz w:val="20"/>
                <w:szCs w:val="20"/>
                <w:color w:val="auto"/>
              </w:rPr>
            </w:pPr>
            <w:r>
              <w:rPr>
                <w:rFonts w:ascii="Arial" w:cs="Arial" w:eastAsia="Arial" w:hAnsi="Arial"/>
                <w:sz w:val="15"/>
                <w:szCs w:val="15"/>
                <w:color w:val="7B7C80"/>
              </w:rPr>
              <w:t>$</w:t>
            </w:r>
          </w:p>
        </w:tc>
        <w:tc>
          <w:tcPr>
            <w:tcW w:w="680" w:type="dxa"/>
            <w:vAlign w:val="bottom"/>
            <w:tcBorders>
              <w:bottom w:val="single" w:sz="8" w:color="009CCC"/>
            </w:tcBorders>
          </w:tcPr>
          <w:p>
            <w:pPr>
              <w:jc w:val="right"/>
              <w:spacing w:after="0"/>
              <w:rPr>
                <w:sz w:val="20"/>
                <w:szCs w:val="20"/>
                <w:color w:val="auto"/>
              </w:rPr>
            </w:pPr>
            <w:r>
              <w:rPr>
                <w:rFonts w:ascii="Arial" w:cs="Arial" w:eastAsia="Arial" w:hAnsi="Arial"/>
                <w:sz w:val="15"/>
                <w:szCs w:val="15"/>
                <w:color w:val="7B7C80"/>
                <w:w w:val="98"/>
              </w:rPr>
              <w:t>1,885,800</w:t>
            </w:r>
          </w:p>
        </w:tc>
        <w:tc>
          <w:tcPr>
            <w:tcW w:w="1260" w:type="dxa"/>
            <w:vAlign w:val="bottom"/>
            <w:tcBorders>
              <w:bottom w:val="single" w:sz="8" w:color="009CCC"/>
            </w:tcBorders>
            <w:gridSpan w:val="2"/>
          </w:tcPr>
          <w:p>
            <w:pPr>
              <w:jc w:val="right"/>
              <w:ind w:right="79"/>
              <w:spacing w:after="0"/>
              <w:rPr>
                <w:sz w:val="20"/>
                <w:szCs w:val="20"/>
                <w:color w:val="auto"/>
              </w:rPr>
            </w:pPr>
            <w:r>
              <w:rPr>
                <w:rFonts w:ascii="Arial" w:cs="Arial" w:eastAsia="Arial" w:hAnsi="Arial"/>
                <w:sz w:val="15"/>
                <w:szCs w:val="15"/>
                <w:color w:val="7B7C80"/>
              </w:rPr>
              <w:t>35,864</w:t>
            </w:r>
          </w:p>
        </w:tc>
        <w:tc>
          <w:tcPr>
            <w:tcW w:w="220" w:type="dxa"/>
            <w:vAlign w:val="bottom"/>
            <w:tcBorders>
              <w:bottom w:val="single" w:sz="8" w:color="009CCC"/>
            </w:tcBorders>
          </w:tcPr>
          <w:p>
            <w:pPr>
              <w:jc w:val="right"/>
              <w:spacing w:after="0"/>
              <w:rPr>
                <w:sz w:val="20"/>
                <w:szCs w:val="20"/>
                <w:color w:val="auto"/>
              </w:rPr>
            </w:pPr>
            <w:r>
              <w:rPr>
                <w:rFonts w:ascii="Arial" w:cs="Arial" w:eastAsia="Arial" w:hAnsi="Arial"/>
                <w:sz w:val="15"/>
                <w:szCs w:val="15"/>
                <w:color w:val="7B7C80"/>
              </w:rPr>
              <w:t>$</w:t>
            </w:r>
          </w:p>
        </w:tc>
        <w:tc>
          <w:tcPr>
            <w:tcW w:w="840" w:type="dxa"/>
            <w:vAlign w:val="bottom"/>
            <w:tcBorders>
              <w:bottom w:val="single" w:sz="8" w:color="009CCC"/>
            </w:tcBorders>
          </w:tcPr>
          <w:p>
            <w:pPr>
              <w:jc w:val="right"/>
              <w:spacing w:after="0" w:line="198" w:lineRule="exact"/>
              <w:rPr>
                <w:sz w:val="20"/>
                <w:szCs w:val="20"/>
                <w:color w:val="auto"/>
              </w:rPr>
            </w:pPr>
            <w:r>
              <w:rPr>
                <w:rFonts w:ascii="Arial" w:cs="Arial" w:eastAsia="Arial" w:hAnsi="Arial"/>
                <w:sz w:val="14"/>
                <w:szCs w:val="14"/>
                <w:color w:val="7B7C80"/>
                <w:w w:val="99"/>
              </w:rPr>
              <w:t>2,389,659</w:t>
            </w:r>
            <w:r>
              <w:rPr>
                <w:rFonts w:ascii="Arial" w:cs="Arial" w:eastAsia="Arial" w:hAnsi="Arial"/>
                <w:sz w:val="22"/>
                <w:szCs w:val="22"/>
                <w:color w:val="7B7C80"/>
                <w:w w:val="99"/>
                <w:vertAlign w:val="superscript"/>
              </w:rPr>
              <w:t>(3)</w:t>
            </w:r>
          </w:p>
        </w:tc>
        <w:tc>
          <w:tcPr>
            <w:tcW w:w="0" w:type="dxa"/>
            <w:vAlign w:val="bottom"/>
          </w:tcPr>
          <w:p>
            <w:pPr>
              <w:spacing w:after="0"/>
              <w:rPr>
                <w:sz w:val="1"/>
                <w:szCs w:val="1"/>
                <w:color w:val="auto"/>
              </w:rPr>
            </w:pPr>
          </w:p>
        </w:tc>
      </w:tr>
    </w:tbl>
    <w:p>
      <w:pPr>
        <w:spacing w:after="0" w:line="187" w:lineRule="exact"/>
        <w:rPr>
          <w:sz w:val="20"/>
          <w:szCs w:val="20"/>
          <w:color w:val="auto"/>
        </w:rPr>
      </w:pPr>
    </w:p>
    <w:p>
      <w:pPr>
        <w:ind w:left="1600" w:hanging="464"/>
        <w:spacing w:after="0"/>
        <w:tabs>
          <w:tab w:leader="none" w:pos="1600" w:val="left"/>
        </w:tabs>
        <w:numPr>
          <w:ilvl w:val="0"/>
          <w:numId w:val="56"/>
        </w:numPr>
        <w:rPr>
          <w:rFonts w:ascii="Arial" w:cs="Arial" w:eastAsia="Arial" w:hAnsi="Arial"/>
          <w:sz w:val="12"/>
          <w:szCs w:val="12"/>
          <w:color w:val="7B7C80"/>
        </w:rPr>
      </w:pPr>
      <w:r>
        <w:rPr>
          <w:rFonts w:ascii="Arial" w:cs="Arial" w:eastAsia="Arial" w:hAnsi="Arial"/>
          <w:sz w:val="12"/>
          <w:szCs w:val="12"/>
          <w:color w:val="7B7C80"/>
        </w:rPr>
        <w:t>Represents the difference between the market price of the underlying shares of Common Stock on the date of exercise and the exercise price of the exercised option.</w:t>
      </w:r>
    </w:p>
    <w:p>
      <w:pPr>
        <w:spacing w:after="0" w:line="136" w:lineRule="exact"/>
        <w:rPr>
          <w:rFonts w:ascii="Arial" w:cs="Arial" w:eastAsia="Arial" w:hAnsi="Arial"/>
          <w:sz w:val="12"/>
          <w:szCs w:val="12"/>
          <w:color w:val="7B7C80"/>
        </w:rPr>
      </w:pPr>
    </w:p>
    <w:p>
      <w:pPr>
        <w:ind w:left="1600" w:hanging="464"/>
        <w:spacing w:after="0" w:line="253" w:lineRule="auto"/>
        <w:tabs>
          <w:tab w:leader="none" w:pos="1600" w:val="left"/>
        </w:tabs>
        <w:numPr>
          <w:ilvl w:val="0"/>
          <w:numId w:val="56"/>
        </w:numPr>
        <w:rPr>
          <w:rFonts w:ascii="Arial" w:cs="Arial" w:eastAsia="Arial" w:hAnsi="Arial"/>
          <w:sz w:val="12"/>
          <w:szCs w:val="12"/>
          <w:color w:val="7B7C80"/>
        </w:rPr>
      </w:pPr>
      <w:r>
        <w:rPr>
          <w:rFonts w:ascii="Arial" w:cs="Arial" w:eastAsia="Arial" w:hAnsi="Arial"/>
          <w:sz w:val="12"/>
          <w:szCs w:val="12"/>
          <w:color w:val="7B7C80"/>
        </w:rPr>
        <w:t>Represents the market value of PSUs granted in 2015 that settled on February 26, 2018, at $63.98 upon Committee approval of the final performance modifier of 100%. The actual payout was determined applying negative discretion.</w:t>
      </w:r>
    </w:p>
    <w:p>
      <w:pPr>
        <w:spacing w:after="0" w:line="121" w:lineRule="exact"/>
        <w:rPr>
          <w:rFonts w:ascii="Arial" w:cs="Arial" w:eastAsia="Arial" w:hAnsi="Arial"/>
          <w:sz w:val="12"/>
          <w:szCs w:val="12"/>
          <w:color w:val="7B7C80"/>
        </w:rPr>
      </w:pPr>
    </w:p>
    <w:p>
      <w:pPr>
        <w:ind w:left="1600" w:hanging="464"/>
        <w:spacing w:after="0"/>
        <w:tabs>
          <w:tab w:leader="none" w:pos="1600" w:val="left"/>
        </w:tabs>
        <w:numPr>
          <w:ilvl w:val="0"/>
          <w:numId w:val="56"/>
        </w:numPr>
        <w:rPr>
          <w:rFonts w:ascii="Arial" w:cs="Arial" w:eastAsia="Arial" w:hAnsi="Arial"/>
          <w:sz w:val="12"/>
          <w:szCs w:val="12"/>
          <w:color w:val="7B7C80"/>
        </w:rPr>
      </w:pPr>
      <w:r>
        <w:rPr>
          <w:rFonts w:ascii="Arial" w:cs="Arial" w:eastAsia="Arial" w:hAnsi="Arial"/>
          <w:sz w:val="12"/>
          <w:szCs w:val="12"/>
          <w:color w:val="7B7C80"/>
        </w:rPr>
        <w:t>Includes one-time recognition/retention RSUs granted in 2015 and settled on November 24, 2017, at $68.65.</w:t>
      </w:r>
    </w:p>
    <w:p>
      <w:pPr>
        <w:spacing w:after="0" w:line="163"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CEO Pay Ratio</w:t>
      </w:r>
    </w:p>
    <w:p>
      <w:pPr>
        <w:spacing w:after="0" w:line="201"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In August 2015, pursuant to a mandate of the Dodd-Frank Wall Street Reform and Consumer Protection Act, the SEC adopted a rule requiring annual disclosure of the ratio of the Company's median employee's annual total compensation to the total annual compensation of the principal executive officer. Mr. Houston, Principal's Chairman, President and CEO, is the Company's principal executive officer.</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5"/>
          <w:szCs w:val="15"/>
          <w:color w:val="7B7C80"/>
        </w:rPr>
        <w:t>Median employee total annual compensation: $100,355</w:t>
      </w:r>
    </w:p>
    <w:p>
      <w:pPr>
        <w:ind w:left="440"/>
        <w:spacing w:after="0"/>
        <w:rPr>
          <w:sz w:val="20"/>
          <w:szCs w:val="20"/>
          <w:color w:val="auto"/>
        </w:rPr>
      </w:pPr>
      <w:r>
        <w:rPr>
          <w:rFonts w:ascii="Arial" w:cs="Arial" w:eastAsia="Arial" w:hAnsi="Arial"/>
          <w:sz w:val="15"/>
          <w:szCs w:val="15"/>
          <w:color w:val="7B7C80"/>
        </w:rPr>
        <w:t>Mr. Houston's total annual compensation: $11,958,735</w:t>
      </w:r>
    </w:p>
    <w:p>
      <w:pPr>
        <w:ind w:left="440"/>
        <w:spacing w:after="0"/>
        <w:rPr>
          <w:sz w:val="20"/>
          <w:szCs w:val="20"/>
          <w:color w:val="auto"/>
        </w:rPr>
      </w:pPr>
      <w:r>
        <w:rPr>
          <w:rFonts w:ascii="Arial" w:cs="Arial" w:eastAsia="Arial" w:hAnsi="Arial"/>
          <w:sz w:val="15"/>
          <w:szCs w:val="15"/>
          <w:color w:val="7B7C80"/>
        </w:rPr>
        <w:t>Ratio of CEO compensation to the Median Employee Compensation: 119:1</w:t>
      </w:r>
    </w:p>
    <w:p>
      <w:pPr>
        <w:spacing w:after="0" w:line="183"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In determining the median employee, we reviewed the base salary and bonus payments for all of Principal's U.S. employees and Career Agents, and employees in Chile, India and Mexico as of October 1, 2017. All compensation was converted to U.S. dollars, using the relevant exchange rate for any compensation paid in other currencies. Base salaries were annualized for full and part-time employees who were not employed for the full year of 2017. The value of the Company's 401(k) plan, pension plan, medical benefits and welfare benefits was included in determining the Company's median employee, who is in the U. S. Principal uses market data to establish pay ranges, and employee performance is considered when determining pay. On December 31, 2017, the Company employed 10,376 U.S. based employees, had 957 Career Agents (who are statutory employees and are paid commissions rather than base salary and bonuses) 1,930 employees in Chile, 1,322 employees in Mexico and 1,410 employees in India.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111760</wp:posOffset>
            </wp:positionV>
            <wp:extent cx="960120" cy="28384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6"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45</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48" w:name="page49"/>
    <w:bookmarkEnd w:id="48"/>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spacing w:after="0"/>
        <w:rPr>
          <w:sz w:val="20"/>
          <w:szCs w:val="20"/>
          <w:color w:val="auto"/>
        </w:rPr>
      </w:pPr>
      <w:r>
        <w:rPr>
          <w:rFonts w:ascii="Arial" w:cs="Arial" w:eastAsia="Arial" w:hAnsi="Arial"/>
          <w:sz w:val="14"/>
          <w:szCs w:val="14"/>
          <w:color w:val="7B7C80"/>
        </w:rPr>
        <w:t>Non-U.S. employees in other jurisdictions, who constitute less than five percent of the total number of employees, were not included in the calculation as permitted by the "De</w:t>
      </w:r>
    </w:p>
    <w:p>
      <w:pPr>
        <w:spacing w:after="0" w:line="11" w:lineRule="exact"/>
        <w:rPr>
          <w:sz w:val="20"/>
          <w:szCs w:val="20"/>
          <w:color w:val="auto"/>
        </w:rPr>
      </w:pPr>
    </w:p>
    <w:p>
      <w:pPr>
        <w:spacing w:after="0"/>
        <w:rPr>
          <w:sz w:val="20"/>
          <w:szCs w:val="20"/>
          <w:color w:val="auto"/>
        </w:rPr>
      </w:pPr>
      <w:r>
        <w:rPr>
          <w:rFonts w:ascii="Arial" w:cs="Arial" w:eastAsia="Arial" w:hAnsi="Arial"/>
          <w:sz w:val="15"/>
          <w:szCs w:val="15"/>
          <w:color w:val="7B7C80"/>
        </w:rPr>
        <w:t>Minimis Exemption" adjustment under SEC rules. As of December 31, 2017, the number of employees in these countries was:</w:t>
      </w:r>
    </w:p>
    <w:p>
      <w:pPr>
        <w:spacing w:after="0" w:line="332" w:lineRule="exact"/>
        <w:rPr>
          <w:sz w:val="20"/>
          <w:szCs w:val="20"/>
          <w:color w:val="auto"/>
        </w:rPr>
      </w:pPr>
    </w:p>
    <w:tbl>
      <w:tblPr>
        <w:tblLayout w:type="fixed"/>
        <w:tblInd w:w="2290" w:type="dxa"/>
        <w:tblCellMar>
          <w:top w:w="0" w:type="dxa"/>
          <w:left w:w="0" w:type="dxa"/>
          <w:bottom w:w="0" w:type="dxa"/>
          <w:right w:w="0" w:type="dxa"/>
        </w:tblCellMar>
      </w:tblPr>
      <w:tr>
        <w:trPr>
          <w:trHeight w:val="183"/>
        </w:trPr>
        <w:tc>
          <w:tcPr>
            <w:tcW w:w="5060" w:type="dxa"/>
            <w:vAlign w:val="bottom"/>
            <w:tcBorders>
              <w:top w:val="single" w:sz="8" w:color="7B7C80"/>
              <w:left w:val="single" w:sz="8" w:color="7B7C80"/>
              <w:bottom w:val="single" w:sz="8" w:color="7B7C80"/>
              <w:right w:val="single" w:sz="8" w:color="7B7C80"/>
            </w:tcBorders>
            <w:shd w:val="clear" w:color="auto" w:fill="E7E6E7"/>
          </w:tcPr>
          <w:p>
            <w:pPr>
              <w:ind w:left="2300"/>
              <w:spacing w:after="0"/>
              <w:rPr>
                <w:sz w:val="20"/>
                <w:szCs w:val="20"/>
                <w:color w:val="auto"/>
              </w:rPr>
            </w:pPr>
            <w:r>
              <w:rPr>
                <w:rFonts w:ascii="Arial" w:cs="Arial" w:eastAsia="Arial" w:hAnsi="Arial"/>
                <w:sz w:val="15"/>
                <w:szCs w:val="15"/>
                <w:color w:val="7B7C80"/>
              </w:rPr>
              <w:t>Australia</w:t>
            </w:r>
          </w:p>
        </w:tc>
        <w:tc>
          <w:tcPr>
            <w:tcW w:w="1820" w:type="dxa"/>
            <w:vAlign w:val="bottom"/>
            <w:tcBorders>
              <w:top w:val="single" w:sz="8" w:color="7B7C80"/>
              <w:bottom w:val="single" w:sz="8" w:color="7B7C80"/>
              <w:right w:val="single" w:sz="8" w:color="7B7C80"/>
            </w:tcBorders>
            <w:shd w:val="clear" w:color="auto" w:fill="E7E6E7"/>
          </w:tcPr>
          <w:p>
            <w:pPr>
              <w:ind w:left="80"/>
              <w:spacing w:after="0"/>
              <w:rPr>
                <w:sz w:val="20"/>
                <w:szCs w:val="20"/>
                <w:color w:val="auto"/>
              </w:rPr>
            </w:pPr>
            <w:r>
              <w:rPr>
                <w:rFonts w:ascii="Arial" w:cs="Arial" w:eastAsia="Arial" w:hAnsi="Arial"/>
                <w:sz w:val="15"/>
                <w:szCs w:val="15"/>
                <w:color w:val="7B7C80"/>
              </w:rPr>
              <w:t>20</w:t>
            </w:r>
          </w:p>
        </w:tc>
      </w:tr>
      <w:tr>
        <w:trPr>
          <w:trHeight w:val="163"/>
        </w:trPr>
        <w:tc>
          <w:tcPr>
            <w:tcW w:w="5060" w:type="dxa"/>
            <w:vAlign w:val="bottom"/>
            <w:tcBorders>
              <w:left w:val="single" w:sz="8" w:color="7B7C80"/>
              <w:bottom w:val="single" w:sz="8" w:color="7B7C80"/>
              <w:right w:val="single" w:sz="8" w:color="7B7C80"/>
            </w:tcBorders>
          </w:tcPr>
          <w:p>
            <w:pPr>
              <w:ind w:left="2300"/>
              <w:spacing w:after="0" w:line="164" w:lineRule="exact"/>
              <w:rPr>
                <w:sz w:val="20"/>
                <w:szCs w:val="20"/>
                <w:color w:val="auto"/>
              </w:rPr>
            </w:pPr>
            <w:r>
              <w:rPr>
                <w:rFonts w:ascii="Arial" w:cs="Arial" w:eastAsia="Arial" w:hAnsi="Arial"/>
                <w:sz w:val="15"/>
                <w:szCs w:val="15"/>
                <w:color w:val="7B7C80"/>
              </w:rPr>
              <w:t>Brazil</w:t>
            </w:r>
          </w:p>
        </w:tc>
        <w:tc>
          <w:tcPr>
            <w:tcW w:w="1820" w:type="dxa"/>
            <w:vAlign w:val="bottom"/>
            <w:tcBorders>
              <w:bottom w:val="single" w:sz="8" w:color="7B7C80"/>
              <w:right w:val="single" w:sz="8" w:color="7B7C80"/>
            </w:tcBorders>
          </w:tcPr>
          <w:p>
            <w:pPr>
              <w:ind w:left="80"/>
              <w:spacing w:after="0" w:line="164" w:lineRule="exact"/>
              <w:rPr>
                <w:sz w:val="20"/>
                <w:szCs w:val="20"/>
                <w:color w:val="auto"/>
              </w:rPr>
            </w:pPr>
            <w:r>
              <w:rPr>
                <w:rFonts w:ascii="Arial" w:cs="Arial" w:eastAsia="Arial" w:hAnsi="Arial"/>
                <w:sz w:val="15"/>
                <w:szCs w:val="15"/>
                <w:color w:val="7B7C80"/>
              </w:rPr>
              <w:t>59</w:t>
            </w:r>
          </w:p>
        </w:tc>
      </w:tr>
      <w:tr>
        <w:trPr>
          <w:trHeight w:val="163"/>
        </w:trPr>
        <w:tc>
          <w:tcPr>
            <w:tcW w:w="5060" w:type="dxa"/>
            <w:vAlign w:val="bottom"/>
            <w:tcBorders>
              <w:left w:val="single" w:sz="8" w:color="7B7C80"/>
              <w:bottom w:val="single" w:sz="8" w:color="7B7C80"/>
              <w:right w:val="single" w:sz="8" w:color="7B7C80"/>
            </w:tcBorders>
            <w:shd w:val="clear" w:color="auto" w:fill="E7E6E7"/>
          </w:tcPr>
          <w:p>
            <w:pPr>
              <w:ind w:left="2300"/>
              <w:spacing w:after="0" w:line="164" w:lineRule="exact"/>
              <w:rPr>
                <w:sz w:val="20"/>
                <w:szCs w:val="20"/>
                <w:color w:val="auto"/>
              </w:rPr>
            </w:pPr>
            <w:r>
              <w:rPr>
                <w:rFonts w:ascii="Arial" w:cs="Arial" w:eastAsia="Arial" w:hAnsi="Arial"/>
                <w:sz w:val="15"/>
                <w:szCs w:val="15"/>
                <w:color w:val="7B7C80"/>
              </w:rPr>
              <w:t>China</w:t>
            </w:r>
          </w:p>
        </w:tc>
        <w:tc>
          <w:tcPr>
            <w:tcW w:w="1820" w:type="dxa"/>
            <w:vAlign w:val="bottom"/>
            <w:tcBorders>
              <w:bottom w:val="single" w:sz="8" w:color="7B7C80"/>
              <w:right w:val="single" w:sz="8" w:color="7B7C80"/>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2</w:t>
            </w:r>
          </w:p>
        </w:tc>
      </w:tr>
      <w:tr>
        <w:trPr>
          <w:trHeight w:val="163"/>
        </w:trPr>
        <w:tc>
          <w:tcPr>
            <w:tcW w:w="5060" w:type="dxa"/>
            <w:vAlign w:val="bottom"/>
            <w:tcBorders>
              <w:left w:val="single" w:sz="8" w:color="7B7C80"/>
              <w:bottom w:val="single" w:sz="8" w:color="7B7C80"/>
              <w:right w:val="single" w:sz="8" w:color="7B7C80"/>
            </w:tcBorders>
          </w:tcPr>
          <w:p>
            <w:pPr>
              <w:ind w:left="2300"/>
              <w:spacing w:after="0" w:line="164" w:lineRule="exact"/>
              <w:rPr>
                <w:sz w:val="20"/>
                <w:szCs w:val="20"/>
                <w:color w:val="auto"/>
              </w:rPr>
            </w:pPr>
            <w:r>
              <w:rPr>
                <w:rFonts w:ascii="Arial" w:cs="Arial" w:eastAsia="Arial" w:hAnsi="Arial"/>
                <w:sz w:val="15"/>
                <w:szCs w:val="15"/>
                <w:color w:val="7B7C80"/>
              </w:rPr>
              <w:t>Europe</w:t>
            </w:r>
          </w:p>
        </w:tc>
        <w:tc>
          <w:tcPr>
            <w:tcW w:w="1820" w:type="dxa"/>
            <w:vAlign w:val="bottom"/>
            <w:tcBorders>
              <w:bottom w:val="single" w:sz="8" w:color="7B7C80"/>
              <w:right w:val="single" w:sz="8" w:color="7B7C80"/>
            </w:tcBorders>
          </w:tcPr>
          <w:p>
            <w:pPr>
              <w:ind w:left="80"/>
              <w:spacing w:after="0" w:line="164" w:lineRule="exact"/>
              <w:rPr>
                <w:sz w:val="20"/>
                <w:szCs w:val="20"/>
                <w:color w:val="auto"/>
              </w:rPr>
            </w:pPr>
            <w:r>
              <w:rPr>
                <w:rFonts w:ascii="Arial" w:cs="Arial" w:eastAsia="Arial" w:hAnsi="Arial"/>
                <w:sz w:val="15"/>
                <w:szCs w:val="15"/>
                <w:color w:val="7B7C80"/>
              </w:rPr>
              <w:t>79</w:t>
            </w:r>
          </w:p>
        </w:tc>
      </w:tr>
      <w:tr>
        <w:trPr>
          <w:trHeight w:val="163"/>
        </w:trPr>
        <w:tc>
          <w:tcPr>
            <w:tcW w:w="5060" w:type="dxa"/>
            <w:vAlign w:val="bottom"/>
            <w:tcBorders>
              <w:left w:val="single" w:sz="8" w:color="7B7C80"/>
              <w:bottom w:val="single" w:sz="8" w:color="7B7C80"/>
              <w:right w:val="single" w:sz="8" w:color="7B7C80"/>
            </w:tcBorders>
            <w:shd w:val="clear" w:color="auto" w:fill="E7E6E7"/>
          </w:tcPr>
          <w:p>
            <w:pPr>
              <w:ind w:left="2300"/>
              <w:spacing w:after="0" w:line="164" w:lineRule="exact"/>
              <w:rPr>
                <w:sz w:val="20"/>
                <w:szCs w:val="20"/>
                <w:color w:val="auto"/>
              </w:rPr>
            </w:pPr>
            <w:r>
              <w:rPr>
                <w:rFonts w:ascii="Arial" w:cs="Arial" w:eastAsia="Arial" w:hAnsi="Arial"/>
                <w:sz w:val="15"/>
                <w:szCs w:val="15"/>
                <w:color w:val="7B7C80"/>
              </w:rPr>
              <w:t>Germany</w:t>
            </w:r>
          </w:p>
        </w:tc>
        <w:tc>
          <w:tcPr>
            <w:tcW w:w="1820" w:type="dxa"/>
            <w:vAlign w:val="bottom"/>
            <w:tcBorders>
              <w:bottom w:val="single" w:sz="8" w:color="7B7C80"/>
              <w:right w:val="single" w:sz="8" w:color="7B7C80"/>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3</w:t>
            </w:r>
          </w:p>
        </w:tc>
      </w:tr>
      <w:tr>
        <w:trPr>
          <w:trHeight w:val="163"/>
        </w:trPr>
        <w:tc>
          <w:tcPr>
            <w:tcW w:w="5060" w:type="dxa"/>
            <w:vAlign w:val="bottom"/>
            <w:tcBorders>
              <w:left w:val="single" w:sz="8" w:color="7B7C80"/>
              <w:bottom w:val="single" w:sz="8" w:color="7B7C80"/>
              <w:right w:val="single" w:sz="8" w:color="7B7C80"/>
            </w:tcBorders>
          </w:tcPr>
          <w:p>
            <w:pPr>
              <w:ind w:left="2300"/>
              <w:spacing w:after="0" w:line="164" w:lineRule="exact"/>
              <w:rPr>
                <w:sz w:val="20"/>
                <w:szCs w:val="20"/>
                <w:color w:val="auto"/>
              </w:rPr>
            </w:pPr>
            <w:r>
              <w:rPr>
                <w:rFonts w:ascii="Arial" w:cs="Arial" w:eastAsia="Arial" w:hAnsi="Arial"/>
                <w:sz w:val="15"/>
                <w:szCs w:val="15"/>
                <w:color w:val="7B7C80"/>
              </w:rPr>
              <w:t>Hong Kong</w:t>
            </w:r>
          </w:p>
        </w:tc>
        <w:tc>
          <w:tcPr>
            <w:tcW w:w="1820" w:type="dxa"/>
            <w:vAlign w:val="bottom"/>
            <w:tcBorders>
              <w:bottom w:val="single" w:sz="8" w:color="7B7C80"/>
              <w:right w:val="single" w:sz="8" w:color="7B7C80"/>
            </w:tcBorders>
          </w:tcPr>
          <w:p>
            <w:pPr>
              <w:ind w:left="80"/>
              <w:spacing w:after="0" w:line="164" w:lineRule="exact"/>
              <w:rPr>
                <w:sz w:val="20"/>
                <w:szCs w:val="20"/>
                <w:color w:val="auto"/>
              </w:rPr>
            </w:pPr>
            <w:r>
              <w:rPr>
                <w:rFonts w:ascii="Arial" w:cs="Arial" w:eastAsia="Arial" w:hAnsi="Arial"/>
                <w:sz w:val="15"/>
                <w:szCs w:val="15"/>
                <w:color w:val="7B7C80"/>
              </w:rPr>
              <w:t>331</w:t>
            </w:r>
          </w:p>
        </w:tc>
      </w:tr>
      <w:tr>
        <w:trPr>
          <w:trHeight w:val="163"/>
        </w:trPr>
        <w:tc>
          <w:tcPr>
            <w:tcW w:w="5060" w:type="dxa"/>
            <w:vAlign w:val="bottom"/>
            <w:tcBorders>
              <w:left w:val="single" w:sz="8" w:color="7B7C80"/>
              <w:bottom w:val="single" w:sz="8" w:color="7B7C80"/>
              <w:right w:val="single" w:sz="8" w:color="7B7C80"/>
            </w:tcBorders>
            <w:shd w:val="clear" w:color="auto" w:fill="E7E6E7"/>
          </w:tcPr>
          <w:p>
            <w:pPr>
              <w:ind w:left="2300"/>
              <w:spacing w:after="0" w:line="164" w:lineRule="exact"/>
              <w:rPr>
                <w:sz w:val="20"/>
                <w:szCs w:val="20"/>
                <w:color w:val="auto"/>
              </w:rPr>
            </w:pPr>
            <w:r>
              <w:rPr>
                <w:rFonts w:ascii="Arial" w:cs="Arial" w:eastAsia="Arial" w:hAnsi="Arial"/>
                <w:sz w:val="15"/>
                <w:szCs w:val="15"/>
                <w:color w:val="7B7C80"/>
              </w:rPr>
              <w:t>Japan</w:t>
            </w:r>
          </w:p>
        </w:tc>
        <w:tc>
          <w:tcPr>
            <w:tcW w:w="1820" w:type="dxa"/>
            <w:vAlign w:val="bottom"/>
            <w:tcBorders>
              <w:bottom w:val="single" w:sz="8" w:color="7B7C80"/>
              <w:right w:val="single" w:sz="8" w:color="7B7C80"/>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29</w:t>
            </w:r>
          </w:p>
        </w:tc>
      </w:tr>
      <w:tr>
        <w:trPr>
          <w:trHeight w:val="163"/>
        </w:trPr>
        <w:tc>
          <w:tcPr>
            <w:tcW w:w="5060" w:type="dxa"/>
            <w:vAlign w:val="bottom"/>
            <w:tcBorders>
              <w:left w:val="single" w:sz="8" w:color="7B7C80"/>
              <w:bottom w:val="single" w:sz="8" w:color="7B7C80"/>
              <w:right w:val="single" w:sz="8" w:color="7B7C80"/>
            </w:tcBorders>
          </w:tcPr>
          <w:p>
            <w:pPr>
              <w:ind w:left="2300"/>
              <w:spacing w:after="0" w:line="164" w:lineRule="exact"/>
              <w:rPr>
                <w:sz w:val="20"/>
                <w:szCs w:val="20"/>
                <w:color w:val="auto"/>
              </w:rPr>
            </w:pPr>
            <w:r>
              <w:rPr>
                <w:rFonts w:ascii="Arial" w:cs="Arial" w:eastAsia="Arial" w:hAnsi="Arial"/>
                <w:sz w:val="15"/>
                <w:szCs w:val="15"/>
                <w:color w:val="7B7C80"/>
              </w:rPr>
              <w:t>Middle East</w:t>
            </w:r>
          </w:p>
        </w:tc>
        <w:tc>
          <w:tcPr>
            <w:tcW w:w="1820" w:type="dxa"/>
            <w:vAlign w:val="bottom"/>
            <w:tcBorders>
              <w:bottom w:val="single" w:sz="8" w:color="7B7C80"/>
              <w:right w:val="single" w:sz="8" w:color="7B7C80"/>
            </w:tcBorders>
          </w:tcPr>
          <w:p>
            <w:pPr>
              <w:ind w:left="80"/>
              <w:spacing w:after="0" w:line="164" w:lineRule="exact"/>
              <w:rPr>
                <w:sz w:val="20"/>
                <w:szCs w:val="20"/>
                <w:color w:val="auto"/>
              </w:rPr>
            </w:pPr>
            <w:r>
              <w:rPr>
                <w:rFonts w:ascii="Arial" w:cs="Arial" w:eastAsia="Arial" w:hAnsi="Arial"/>
                <w:sz w:val="15"/>
                <w:szCs w:val="15"/>
                <w:color w:val="7B7C80"/>
              </w:rPr>
              <w:t>5</w:t>
            </w:r>
          </w:p>
        </w:tc>
      </w:tr>
      <w:tr>
        <w:trPr>
          <w:trHeight w:val="163"/>
        </w:trPr>
        <w:tc>
          <w:tcPr>
            <w:tcW w:w="5060" w:type="dxa"/>
            <w:vAlign w:val="bottom"/>
            <w:tcBorders>
              <w:left w:val="single" w:sz="8" w:color="7B7C80"/>
              <w:bottom w:val="single" w:sz="8" w:color="7B7C80"/>
              <w:right w:val="single" w:sz="8" w:color="7B7C80"/>
            </w:tcBorders>
            <w:shd w:val="clear" w:color="auto" w:fill="E7E6E7"/>
          </w:tcPr>
          <w:p>
            <w:pPr>
              <w:ind w:left="2300"/>
              <w:spacing w:after="0" w:line="164" w:lineRule="exact"/>
              <w:rPr>
                <w:sz w:val="20"/>
                <w:szCs w:val="20"/>
                <w:color w:val="auto"/>
              </w:rPr>
            </w:pPr>
            <w:r>
              <w:rPr>
                <w:rFonts w:ascii="Arial" w:cs="Arial" w:eastAsia="Arial" w:hAnsi="Arial"/>
                <w:sz w:val="15"/>
                <w:szCs w:val="15"/>
                <w:color w:val="7B7C80"/>
              </w:rPr>
              <w:t>Netherlands</w:t>
            </w:r>
          </w:p>
        </w:tc>
        <w:tc>
          <w:tcPr>
            <w:tcW w:w="1820" w:type="dxa"/>
            <w:vAlign w:val="bottom"/>
            <w:tcBorders>
              <w:bottom w:val="single" w:sz="8" w:color="7B7C80"/>
              <w:right w:val="single" w:sz="8" w:color="7B7C80"/>
            </w:tcBorders>
            <w:shd w:val="clear" w:color="auto" w:fill="E7E6E7"/>
          </w:tcPr>
          <w:p>
            <w:pPr>
              <w:ind w:left="80"/>
              <w:spacing w:after="0" w:line="164" w:lineRule="exact"/>
              <w:rPr>
                <w:sz w:val="20"/>
                <w:szCs w:val="20"/>
                <w:color w:val="auto"/>
              </w:rPr>
            </w:pPr>
            <w:r>
              <w:rPr>
                <w:rFonts w:ascii="Arial" w:cs="Arial" w:eastAsia="Arial" w:hAnsi="Arial"/>
                <w:sz w:val="15"/>
                <w:szCs w:val="15"/>
                <w:color w:val="7B7C80"/>
              </w:rPr>
              <w:t>3</w:t>
            </w:r>
          </w:p>
        </w:tc>
      </w:tr>
      <w:tr>
        <w:trPr>
          <w:trHeight w:val="163"/>
        </w:trPr>
        <w:tc>
          <w:tcPr>
            <w:tcW w:w="5060" w:type="dxa"/>
            <w:vAlign w:val="bottom"/>
            <w:tcBorders>
              <w:left w:val="single" w:sz="8" w:color="7B7C80"/>
              <w:bottom w:val="single" w:sz="8" w:color="7B7C80"/>
              <w:right w:val="single" w:sz="8" w:color="7B7C80"/>
            </w:tcBorders>
          </w:tcPr>
          <w:p>
            <w:pPr>
              <w:ind w:left="2300"/>
              <w:spacing w:after="0" w:line="164" w:lineRule="exact"/>
              <w:rPr>
                <w:sz w:val="20"/>
                <w:szCs w:val="20"/>
                <w:color w:val="auto"/>
              </w:rPr>
            </w:pPr>
            <w:r>
              <w:rPr>
                <w:rFonts w:ascii="Arial" w:cs="Arial" w:eastAsia="Arial" w:hAnsi="Arial"/>
                <w:sz w:val="15"/>
                <w:szCs w:val="15"/>
                <w:color w:val="7B7C80"/>
              </w:rPr>
              <w:t>Singapore</w:t>
            </w:r>
          </w:p>
        </w:tc>
        <w:tc>
          <w:tcPr>
            <w:tcW w:w="1820" w:type="dxa"/>
            <w:vAlign w:val="bottom"/>
            <w:tcBorders>
              <w:bottom w:val="single" w:sz="8" w:color="7B7C80"/>
              <w:right w:val="single" w:sz="8" w:color="7B7C80"/>
            </w:tcBorders>
          </w:tcPr>
          <w:p>
            <w:pPr>
              <w:ind w:left="80"/>
              <w:spacing w:after="0" w:line="164" w:lineRule="exact"/>
              <w:rPr>
                <w:sz w:val="20"/>
                <w:szCs w:val="20"/>
                <w:color w:val="auto"/>
              </w:rPr>
            </w:pPr>
            <w:r>
              <w:rPr>
                <w:rFonts w:ascii="Arial" w:cs="Arial" w:eastAsia="Arial" w:hAnsi="Arial"/>
                <w:sz w:val="15"/>
                <w:szCs w:val="15"/>
                <w:color w:val="7B7C80"/>
              </w:rPr>
              <w:t>28</w:t>
            </w:r>
          </w:p>
        </w:tc>
      </w:tr>
    </w:tbl>
    <w:p>
      <w:pPr>
        <w:spacing w:after="0" w:line="186" w:lineRule="exact"/>
        <w:rPr>
          <w:sz w:val="20"/>
          <w:szCs w:val="20"/>
          <w:color w:val="auto"/>
        </w:rPr>
      </w:pPr>
    </w:p>
    <w:p>
      <w:pPr>
        <w:ind w:right="20"/>
        <w:spacing w:after="0" w:line="247" w:lineRule="auto"/>
        <w:rPr>
          <w:sz w:val="20"/>
          <w:szCs w:val="20"/>
          <w:color w:val="auto"/>
        </w:rPr>
      </w:pPr>
      <w:r>
        <w:rPr>
          <w:rFonts w:ascii="Arial" w:cs="Arial" w:eastAsia="Arial" w:hAnsi="Arial"/>
          <w:sz w:val="15"/>
          <w:szCs w:val="15"/>
          <w:color w:val="7B7C80"/>
        </w:rPr>
        <w:t>The pay ratio is not used for determining compensation. The Company's pay ratio may not be comparable to the pay ratios of other companies as they may have different employment and compensation practices and may use different methods, estimates and assumptions for calculating their pay ratios.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3195320</wp:posOffset>
            </wp:positionH>
            <wp:positionV relativeFrom="paragraph">
              <wp:posOffset>107315</wp:posOffset>
            </wp:positionV>
            <wp:extent cx="960120" cy="28384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9"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46</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49" w:name="page50"/>
    <w:bookmarkEnd w:id="4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Pension Plan Information</w:t>
      </w:r>
    </w:p>
    <w:p>
      <w:pPr>
        <w:spacing w:after="0" w:line="178" w:lineRule="exact"/>
        <w:rPr>
          <w:sz w:val="20"/>
          <w:szCs w:val="20"/>
          <w:color w:val="auto"/>
        </w:rPr>
      </w:pPr>
    </w:p>
    <w:tbl>
      <w:tblPr>
        <w:tblLayout w:type="fixed"/>
        <w:tblInd w:w="10" w:type="dxa"/>
        <w:tblCellMar>
          <w:top w:w="0" w:type="dxa"/>
          <w:left w:w="0" w:type="dxa"/>
          <w:bottom w:w="0" w:type="dxa"/>
          <w:right w:w="0" w:type="dxa"/>
        </w:tblCellMar>
      </w:tblPr>
      <w:tr>
        <w:trPr>
          <w:trHeight w:val="183"/>
        </w:trPr>
        <w:tc>
          <w:tcPr>
            <w:tcW w:w="7840" w:type="dxa"/>
            <w:vAlign w:val="bottom"/>
            <w:tcBorders>
              <w:top w:val="single" w:sz="8" w:color="7B7C80"/>
              <w:left w:val="single" w:sz="8" w:color="7B7C80"/>
              <w:bottom w:val="single" w:sz="8" w:color="7B7C80"/>
              <w:right w:val="single" w:sz="8" w:color="7B7C80"/>
            </w:tcBorders>
          </w:tcPr>
          <w:p>
            <w:pPr>
              <w:ind w:left="3440"/>
              <w:spacing w:after="0"/>
              <w:rPr>
                <w:sz w:val="20"/>
                <w:szCs w:val="20"/>
                <w:color w:val="auto"/>
              </w:rPr>
            </w:pPr>
            <w:r>
              <w:rPr>
                <w:rFonts w:ascii="Arial" w:cs="Arial" w:eastAsia="Arial" w:hAnsi="Arial"/>
                <w:sz w:val="12"/>
                <w:szCs w:val="12"/>
                <w:b w:val="1"/>
                <w:bCs w:val="1"/>
                <w:color w:val="009CCC"/>
              </w:rPr>
              <w:t>Participant Group</w:t>
            </w:r>
          </w:p>
        </w:tc>
        <w:tc>
          <w:tcPr>
            <w:tcW w:w="260" w:type="dxa"/>
            <w:vAlign w:val="bottom"/>
            <w:tcBorders>
              <w:top w:val="single" w:sz="8" w:color="7B7C80"/>
              <w:bottom w:val="single" w:sz="8" w:color="7B7C80"/>
            </w:tcBorders>
          </w:tcPr>
          <w:p>
            <w:pPr>
              <w:spacing w:after="0"/>
              <w:rPr>
                <w:sz w:val="15"/>
                <w:szCs w:val="15"/>
                <w:color w:val="auto"/>
              </w:rPr>
            </w:pPr>
          </w:p>
        </w:tc>
        <w:tc>
          <w:tcPr>
            <w:tcW w:w="20" w:type="dxa"/>
            <w:vAlign w:val="bottom"/>
            <w:tcBorders>
              <w:top w:val="single" w:sz="8" w:color="7B7C80"/>
              <w:bottom w:val="single" w:sz="8" w:color="7B7C80"/>
            </w:tcBorders>
          </w:tcPr>
          <w:p>
            <w:pPr>
              <w:spacing w:after="0"/>
              <w:rPr>
                <w:sz w:val="15"/>
                <w:szCs w:val="15"/>
                <w:color w:val="auto"/>
              </w:rPr>
            </w:pPr>
          </w:p>
        </w:tc>
        <w:tc>
          <w:tcPr>
            <w:tcW w:w="80" w:type="dxa"/>
            <w:vAlign w:val="bottom"/>
            <w:tcBorders>
              <w:top w:val="single" w:sz="8" w:color="7B7C80"/>
              <w:bottom w:val="single" w:sz="8" w:color="7B7C80"/>
            </w:tcBorders>
          </w:tcPr>
          <w:p>
            <w:pPr>
              <w:spacing w:after="0"/>
              <w:rPr>
                <w:sz w:val="15"/>
                <w:szCs w:val="15"/>
                <w:color w:val="auto"/>
              </w:rPr>
            </w:pPr>
          </w:p>
        </w:tc>
        <w:tc>
          <w:tcPr>
            <w:tcW w:w="740" w:type="dxa"/>
            <w:vAlign w:val="bottom"/>
            <w:tcBorders>
              <w:top w:val="single" w:sz="8" w:color="7B7C80"/>
              <w:bottom w:val="single" w:sz="8" w:color="7B7C80"/>
            </w:tcBorders>
          </w:tcPr>
          <w:p>
            <w:pPr>
              <w:spacing w:after="0"/>
              <w:rPr>
                <w:sz w:val="15"/>
                <w:szCs w:val="15"/>
                <w:color w:val="auto"/>
              </w:rPr>
            </w:pPr>
          </w:p>
        </w:tc>
        <w:tc>
          <w:tcPr>
            <w:tcW w:w="1540" w:type="dxa"/>
            <w:vAlign w:val="bottom"/>
            <w:tcBorders>
              <w:top w:val="single" w:sz="8" w:color="7B7C80"/>
              <w:bottom w:val="single" w:sz="8" w:color="7B7C80"/>
            </w:tcBorders>
            <w:gridSpan w:val="4"/>
          </w:tcPr>
          <w:p>
            <w:pPr>
              <w:jc w:val="right"/>
              <w:spacing w:after="0"/>
              <w:rPr>
                <w:sz w:val="20"/>
                <w:szCs w:val="20"/>
                <w:color w:val="auto"/>
              </w:rPr>
            </w:pPr>
            <w:r>
              <w:rPr>
                <w:rFonts w:ascii="Arial" w:cs="Arial" w:eastAsia="Arial" w:hAnsi="Arial"/>
                <w:sz w:val="12"/>
                <w:szCs w:val="12"/>
                <w:b w:val="1"/>
                <w:bCs w:val="1"/>
                <w:color w:val="009CCC"/>
              </w:rPr>
              <w:t>Pension Benefit Formula</w:t>
            </w:r>
          </w:p>
        </w:tc>
        <w:tc>
          <w:tcPr>
            <w:tcW w:w="600" w:type="dxa"/>
            <w:vAlign w:val="bottom"/>
            <w:tcBorders>
              <w:top w:val="single" w:sz="8" w:color="7B7C80"/>
              <w:bottom w:val="single" w:sz="8" w:color="7B7C80"/>
            </w:tcBorders>
          </w:tcPr>
          <w:p>
            <w:pPr>
              <w:spacing w:after="0"/>
              <w:rPr>
                <w:sz w:val="15"/>
                <w:szCs w:val="15"/>
                <w:color w:val="auto"/>
              </w:rPr>
            </w:pPr>
          </w:p>
        </w:tc>
        <w:tc>
          <w:tcPr>
            <w:tcW w:w="180" w:type="dxa"/>
            <w:vAlign w:val="bottom"/>
            <w:tcBorders>
              <w:top w:val="single" w:sz="8" w:color="7B7C80"/>
              <w:bottom w:val="single" w:sz="8" w:color="7B7C80"/>
            </w:tcBorders>
          </w:tcPr>
          <w:p>
            <w:pPr>
              <w:spacing w:after="0"/>
              <w:rPr>
                <w:sz w:val="15"/>
                <w:szCs w:val="15"/>
                <w:color w:val="auto"/>
              </w:rPr>
            </w:pPr>
          </w:p>
        </w:tc>
        <w:tc>
          <w:tcPr>
            <w:tcW w:w="80" w:type="dxa"/>
            <w:vAlign w:val="bottom"/>
            <w:tcBorders>
              <w:top w:val="single" w:sz="8" w:color="7B7C80"/>
              <w:bottom w:val="single" w:sz="8" w:color="7B7C80"/>
            </w:tcBorders>
          </w:tcPr>
          <w:p>
            <w:pPr>
              <w:spacing w:after="0"/>
              <w:rPr>
                <w:sz w:val="15"/>
                <w:szCs w:val="15"/>
                <w:color w:val="auto"/>
              </w:rPr>
            </w:pPr>
          </w:p>
        </w:tc>
        <w:tc>
          <w:tcPr>
            <w:tcW w:w="20" w:type="dxa"/>
            <w:vAlign w:val="bottom"/>
            <w:tcBorders>
              <w:top w:val="single" w:sz="8" w:color="7B7C80"/>
              <w:bottom w:val="single" w:sz="8" w:color="7B7C80"/>
            </w:tcBorders>
          </w:tcPr>
          <w:p>
            <w:pPr>
              <w:spacing w:after="0"/>
              <w:rPr>
                <w:sz w:val="15"/>
                <w:szCs w:val="15"/>
                <w:color w:val="auto"/>
              </w:rPr>
            </w:pPr>
          </w:p>
        </w:tc>
        <w:tc>
          <w:tcPr>
            <w:tcW w:w="80" w:type="dxa"/>
            <w:vAlign w:val="bottom"/>
            <w:tcBorders>
              <w:top w:val="single" w:sz="8" w:color="7B7C80"/>
              <w:bottom w:val="single" w:sz="8" w:color="7B7C80"/>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140"/>
        </w:trPr>
        <w:tc>
          <w:tcPr>
            <w:tcW w:w="7840" w:type="dxa"/>
            <w:vAlign w:val="bottom"/>
            <w:tcBorders>
              <w:left w:val="single" w:sz="8" w:color="7B7C80"/>
              <w:right w:val="single" w:sz="8" w:color="7B7C80"/>
            </w:tcBorders>
          </w:tcPr>
          <w:p>
            <w:pPr>
              <w:ind w:left="80"/>
              <w:spacing w:after="0" w:line="141" w:lineRule="exact"/>
              <w:rPr>
                <w:sz w:val="20"/>
                <w:szCs w:val="20"/>
                <w:color w:val="auto"/>
              </w:rPr>
            </w:pPr>
            <w:r>
              <w:rPr>
                <w:rFonts w:ascii="Arial" w:cs="Arial" w:eastAsia="Arial" w:hAnsi="Arial"/>
                <w:sz w:val="15"/>
                <w:szCs w:val="15"/>
                <w:b w:val="1"/>
                <w:bCs w:val="1"/>
                <w:color w:val="7B7C80"/>
              </w:rPr>
              <w:t>Grandfathered</w:t>
            </w:r>
          </w:p>
        </w:tc>
        <w:tc>
          <w:tcPr>
            <w:tcW w:w="260" w:type="dxa"/>
            <w:vAlign w:val="bottom"/>
          </w:tcPr>
          <w:p>
            <w:pPr>
              <w:spacing w:after="0"/>
              <w:rPr>
                <w:sz w:val="12"/>
                <w:szCs w:val="12"/>
                <w:color w:val="auto"/>
              </w:rPr>
            </w:pPr>
          </w:p>
        </w:tc>
        <w:tc>
          <w:tcPr>
            <w:tcW w:w="3160" w:type="dxa"/>
            <w:vAlign w:val="bottom"/>
            <w:gridSpan w:val="9"/>
          </w:tcPr>
          <w:p>
            <w:pPr>
              <w:spacing w:after="0" w:line="141" w:lineRule="exact"/>
              <w:rPr>
                <w:sz w:val="20"/>
                <w:szCs w:val="20"/>
                <w:color w:val="auto"/>
              </w:rPr>
            </w:pPr>
            <w:r>
              <w:rPr>
                <w:rFonts w:ascii="Arial" w:cs="Arial" w:eastAsia="Arial" w:hAnsi="Arial"/>
                <w:sz w:val="15"/>
                <w:szCs w:val="15"/>
                <w:b w:val="1"/>
                <w:bCs w:val="1"/>
                <w:color w:val="7B7C80"/>
              </w:rPr>
              <w:t>Defined Benefit Plan (Traditional Formula)</w:t>
            </w: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7840" w:type="dxa"/>
            <w:vAlign w:val="bottom"/>
            <w:tcBorders>
              <w:left w:val="single" w:sz="8" w:color="7B7C80"/>
              <w:right w:val="single" w:sz="8" w:color="7B7C80"/>
            </w:tcBorders>
            <w:vMerge w:val="restart"/>
          </w:tcPr>
          <w:p>
            <w:pPr>
              <w:ind w:left="80"/>
              <w:spacing w:after="0"/>
              <w:rPr>
                <w:sz w:val="20"/>
                <w:szCs w:val="20"/>
                <w:color w:val="auto"/>
              </w:rPr>
            </w:pPr>
            <w:r>
              <w:rPr>
                <w:rFonts w:ascii="Arial" w:cs="Arial" w:eastAsia="Arial" w:hAnsi="Arial"/>
                <w:sz w:val="15"/>
                <w:szCs w:val="15"/>
                <w:b w:val="1"/>
                <w:bCs w:val="1"/>
                <w:color w:val="7B7C80"/>
              </w:rPr>
              <w:t>Participants</w:t>
            </w:r>
          </w:p>
        </w:tc>
        <w:tc>
          <w:tcPr>
            <w:tcW w:w="2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74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38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20" w:type="dxa"/>
            <w:vAlign w:val="bottom"/>
            <w:shd w:val="clear" w:color="auto" w:fill="7B7C80"/>
          </w:tcPr>
          <w:p>
            <w:pPr>
              <w:spacing w:after="0" w:line="20" w:lineRule="exact"/>
              <w:rPr>
                <w:sz w:val="1"/>
                <w:szCs w:val="1"/>
                <w:color w:val="auto"/>
              </w:rPr>
            </w:pPr>
          </w:p>
        </w:tc>
        <w:tc>
          <w:tcPr>
            <w:tcW w:w="600" w:type="dxa"/>
            <w:vAlign w:val="bottom"/>
            <w:shd w:val="clear" w:color="auto" w:fill="7B7C8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4"/>
        </w:trPr>
        <w:tc>
          <w:tcPr>
            <w:tcW w:w="7840" w:type="dxa"/>
            <w:vAlign w:val="bottom"/>
            <w:tcBorders>
              <w:left w:val="single" w:sz="8" w:color="7B7C80"/>
              <w:right w:val="single" w:sz="8" w:color="7B7C80"/>
            </w:tcBorders>
            <w:vMerge w:val="continue"/>
          </w:tcPr>
          <w:p>
            <w:pPr>
              <w:spacing w:after="0"/>
              <w:rPr>
                <w:sz w:val="16"/>
                <w:szCs w:val="16"/>
                <w:color w:val="auto"/>
              </w:rPr>
            </w:pPr>
          </w:p>
        </w:tc>
        <w:tc>
          <w:tcPr>
            <w:tcW w:w="260" w:type="dxa"/>
            <w:vAlign w:val="bottom"/>
          </w:tcPr>
          <w:p>
            <w:pPr>
              <w:spacing w:after="0"/>
              <w:rPr>
                <w:sz w:val="16"/>
                <w:szCs w:val="16"/>
                <w:color w:val="auto"/>
              </w:rPr>
            </w:pPr>
          </w:p>
        </w:tc>
        <w:tc>
          <w:tcPr>
            <w:tcW w:w="3160" w:type="dxa"/>
            <w:vAlign w:val="bottom"/>
            <w:gridSpan w:val="9"/>
            <w:vMerge w:val="restart"/>
          </w:tcPr>
          <w:p>
            <w:pPr>
              <w:spacing w:after="0"/>
              <w:rPr>
                <w:sz w:val="20"/>
                <w:szCs w:val="20"/>
                <w:color w:val="auto"/>
              </w:rPr>
            </w:pPr>
            <w:r>
              <w:rPr>
                <w:rFonts w:ascii="Arial" w:cs="Arial" w:eastAsia="Arial" w:hAnsi="Arial"/>
                <w:sz w:val="15"/>
                <w:szCs w:val="15"/>
                <w:color w:val="7B7C80"/>
              </w:rPr>
              <w:t>39.2% of Average Compensation (the highest</w:t>
            </w: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Borders>
              <w:right w:val="single" w:sz="8" w:color="7B7C80"/>
            </w:tcBorders>
          </w:tcPr>
          <w:p>
            <w:pPr>
              <w:spacing w:after="0"/>
              <w:rPr>
                <w:sz w:val="16"/>
                <w:szCs w:val="16"/>
                <w:color w:val="auto"/>
              </w:rPr>
            </w:pPr>
          </w:p>
        </w:tc>
        <w:tc>
          <w:tcPr>
            <w:tcW w:w="0" w:type="dxa"/>
            <w:vAlign w:val="bottom"/>
          </w:tcPr>
          <w:p>
            <w:pPr>
              <w:spacing w:after="0"/>
              <w:rPr>
                <w:sz w:val="1"/>
                <w:szCs w:val="1"/>
                <w:color w:val="auto"/>
              </w:rPr>
            </w:pPr>
          </w:p>
        </w:tc>
      </w:tr>
      <w:tr>
        <w:trPr>
          <w:trHeight w:val="142"/>
        </w:trPr>
        <w:tc>
          <w:tcPr>
            <w:tcW w:w="7840" w:type="dxa"/>
            <w:vAlign w:val="bottom"/>
            <w:tcBorders>
              <w:left w:val="single" w:sz="8" w:color="7B7C80"/>
              <w:right w:val="single" w:sz="8" w:color="7B7C80"/>
            </w:tcBorders>
          </w:tcPr>
          <w:p>
            <w:pPr>
              <w:spacing w:after="0"/>
              <w:rPr>
                <w:sz w:val="12"/>
                <w:szCs w:val="12"/>
                <w:color w:val="auto"/>
              </w:rPr>
            </w:pPr>
          </w:p>
        </w:tc>
        <w:tc>
          <w:tcPr>
            <w:tcW w:w="260" w:type="dxa"/>
            <w:vAlign w:val="bottom"/>
          </w:tcPr>
          <w:p>
            <w:pPr>
              <w:spacing w:after="0"/>
              <w:rPr>
                <w:sz w:val="12"/>
                <w:szCs w:val="12"/>
                <w:color w:val="auto"/>
              </w:rPr>
            </w:pPr>
          </w:p>
        </w:tc>
        <w:tc>
          <w:tcPr>
            <w:tcW w:w="3160" w:type="dxa"/>
            <w:vAlign w:val="bottom"/>
            <w:gridSpan w:val="9"/>
            <w:vMerge w:val="continue"/>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7840" w:type="dxa"/>
            <w:vAlign w:val="bottom"/>
            <w:tcBorders>
              <w:left w:val="single" w:sz="8" w:color="7B7C80"/>
              <w:right w:val="single" w:sz="8" w:color="7B7C80"/>
            </w:tcBorders>
          </w:tcPr>
          <w:p>
            <w:pPr>
              <w:ind w:left="80"/>
              <w:spacing w:after="0"/>
              <w:rPr>
                <w:sz w:val="20"/>
                <w:szCs w:val="20"/>
                <w:color w:val="auto"/>
              </w:rPr>
            </w:pPr>
            <w:r>
              <w:rPr>
                <w:rFonts w:ascii="Arial" w:cs="Arial" w:eastAsia="Arial" w:hAnsi="Arial"/>
                <w:sz w:val="15"/>
                <w:szCs w:val="15"/>
                <w:color w:val="7B7C80"/>
              </w:rPr>
              <w:t>Grandfathered Participants were age 47 or older with at least ten years of service on December 31, 2005, and</w:t>
            </w:r>
          </w:p>
        </w:tc>
        <w:tc>
          <w:tcPr>
            <w:tcW w:w="260" w:type="dxa"/>
            <w:vAlign w:val="bottom"/>
          </w:tcPr>
          <w:p>
            <w:pPr>
              <w:spacing w:after="0"/>
              <w:rPr>
                <w:sz w:val="14"/>
                <w:szCs w:val="14"/>
                <w:color w:val="auto"/>
              </w:rPr>
            </w:pPr>
          </w:p>
        </w:tc>
        <w:tc>
          <w:tcPr>
            <w:tcW w:w="3160" w:type="dxa"/>
            <w:vAlign w:val="bottom"/>
            <w:gridSpan w:val="9"/>
          </w:tcPr>
          <w:p>
            <w:pPr>
              <w:spacing w:after="0"/>
              <w:rPr>
                <w:sz w:val="20"/>
                <w:szCs w:val="20"/>
                <w:color w:val="auto"/>
              </w:rPr>
            </w:pPr>
            <w:r>
              <w:rPr>
                <w:rFonts w:ascii="Arial" w:cs="Arial" w:eastAsia="Arial" w:hAnsi="Arial"/>
                <w:sz w:val="15"/>
                <w:szCs w:val="15"/>
                <w:color w:val="7B7C80"/>
              </w:rPr>
              <w:t>five consecutive years' total Payout of the past</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7840" w:type="dxa"/>
            <w:vAlign w:val="bottom"/>
            <w:tcBorders>
              <w:left w:val="single" w:sz="8" w:color="7B7C80"/>
              <w:right w:val="single" w:sz="8" w:color="7B7C80"/>
            </w:tcBorders>
          </w:tcPr>
          <w:p>
            <w:pPr>
              <w:ind w:left="80"/>
              <w:spacing w:after="0"/>
              <w:rPr>
                <w:sz w:val="20"/>
                <w:szCs w:val="20"/>
                <w:color w:val="auto"/>
              </w:rPr>
            </w:pPr>
            <w:r>
              <w:rPr>
                <w:rFonts w:ascii="Arial" w:cs="Arial" w:eastAsia="Arial" w:hAnsi="Arial"/>
                <w:sz w:val="15"/>
                <w:szCs w:val="15"/>
                <w:color w:val="7B7C80"/>
              </w:rPr>
              <w:t>elected to retain the prior benefit provisions under the Defined Benefit ("DB") Plan and the NQDB and to forego</w:t>
            </w:r>
          </w:p>
        </w:tc>
        <w:tc>
          <w:tcPr>
            <w:tcW w:w="260" w:type="dxa"/>
            <w:vAlign w:val="bottom"/>
          </w:tcPr>
          <w:p>
            <w:pPr>
              <w:spacing w:after="0"/>
              <w:rPr>
                <w:sz w:val="14"/>
                <w:szCs w:val="14"/>
                <w:color w:val="auto"/>
              </w:rPr>
            </w:pPr>
          </w:p>
        </w:tc>
        <w:tc>
          <w:tcPr>
            <w:tcW w:w="3160" w:type="dxa"/>
            <w:vAlign w:val="bottom"/>
            <w:gridSpan w:val="9"/>
          </w:tcPr>
          <w:p>
            <w:pPr>
              <w:spacing w:after="0"/>
              <w:rPr>
                <w:sz w:val="20"/>
                <w:szCs w:val="20"/>
                <w:color w:val="auto"/>
              </w:rPr>
            </w:pPr>
            <w:r>
              <w:rPr>
                <w:rFonts w:ascii="Arial" w:cs="Arial" w:eastAsia="Arial" w:hAnsi="Arial"/>
                <w:sz w:val="15"/>
                <w:szCs w:val="15"/>
                <w:color w:val="7B7C80"/>
                <w:w w:val="99"/>
              </w:rPr>
              <w:t>ten years of Pay. "Pay" is the Named Executive</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7840" w:type="dxa"/>
            <w:vAlign w:val="bottom"/>
            <w:tcBorders>
              <w:left w:val="single" w:sz="8" w:color="7B7C80"/>
              <w:right w:val="single" w:sz="8" w:color="7B7C80"/>
            </w:tcBorders>
          </w:tcPr>
          <w:p>
            <w:pPr>
              <w:ind w:left="80"/>
              <w:spacing w:after="0"/>
              <w:rPr>
                <w:sz w:val="20"/>
                <w:szCs w:val="20"/>
                <w:color w:val="auto"/>
              </w:rPr>
            </w:pPr>
            <w:r>
              <w:rPr>
                <w:rFonts w:ascii="Arial" w:cs="Arial" w:eastAsia="Arial" w:hAnsi="Arial"/>
                <w:sz w:val="15"/>
                <w:szCs w:val="15"/>
                <w:color w:val="7B7C80"/>
              </w:rPr>
              <w:t>receipt of the additional matching contributions offered under the 401(k) and Excess Plans.</w:t>
            </w:r>
          </w:p>
        </w:tc>
        <w:tc>
          <w:tcPr>
            <w:tcW w:w="260" w:type="dxa"/>
            <w:vAlign w:val="bottom"/>
          </w:tcPr>
          <w:p>
            <w:pPr>
              <w:spacing w:after="0"/>
              <w:rPr>
                <w:sz w:val="14"/>
                <w:szCs w:val="14"/>
                <w:color w:val="auto"/>
              </w:rPr>
            </w:pPr>
          </w:p>
        </w:tc>
        <w:tc>
          <w:tcPr>
            <w:tcW w:w="3340" w:type="dxa"/>
            <w:vAlign w:val="bottom"/>
            <w:tcBorders>
              <w:right w:val="single" w:sz="8" w:color="7B7C80"/>
            </w:tcBorders>
            <w:gridSpan w:val="12"/>
          </w:tcPr>
          <w:p>
            <w:pPr>
              <w:spacing w:after="0"/>
              <w:rPr>
                <w:sz w:val="20"/>
                <w:szCs w:val="20"/>
                <w:color w:val="auto"/>
              </w:rPr>
            </w:pPr>
            <w:r>
              <w:rPr>
                <w:rFonts w:ascii="Arial" w:cs="Arial" w:eastAsia="Arial" w:hAnsi="Arial"/>
                <w:sz w:val="15"/>
                <w:szCs w:val="15"/>
                <w:color w:val="7B7C80"/>
              </w:rPr>
              <w:t>Officer's base salary and annual incentive bonus</w:t>
            </w:r>
          </w:p>
        </w:tc>
        <w:tc>
          <w:tcPr>
            <w:tcW w:w="0" w:type="dxa"/>
            <w:vAlign w:val="bottom"/>
          </w:tcPr>
          <w:p>
            <w:pPr>
              <w:spacing w:after="0"/>
              <w:rPr>
                <w:sz w:val="1"/>
                <w:szCs w:val="1"/>
                <w:color w:val="auto"/>
              </w:rPr>
            </w:pPr>
          </w:p>
        </w:tc>
      </w:tr>
      <w:tr>
        <w:trPr>
          <w:trHeight w:val="171"/>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3160" w:type="dxa"/>
            <w:vAlign w:val="bottom"/>
            <w:gridSpan w:val="9"/>
          </w:tcPr>
          <w:p>
            <w:pPr>
              <w:spacing w:after="0" w:line="172" w:lineRule="exact"/>
              <w:rPr>
                <w:sz w:val="20"/>
                <w:szCs w:val="20"/>
                <w:color w:val="auto"/>
              </w:rPr>
            </w:pPr>
            <w:r>
              <w:rPr>
                <w:rFonts w:ascii="Arial" w:cs="Arial" w:eastAsia="Arial" w:hAnsi="Arial"/>
                <w:sz w:val="15"/>
                <w:szCs w:val="15"/>
                <w:color w:val="7B7C80"/>
                <w:w w:val="99"/>
              </w:rPr>
              <w:t>up to the Tax Code limits) below the Integration</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207"/>
        </w:trPr>
        <w:tc>
          <w:tcPr>
            <w:tcW w:w="7840" w:type="dxa"/>
            <w:vAlign w:val="bottom"/>
            <w:tcBorders>
              <w:left w:val="single" w:sz="8" w:color="7B7C80"/>
              <w:right w:val="single" w:sz="8" w:color="7B7C80"/>
            </w:tcBorders>
          </w:tcPr>
          <w:p>
            <w:pPr>
              <w:spacing w:after="0"/>
              <w:rPr>
                <w:sz w:val="17"/>
                <w:szCs w:val="17"/>
                <w:color w:val="auto"/>
              </w:rPr>
            </w:pPr>
          </w:p>
        </w:tc>
        <w:tc>
          <w:tcPr>
            <w:tcW w:w="260" w:type="dxa"/>
            <w:vAlign w:val="bottom"/>
          </w:tcPr>
          <w:p>
            <w:pPr>
              <w:spacing w:after="0"/>
              <w:rPr>
                <w:sz w:val="17"/>
                <w:szCs w:val="17"/>
                <w:color w:val="auto"/>
              </w:rPr>
            </w:pPr>
          </w:p>
        </w:tc>
        <w:tc>
          <w:tcPr>
            <w:tcW w:w="3160" w:type="dxa"/>
            <w:vAlign w:val="bottom"/>
            <w:gridSpan w:val="9"/>
          </w:tcPr>
          <w:p>
            <w:pPr>
              <w:spacing w:after="0" w:line="207" w:lineRule="exact"/>
              <w:rPr>
                <w:sz w:val="20"/>
                <w:szCs w:val="20"/>
                <w:color w:val="auto"/>
              </w:rPr>
            </w:pPr>
            <w:r>
              <w:rPr>
                <w:rFonts w:ascii="Arial" w:cs="Arial" w:eastAsia="Arial" w:hAnsi="Arial"/>
                <w:sz w:val="14"/>
                <w:szCs w:val="14"/>
                <w:color w:val="7B7C80"/>
              </w:rPr>
              <w:t>Level</w:t>
            </w:r>
            <w:r>
              <w:rPr>
                <w:rFonts w:ascii="Arial" w:cs="Arial" w:eastAsia="Arial" w:hAnsi="Arial"/>
                <w:sz w:val="23"/>
                <w:szCs w:val="23"/>
                <w:color w:val="7B7C80"/>
                <w:vertAlign w:val="superscript"/>
              </w:rPr>
              <w:t>(1)</w:t>
            </w:r>
            <w:r>
              <w:rPr>
                <w:rFonts w:ascii="Arial" w:cs="Arial" w:eastAsia="Arial" w:hAnsi="Arial"/>
                <w:sz w:val="14"/>
                <w:szCs w:val="14"/>
                <w:color w:val="7B7C80"/>
              </w:rPr>
              <w:t xml:space="preserve"> plus 61.25% of Average Compensation</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Borders>
              <w:right w:val="single" w:sz="8" w:color="7B7C80"/>
            </w:tcBorders>
          </w:tcPr>
          <w:p>
            <w:pPr>
              <w:spacing w:after="0"/>
              <w:rPr>
                <w:sz w:val="17"/>
                <w:szCs w:val="17"/>
                <w:color w:val="auto"/>
              </w:rPr>
            </w:pPr>
          </w:p>
        </w:tc>
        <w:tc>
          <w:tcPr>
            <w:tcW w:w="0" w:type="dxa"/>
            <w:vAlign w:val="bottom"/>
          </w:tcPr>
          <w:p>
            <w:pPr>
              <w:spacing w:after="0"/>
              <w:rPr>
                <w:sz w:val="1"/>
                <w:szCs w:val="1"/>
                <w:color w:val="auto"/>
              </w:rPr>
            </w:pPr>
          </w:p>
        </w:tc>
      </w:tr>
      <w:tr>
        <w:trPr>
          <w:trHeight w:val="179"/>
        </w:trPr>
        <w:tc>
          <w:tcPr>
            <w:tcW w:w="7840" w:type="dxa"/>
            <w:vAlign w:val="bottom"/>
            <w:tcBorders>
              <w:left w:val="single" w:sz="8" w:color="7B7C80"/>
              <w:right w:val="single" w:sz="8" w:color="7B7C80"/>
            </w:tcBorders>
          </w:tcPr>
          <w:p>
            <w:pPr>
              <w:spacing w:after="0"/>
              <w:rPr>
                <w:sz w:val="15"/>
                <w:szCs w:val="15"/>
                <w:color w:val="auto"/>
              </w:rPr>
            </w:pPr>
          </w:p>
        </w:tc>
        <w:tc>
          <w:tcPr>
            <w:tcW w:w="260" w:type="dxa"/>
            <w:vAlign w:val="bottom"/>
          </w:tcPr>
          <w:p>
            <w:pPr>
              <w:spacing w:after="0"/>
              <w:rPr>
                <w:sz w:val="15"/>
                <w:szCs w:val="15"/>
                <w:color w:val="auto"/>
              </w:rPr>
            </w:pPr>
          </w:p>
        </w:tc>
        <w:tc>
          <w:tcPr>
            <w:tcW w:w="2380" w:type="dxa"/>
            <w:vAlign w:val="bottom"/>
            <w:gridSpan w:val="7"/>
          </w:tcPr>
          <w:p>
            <w:pPr>
              <w:spacing w:after="0"/>
              <w:rPr>
                <w:sz w:val="20"/>
                <w:szCs w:val="20"/>
                <w:color w:val="auto"/>
              </w:rPr>
            </w:pPr>
            <w:r>
              <w:rPr>
                <w:rFonts w:ascii="Arial" w:cs="Arial" w:eastAsia="Arial" w:hAnsi="Arial"/>
                <w:sz w:val="15"/>
                <w:szCs w:val="15"/>
                <w:color w:val="7B7C80"/>
              </w:rPr>
              <w:t>above the Integration Level.</w:t>
            </w:r>
          </w:p>
        </w:tc>
        <w:tc>
          <w:tcPr>
            <w:tcW w:w="6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323"/>
        </w:trPr>
        <w:tc>
          <w:tcPr>
            <w:tcW w:w="7840" w:type="dxa"/>
            <w:vAlign w:val="bottom"/>
            <w:tcBorders>
              <w:left w:val="single" w:sz="8" w:color="7B7C80"/>
              <w:right w:val="single" w:sz="8" w:color="7B7C80"/>
            </w:tcBorders>
          </w:tcPr>
          <w:p>
            <w:pPr>
              <w:spacing w:after="0"/>
              <w:rPr>
                <w:sz w:val="24"/>
                <w:szCs w:val="24"/>
                <w:color w:val="auto"/>
              </w:rPr>
            </w:pPr>
          </w:p>
        </w:tc>
        <w:tc>
          <w:tcPr>
            <w:tcW w:w="260" w:type="dxa"/>
            <w:vAlign w:val="bottom"/>
          </w:tcPr>
          <w:p>
            <w:pPr>
              <w:spacing w:after="0"/>
              <w:rPr>
                <w:sz w:val="24"/>
                <w:szCs w:val="24"/>
                <w:color w:val="auto"/>
              </w:rPr>
            </w:pPr>
          </w:p>
        </w:tc>
        <w:tc>
          <w:tcPr>
            <w:tcW w:w="3160" w:type="dxa"/>
            <w:vAlign w:val="bottom"/>
            <w:gridSpan w:val="9"/>
          </w:tcPr>
          <w:p>
            <w:pPr>
              <w:spacing w:after="0"/>
              <w:rPr>
                <w:sz w:val="20"/>
                <w:szCs w:val="20"/>
                <w:color w:val="auto"/>
              </w:rPr>
            </w:pPr>
            <w:r>
              <w:rPr>
                <w:rFonts w:ascii="Arial" w:cs="Arial" w:eastAsia="Arial" w:hAnsi="Arial"/>
                <w:sz w:val="15"/>
                <w:szCs w:val="15"/>
                <w:b w:val="1"/>
                <w:bCs w:val="1"/>
                <w:color w:val="7B7C80"/>
              </w:rPr>
              <w:t>Cash Balance Plan</w:t>
            </w:r>
            <w:r>
              <w:rPr>
                <w:rFonts w:ascii="Arial" w:cs="Arial" w:eastAsia="Arial" w:hAnsi="Arial"/>
                <w:sz w:val="15"/>
                <w:szCs w:val="15"/>
                <w:color w:val="7B7C80"/>
              </w:rPr>
              <w:t>—The Annual Pay Credits</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Borders>
              <w:right w:val="single" w:sz="8" w:color="7B7C80"/>
            </w:tcBorders>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7840" w:type="dxa"/>
            <w:vAlign w:val="bottom"/>
            <w:tcBorders>
              <w:left w:val="single" w:sz="8" w:color="7B7C80"/>
              <w:right w:val="single" w:sz="8" w:color="7B7C80"/>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340" w:type="dxa"/>
            <w:vAlign w:val="bottom"/>
            <w:gridSpan w:val="5"/>
            <w:shd w:val="clear" w:color="auto" w:fill="7B7C8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4"/>
        </w:trPr>
        <w:tc>
          <w:tcPr>
            <w:tcW w:w="7840" w:type="dxa"/>
            <w:vAlign w:val="bottom"/>
            <w:tcBorders>
              <w:left w:val="single" w:sz="8" w:color="7B7C80"/>
              <w:right w:val="single" w:sz="8" w:color="7B7C80"/>
            </w:tcBorders>
          </w:tcPr>
          <w:p>
            <w:pPr>
              <w:spacing w:after="0"/>
              <w:rPr>
                <w:sz w:val="16"/>
                <w:szCs w:val="16"/>
                <w:color w:val="auto"/>
              </w:rPr>
            </w:pPr>
          </w:p>
        </w:tc>
        <w:tc>
          <w:tcPr>
            <w:tcW w:w="260" w:type="dxa"/>
            <w:vAlign w:val="bottom"/>
          </w:tcPr>
          <w:p>
            <w:pPr>
              <w:spacing w:after="0"/>
              <w:rPr>
                <w:sz w:val="16"/>
                <w:szCs w:val="16"/>
                <w:color w:val="auto"/>
              </w:rPr>
            </w:pPr>
          </w:p>
        </w:tc>
        <w:tc>
          <w:tcPr>
            <w:tcW w:w="2380" w:type="dxa"/>
            <w:vAlign w:val="bottom"/>
            <w:gridSpan w:val="7"/>
          </w:tcPr>
          <w:p>
            <w:pPr>
              <w:spacing w:after="0"/>
              <w:rPr>
                <w:sz w:val="20"/>
                <w:szCs w:val="20"/>
                <w:color w:val="auto"/>
              </w:rPr>
            </w:pPr>
            <w:r>
              <w:rPr>
                <w:rFonts w:ascii="Arial" w:cs="Arial" w:eastAsia="Arial" w:hAnsi="Arial"/>
                <w:sz w:val="15"/>
                <w:szCs w:val="15"/>
                <w:color w:val="7B7C80"/>
                <w:w w:val="98"/>
              </w:rPr>
              <w:t>are calculated using the table below</w:t>
            </w:r>
          </w:p>
        </w:tc>
        <w:tc>
          <w:tcPr>
            <w:tcW w:w="6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Borders>
              <w:right w:val="single" w:sz="8" w:color="7B7C80"/>
            </w:tcBorders>
          </w:tcPr>
          <w:p>
            <w:pPr>
              <w:spacing w:after="0"/>
              <w:rPr>
                <w:sz w:val="16"/>
                <w:szCs w:val="16"/>
                <w:color w:val="auto"/>
              </w:rPr>
            </w:pPr>
          </w:p>
        </w:tc>
        <w:tc>
          <w:tcPr>
            <w:tcW w:w="0" w:type="dxa"/>
            <w:vAlign w:val="bottom"/>
          </w:tcPr>
          <w:p>
            <w:pPr>
              <w:spacing w:after="0"/>
              <w:rPr>
                <w:sz w:val="1"/>
                <w:szCs w:val="1"/>
                <w:color w:val="auto"/>
              </w:rPr>
            </w:pPr>
          </w:p>
        </w:tc>
      </w:tr>
      <w:tr>
        <w:trPr>
          <w:trHeight w:val="162"/>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009CDC"/>
            </w:tcBorders>
          </w:tcPr>
          <w:p>
            <w:pPr>
              <w:spacing w:after="0"/>
              <w:rPr>
                <w:sz w:val="14"/>
                <w:szCs w:val="14"/>
                <w:color w:val="auto"/>
              </w:rPr>
            </w:pPr>
          </w:p>
        </w:tc>
        <w:tc>
          <w:tcPr>
            <w:tcW w:w="740" w:type="dxa"/>
            <w:vAlign w:val="bottom"/>
            <w:tcBorders>
              <w:bottom w:val="single" w:sz="8" w:color="009CDC"/>
            </w:tcBorders>
          </w:tcPr>
          <w:p>
            <w:pPr>
              <w:spacing w:after="0"/>
              <w:rPr>
                <w:sz w:val="14"/>
                <w:szCs w:val="14"/>
                <w:color w:val="auto"/>
              </w:rPr>
            </w:pPr>
          </w:p>
        </w:tc>
        <w:tc>
          <w:tcPr>
            <w:tcW w:w="120" w:type="dxa"/>
            <w:vAlign w:val="bottom"/>
            <w:tcBorders>
              <w:bottom w:val="single" w:sz="8" w:color="009CDC"/>
            </w:tcBorders>
          </w:tcPr>
          <w:p>
            <w:pPr>
              <w:spacing w:after="0"/>
              <w:rPr>
                <w:sz w:val="14"/>
                <w:szCs w:val="14"/>
                <w:color w:val="auto"/>
              </w:rPr>
            </w:pPr>
          </w:p>
        </w:tc>
        <w:tc>
          <w:tcPr>
            <w:tcW w:w="380" w:type="dxa"/>
            <w:vAlign w:val="bottom"/>
            <w:tcBorders>
              <w:bottom w:val="single" w:sz="8" w:color="009CDC"/>
            </w:tcBorders>
          </w:tcPr>
          <w:p>
            <w:pPr>
              <w:spacing w:after="0"/>
              <w:rPr>
                <w:sz w:val="14"/>
                <w:szCs w:val="14"/>
                <w:color w:val="auto"/>
              </w:rPr>
            </w:pPr>
          </w:p>
        </w:tc>
        <w:tc>
          <w:tcPr>
            <w:tcW w:w="20" w:type="dxa"/>
            <w:vAlign w:val="bottom"/>
            <w:tcBorders>
              <w:bottom w:val="single" w:sz="8" w:color="009CDC"/>
            </w:tcBorders>
          </w:tcPr>
          <w:p>
            <w:pPr>
              <w:spacing w:after="0"/>
              <w:rPr>
                <w:sz w:val="14"/>
                <w:szCs w:val="14"/>
                <w:color w:val="auto"/>
              </w:rPr>
            </w:pPr>
          </w:p>
        </w:tc>
        <w:tc>
          <w:tcPr>
            <w:tcW w:w="1620" w:type="dxa"/>
            <w:vAlign w:val="bottom"/>
            <w:tcBorders>
              <w:bottom w:val="single" w:sz="8" w:color="009CDC"/>
            </w:tcBorders>
            <w:gridSpan w:val="2"/>
          </w:tcPr>
          <w:p>
            <w:pPr>
              <w:spacing w:after="0"/>
              <w:rPr>
                <w:sz w:val="14"/>
                <w:szCs w:val="14"/>
                <w:color w:val="auto"/>
              </w:rPr>
            </w:pPr>
          </w:p>
        </w:tc>
        <w:tc>
          <w:tcPr>
            <w:tcW w:w="180" w:type="dxa"/>
            <w:vAlign w:val="bottom"/>
            <w:tcBorders>
              <w:bottom w:val="single" w:sz="8" w:color="009CDC"/>
            </w:tcBorders>
          </w:tcPr>
          <w:p>
            <w:pPr>
              <w:spacing w:after="0"/>
              <w:rPr>
                <w:sz w:val="14"/>
                <w:szCs w:val="14"/>
                <w:color w:val="auto"/>
              </w:rPr>
            </w:pPr>
          </w:p>
        </w:tc>
        <w:tc>
          <w:tcPr>
            <w:tcW w:w="80" w:type="dxa"/>
            <w:vAlign w:val="bottom"/>
            <w:tcBorders>
              <w:bottom w:val="single" w:sz="8" w:color="009CDC"/>
            </w:tcBorders>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52"/>
        </w:trPr>
        <w:tc>
          <w:tcPr>
            <w:tcW w:w="7840" w:type="dxa"/>
            <w:vAlign w:val="bottom"/>
            <w:tcBorders>
              <w:left w:val="single" w:sz="8" w:color="7B7C80"/>
              <w:right w:val="single" w:sz="8" w:color="7B7C80"/>
            </w:tcBorders>
          </w:tcPr>
          <w:p>
            <w:pPr>
              <w:spacing w:after="0"/>
              <w:rPr>
                <w:sz w:val="13"/>
                <w:szCs w:val="13"/>
                <w:color w:val="auto"/>
              </w:rPr>
            </w:pPr>
          </w:p>
        </w:tc>
        <w:tc>
          <w:tcPr>
            <w:tcW w:w="2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80" w:type="dxa"/>
            <w:vAlign w:val="bottom"/>
            <w:tcBorders>
              <w:bottom w:val="single" w:sz="8" w:color="7B7C80"/>
            </w:tcBorders>
          </w:tcPr>
          <w:p>
            <w:pPr>
              <w:spacing w:after="0"/>
              <w:rPr>
                <w:sz w:val="13"/>
                <w:szCs w:val="13"/>
                <w:color w:val="auto"/>
              </w:rPr>
            </w:pPr>
          </w:p>
        </w:tc>
        <w:tc>
          <w:tcPr>
            <w:tcW w:w="20" w:type="dxa"/>
            <w:vAlign w:val="bottom"/>
            <w:tcBorders>
              <w:bottom w:val="single" w:sz="8" w:color="7B7C80"/>
            </w:tcBorders>
          </w:tcPr>
          <w:p>
            <w:pPr>
              <w:spacing w:after="0"/>
              <w:rPr>
                <w:sz w:val="13"/>
                <w:szCs w:val="13"/>
                <w:color w:val="auto"/>
              </w:rPr>
            </w:pPr>
          </w:p>
        </w:tc>
        <w:tc>
          <w:tcPr>
            <w:tcW w:w="1800" w:type="dxa"/>
            <w:vAlign w:val="bottom"/>
            <w:tcBorders>
              <w:bottom w:val="single" w:sz="8" w:color="7B7C80"/>
            </w:tcBorders>
            <w:gridSpan w:val="3"/>
          </w:tcPr>
          <w:p>
            <w:pPr>
              <w:jc w:val="center"/>
              <w:ind w:right="320"/>
              <w:spacing w:after="0"/>
              <w:rPr>
                <w:sz w:val="20"/>
                <w:szCs w:val="20"/>
                <w:color w:val="auto"/>
              </w:rPr>
            </w:pPr>
            <w:r>
              <w:rPr>
                <w:rFonts w:ascii="Arial" w:cs="Arial" w:eastAsia="Arial" w:hAnsi="Arial"/>
                <w:sz w:val="12"/>
                <w:szCs w:val="12"/>
                <w:b w:val="1"/>
                <w:bCs w:val="1"/>
                <w:color w:val="009CCC"/>
              </w:rPr>
              <w:t>Annual Pay Credit</w:t>
            </w:r>
          </w:p>
        </w:tc>
        <w:tc>
          <w:tcPr>
            <w:tcW w:w="80" w:type="dxa"/>
            <w:vAlign w:val="bottom"/>
            <w:tcBorders>
              <w:bottom w:val="single" w:sz="8" w:color="7B7C80"/>
            </w:tcBorders>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19"/>
        </w:trPr>
        <w:tc>
          <w:tcPr>
            <w:tcW w:w="7840" w:type="dxa"/>
            <w:vAlign w:val="bottom"/>
            <w:tcBorders>
              <w:left w:val="single" w:sz="8" w:color="7B7C80"/>
              <w:right w:val="single" w:sz="8" w:color="7B7C80"/>
            </w:tcBorders>
          </w:tcPr>
          <w:p>
            <w:pPr>
              <w:spacing w:after="0"/>
              <w:rPr>
                <w:sz w:val="10"/>
                <w:szCs w:val="10"/>
                <w:color w:val="auto"/>
              </w:rPr>
            </w:pPr>
          </w:p>
        </w:tc>
        <w:tc>
          <w:tcPr>
            <w:tcW w:w="2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jc w:val="right"/>
              <w:spacing w:after="0" w:line="119" w:lineRule="exact"/>
              <w:rPr>
                <w:sz w:val="20"/>
                <w:szCs w:val="20"/>
                <w:color w:val="auto"/>
              </w:rPr>
            </w:pPr>
            <w:r>
              <w:rPr>
                <w:rFonts w:ascii="Arial" w:cs="Arial" w:eastAsia="Arial" w:hAnsi="Arial"/>
                <w:sz w:val="12"/>
                <w:szCs w:val="12"/>
                <w:b w:val="1"/>
                <w:bCs w:val="1"/>
                <w:color w:val="009CCC"/>
              </w:rPr>
              <w:t>Age+</w:t>
            </w:r>
          </w:p>
        </w:tc>
        <w:tc>
          <w:tcPr>
            <w:tcW w:w="1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980" w:type="dxa"/>
            <w:vAlign w:val="bottom"/>
            <w:tcBorders>
              <w:right w:val="single" w:sz="8" w:color="7B7C80"/>
            </w:tcBorders>
            <w:gridSpan w:val="6"/>
            <w:vMerge w:val="restart"/>
          </w:tcPr>
          <w:p>
            <w:pPr>
              <w:jc w:val="right"/>
              <w:ind w:right="100"/>
              <w:spacing w:after="0"/>
              <w:rPr>
                <w:sz w:val="20"/>
                <w:szCs w:val="20"/>
                <w:color w:val="auto"/>
              </w:rPr>
            </w:pPr>
            <w:r>
              <w:rPr>
                <w:rFonts w:ascii="Arial" w:cs="Arial" w:eastAsia="Arial" w:hAnsi="Arial"/>
                <w:sz w:val="12"/>
                <w:szCs w:val="12"/>
                <w:b w:val="1"/>
                <w:bCs w:val="1"/>
                <w:color w:val="009CCC"/>
              </w:rPr>
              <w:t>Contribution on Pay</w:t>
            </w:r>
          </w:p>
        </w:tc>
        <w:tc>
          <w:tcPr>
            <w:tcW w:w="0" w:type="dxa"/>
            <w:vAlign w:val="bottom"/>
          </w:tcPr>
          <w:p>
            <w:pPr>
              <w:spacing w:after="0"/>
              <w:rPr>
                <w:sz w:val="1"/>
                <w:szCs w:val="1"/>
                <w:color w:val="auto"/>
              </w:rPr>
            </w:pPr>
          </w:p>
        </w:tc>
      </w:tr>
      <w:tr>
        <w:trPr>
          <w:trHeight w:val="125"/>
        </w:trPr>
        <w:tc>
          <w:tcPr>
            <w:tcW w:w="7840" w:type="dxa"/>
            <w:vAlign w:val="bottom"/>
            <w:tcBorders>
              <w:left w:val="single" w:sz="8" w:color="7B7C80"/>
              <w:right w:val="single" w:sz="8" w:color="7B7C80"/>
            </w:tcBorders>
          </w:tcPr>
          <w:p>
            <w:pPr>
              <w:spacing w:after="0"/>
              <w:rPr>
                <w:sz w:val="10"/>
                <w:szCs w:val="10"/>
                <w:color w:val="auto"/>
              </w:rPr>
            </w:pPr>
          </w:p>
        </w:tc>
        <w:tc>
          <w:tcPr>
            <w:tcW w:w="2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jc w:val="right"/>
              <w:spacing w:after="0" w:line="125" w:lineRule="exact"/>
              <w:rPr>
                <w:sz w:val="20"/>
                <w:szCs w:val="20"/>
                <w:color w:val="auto"/>
              </w:rPr>
            </w:pPr>
            <w:r>
              <w:rPr>
                <w:rFonts w:ascii="Arial" w:cs="Arial" w:eastAsia="Arial" w:hAnsi="Arial"/>
                <w:sz w:val="12"/>
                <w:szCs w:val="12"/>
                <w:b w:val="1"/>
                <w:bCs w:val="1"/>
                <w:color w:val="009CCC"/>
              </w:rPr>
              <w:t>Service</w:t>
            </w:r>
          </w:p>
        </w:tc>
        <w:tc>
          <w:tcPr>
            <w:tcW w:w="1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980" w:type="dxa"/>
            <w:vAlign w:val="bottom"/>
            <w:tcBorders>
              <w:right w:val="single" w:sz="8" w:color="7B7C80"/>
            </w:tcBorders>
            <w:gridSpan w:val="6"/>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7"/>
        </w:trPr>
        <w:tc>
          <w:tcPr>
            <w:tcW w:w="7840" w:type="dxa"/>
            <w:vAlign w:val="bottom"/>
            <w:tcBorders>
              <w:left w:val="single" w:sz="8" w:color="7B7C80"/>
              <w:right w:val="single" w:sz="8" w:color="7B7C80"/>
            </w:tcBorders>
          </w:tcPr>
          <w:p>
            <w:pPr>
              <w:spacing w:after="0"/>
              <w:rPr>
                <w:sz w:val="11"/>
                <w:szCs w:val="11"/>
                <w:color w:val="auto"/>
              </w:rPr>
            </w:pPr>
          </w:p>
        </w:tc>
        <w:tc>
          <w:tcPr>
            <w:tcW w:w="2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40" w:type="dxa"/>
            <w:vAlign w:val="bottom"/>
          </w:tcPr>
          <w:p>
            <w:pPr>
              <w:jc w:val="right"/>
              <w:spacing w:after="0"/>
              <w:rPr>
                <w:sz w:val="20"/>
                <w:szCs w:val="20"/>
                <w:color w:val="auto"/>
              </w:rPr>
            </w:pPr>
            <w:r>
              <w:rPr>
                <w:rFonts w:ascii="Arial" w:cs="Arial" w:eastAsia="Arial" w:hAnsi="Arial"/>
                <w:sz w:val="12"/>
                <w:szCs w:val="12"/>
                <w:b w:val="1"/>
                <w:bCs w:val="1"/>
                <w:color w:val="009CCC"/>
              </w:rPr>
              <w:t>Years</w:t>
            </w:r>
          </w:p>
        </w:tc>
        <w:tc>
          <w:tcPr>
            <w:tcW w:w="120" w:type="dxa"/>
            <w:vAlign w:val="bottom"/>
          </w:tcPr>
          <w:p>
            <w:pPr>
              <w:spacing w:after="0"/>
              <w:rPr>
                <w:sz w:val="11"/>
                <w:szCs w:val="11"/>
                <w:color w:val="auto"/>
              </w:rPr>
            </w:pPr>
          </w:p>
        </w:tc>
        <w:tc>
          <w:tcPr>
            <w:tcW w:w="1420" w:type="dxa"/>
            <w:vAlign w:val="bottom"/>
            <w:gridSpan w:val="3"/>
          </w:tcPr>
          <w:p>
            <w:pPr>
              <w:jc w:val="right"/>
              <w:ind w:right="436"/>
              <w:spacing w:after="0"/>
              <w:rPr>
                <w:sz w:val="20"/>
                <w:szCs w:val="20"/>
                <w:color w:val="auto"/>
              </w:rPr>
            </w:pPr>
            <w:r>
              <w:rPr>
                <w:rFonts w:ascii="Arial" w:cs="Arial" w:eastAsia="Arial" w:hAnsi="Arial"/>
                <w:sz w:val="12"/>
                <w:szCs w:val="12"/>
                <w:b w:val="1"/>
                <w:bCs w:val="1"/>
                <w:color w:val="009CCC"/>
                <w:w w:val="99"/>
              </w:rPr>
              <w:t>Contribution on</w:t>
            </w:r>
          </w:p>
        </w:tc>
        <w:tc>
          <w:tcPr>
            <w:tcW w:w="960" w:type="dxa"/>
            <w:vAlign w:val="bottom"/>
            <w:tcBorders>
              <w:right w:val="single" w:sz="8" w:color="7B7C80"/>
            </w:tcBorders>
            <w:gridSpan w:val="5"/>
          </w:tcPr>
          <w:p>
            <w:pPr>
              <w:jc w:val="right"/>
              <w:ind w:right="100"/>
              <w:spacing w:after="0"/>
              <w:rPr>
                <w:sz w:val="20"/>
                <w:szCs w:val="20"/>
                <w:color w:val="auto"/>
              </w:rPr>
            </w:pPr>
            <w:r>
              <w:rPr>
                <w:rFonts w:ascii="Arial" w:cs="Arial" w:eastAsia="Arial" w:hAnsi="Arial"/>
                <w:sz w:val="12"/>
                <w:szCs w:val="12"/>
                <w:b w:val="1"/>
                <w:bCs w:val="1"/>
                <w:color w:val="009CCC"/>
                <w:w w:val="99"/>
              </w:rPr>
              <w:t>Above Taxable</w:t>
            </w:r>
          </w:p>
        </w:tc>
        <w:tc>
          <w:tcPr>
            <w:tcW w:w="0" w:type="dxa"/>
            <w:vAlign w:val="bottom"/>
          </w:tcPr>
          <w:p>
            <w:pPr>
              <w:spacing w:after="0"/>
              <w:rPr>
                <w:sz w:val="1"/>
                <w:szCs w:val="1"/>
                <w:color w:val="auto"/>
              </w:rPr>
            </w:pPr>
          </w:p>
        </w:tc>
      </w:tr>
      <w:tr>
        <w:trPr>
          <w:trHeight w:val="160"/>
        </w:trPr>
        <w:tc>
          <w:tcPr>
            <w:tcW w:w="7840" w:type="dxa"/>
            <w:vAlign w:val="bottom"/>
            <w:tcBorders>
              <w:left w:val="single" w:sz="8" w:color="7B7C80"/>
              <w:right w:val="single" w:sz="8" w:color="7B7C80"/>
            </w:tcBorders>
          </w:tcPr>
          <w:p>
            <w:pPr>
              <w:spacing w:after="0"/>
              <w:rPr>
                <w:sz w:val="13"/>
                <w:szCs w:val="13"/>
                <w:color w:val="auto"/>
              </w:rPr>
            </w:pPr>
          </w:p>
        </w:tc>
        <w:tc>
          <w:tcPr>
            <w:tcW w:w="2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40" w:type="dxa"/>
            <w:vAlign w:val="bottom"/>
          </w:tcPr>
          <w:p>
            <w:pPr>
              <w:jc w:val="right"/>
              <w:spacing w:after="0"/>
              <w:rPr>
                <w:sz w:val="20"/>
                <w:szCs w:val="20"/>
                <w:color w:val="auto"/>
              </w:rPr>
            </w:pPr>
            <w:r>
              <w:rPr>
                <w:rFonts w:ascii="Arial" w:cs="Arial" w:eastAsia="Arial" w:hAnsi="Arial"/>
                <w:sz w:val="12"/>
                <w:szCs w:val="12"/>
                <w:b w:val="1"/>
                <w:bCs w:val="1"/>
                <w:color w:val="009CCC"/>
              </w:rPr>
              <w:t>(Points)</w:t>
            </w:r>
          </w:p>
        </w:tc>
        <w:tc>
          <w:tcPr>
            <w:tcW w:w="1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20" w:type="dxa"/>
            <w:vAlign w:val="bottom"/>
          </w:tcPr>
          <w:p>
            <w:pPr>
              <w:jc w:val="right"/>
              <w:ind w:right="436"/>
              <w:spacing w:after="0"/>
              <w:rPr>
                <w:sz w:val="20"/>
                <w:szCs w:val="20"/>
                <w:color w:val="auto"/>
              </w:rPr>
            </w:pPr>
            <w:r>
              <w:rPr>
                <w:rFonts w:ascii="Arial" w:cs="Arial" w:eastAsia="Arial" w:hAnsi="Arial"/>
                <w:sz w:val="12"/>
                <w:szCs w:val="12"/>
                <w:b w:val="1"/>
                <w:bCs w:val="1"/>
                <w:color w:val="009CCC"/>
              </w:rPr>
              <w:t>All Pay</w:t>
            </w:r>
          </w:p>
        </w:tc>
        <w:tc>
          <w:tcPr>
            <w:tcW w:w="960" w:type="dxa"/>
            <w:vAlign w:val="bottom"/>
            <w:tcBorders>
              <w:right w:val="single" w:sz="8" w:color="7B7C80"/>
            </w:tcBorders>
            <w:gridSpan w:val="5"/>
          </w:tcPr>
          <w:p>
            <w:pPr>
              <w:jc w:val="right"/>
              <w:ind w:right="100"/>
              <w:spacing w:after="0" w:line="160" w:lineRule="exact"/>
              <w:rPr>
                <w:sz w:val="20"/>
                <w:szCs w:val="20"/>
                <w:color w:val="auto"/>
              </w:rPr>
            </w:pPr>
            <w:r>
              <w:rPr>
                <w:rFonts w:ascii="Arial" w:cs="Arial" w:eastAsia="Arial" w:hAnsi="Arial"/>
                <w:sz w:val="12"/>
                <w:szCs w:val="12"/>
                <w:b w:val="1"/>
                <w:bCs w:val="1"/>
                <w:color w:val="009CCC"/>
              </w:rPr>
              <w:t>Wage Base</w:t>
            </w:r>
            <w:r>
              <w:rPr>
                <w:rFonts w:ascii="Arial" w:cs="Arial" w:eastAsia="Arial" w:hAnsi="Arial"/>
                <w:sz w:val="18"/>
                <w:szCs w:val="18"/>
                <w:b w:val="1"/>
                <w:bCs w:val="1"/>
                <w:color w:val="009CCC"/>
                <w:vertAlign w:val="superscript"/>
              </w:rPr>
              <w:t>(2)</w:t>
            </w:r>
          </w:p>
        </w:tc>
        <w:tc>
          <w:tcPr>
            <w:tcW w:w="0" w:type="dxa"/>
            <w:vAlign w:val="bottom"/>
          </w:tcPr>
          <w:p>
            <w:pPr>
              <w:spacing w:after="0"/>
              <w:rPr>
                <w:sz w:val="1"/>
                <w:szCs w:val="1"/>
                <w:color w:val="auto"/>
              </w:rPr>
            </w:pPr>
          </w:p>
        </w:tc>
      </w:tr>
      <w:tr>
        <w:trPr>
          <w:trHeight w:val="163"/>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top w:val="single" w:sz="8" w:color="7B7C80"/>
              <w:bottom w:val="single" w:sz="8" w:color="7B7C80"/>
            </w:tcBorders>
          </w:tcPr>
          <w:p>
            <w:pPr>
              <w:spacing w:after="0"/>
              <w:rPr>
                <w:sz w:val="14"/>
                <w:szCs w:val="14"/>
                <w:color w:val="auto"/>
              </w:rPr>
            </w:pPr>
          </w:p>
        </w:tc>
        <w:tc>
          <w:tcPr>
            <w:tcW w:w="740" w:type="dxa"/>
            <w:vAlign w:val="bottom"/>
            <w:tcBorders>
              <w:top w:val="single" w:sz="8" w:color="7B7C80"/>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&lt; 40</w:t>
            </w:r>
          </w:p>
        </w:tc>
        <w:tc>
          <w:tcPr>
            <w:tcW w:w="1540" w:type="dxa"/>
            <w:vAlign w:val="bottom"/>
            <w:tcBorders>
              <w:top w:val="single" w:sz="8" w:color="7B7C80"/>
              <w:bottom w:val="single" w:sz="8" w:color="7B7C80"/>
            </w:tcBorders>
            <w:gridSpan w:val="4"/>
          </w:tcPr>
          <w:p>
            <w:pPr>
              <w:jc w:val="right"/>
              <w:ind w:right="436"/>
              <w:spacing w:after="0" w:line="164" w:lineRule="exact"/>
              <w:rPr>
                <w:sz w:val="20"/>
                <w:szCs w:val="20"/>
                <w:color w:val="auto"/>
              </w:rPr>
            </w:pPr>
            <w:r>
              <w:rPr>
                <w:rFonts w:ascii="Arial" w:cs="Arial" w:eastAsia="Arial" w:hAnsi="Arial"/>
                <w:sz w:val="15"/>
                <w:szCs w:val="15"/>
                <w:color w:val="7B7C80"/>
              </w:rPr>
              <w:t>4.00%</w:t>
            </w:r>
          </w:p>
        </w:tc>
        <w:tc>
          <w:tcPr>
            <w:tcW w:w="860" w:type="dxa"/>
            <w:vAlign w:val="bottom"/>
            <w:tcBorders>
              <w:top w:val="single" w:sz="8" w:color="7B7C80"/>
              <w:bottom w:val="single" w:sz="8" w:color="7B7C80"/>
            </w:tcBorders>
            <w:gridSpan w:val="3"/>
          </w:tcPr>
          <w:p>
            <w:pPr>
              <w:jc w:val="right"/>
              <w:spacing w:after="0" w:line="164" w:lineRule="exact"/>
              <w:rPr>
                <w:sz w:val="20"/>
                <w:szCs w:val="20"/>
                <w:color w:val="auto"/>
              </w:rPr>
            </w:pPr>
            <w:r>
              <w:rPr>
                <w:rFonts w:ascii="Arial" w:cs="Arial" w:eastAsia="Arial" w:hAnsi="Arial"/>
                <w:sz w:val="15"/>
                <w:szCs w:val="15"/>
                <w:color w:val="7B7C80"/>
              </w:rPr>
              <w:t>2.00%</w:t>
            </w: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7B7C80"/>
            </w:tcBorders>
            <w:shd w:val="clear" w:color="auto" w:fill="E7E6E7"/>
          </w:tcPr>
          <w:p>
            <w:pPr>
              <w:spacing w:after="0"/>
              <w:rPr>
                <w:sz w:val="14"/>
                <w:szCs w:val="14"/>
                <w:color w:val="auto"/>
              </w:rPr>
            </w:pPr>
          </w:p>
        </w:tc>
        <w:tc>
          <w:tcPr>
            <w:tcW w:w="7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40 – 49</w:t>
            </w:r>
          </w:p>
        </w:tc>
        <w:tc>
          <w:tcPr>
            <w:tcW w:w="1540" w:type="dxa"/>
            <w:vAlign w:val="bottom"/>
            <w:tcBorders>
              <w:bottom w:val="single" w:sz="8" w:color="7B7C80"/>
            </w:tcBorders>
            <w:gridSpan w:val="4"/>
            <w:shd w:val="clear" w:color="auto" w:fill="E7E6E7"/>
          </w:tcPr>
          <w:p>
            <w:pPr>
              <w:jc w:val="right"/>
              <w:ind w:right="436"/>
              <w:spacing w:after="0" w:line="164" w:lineRule="exact"/>
              <w:rPr>
                <w:sz w:val="20"/>
                <w:szCs w:val="20"/>
                <w:color w:val="auto"/>
              </w:rPr>
            </w:pPr>
            <w:r>
              <w:rPr>
                <w:rFonts w:ascii="Arial" w:cs="Arial" w:eastAsia="Arial" w:hAnsi="Arial"/>
                <w:sz w:val="15"/>
                <w:szCs w:val="15"/>
                <w:color w:val="7B7C80"/>
              </w:rPr>
              <w:t>5.50%</w:t>
            </w:r>
          </w:p>
        </w:tc>
        <w:tc>
          <w:tcPr>
            <w:tcW w:w="860" w:type="dxa"/>
            <w:vAlign w:val="bottom"/>
            <w:tcBorders>
              <w:bottom w:val="single" w:sz="8" w:color="7B7C80"/>
            </w:tcBorders>
            <w:gridSpan w:val="3"/>
            <w:shd w:val="clear" w:color="auto" w:fill="E7E6E7"/>
          </w:tcPr>
          <w:p>
            <w:pPr>
              <w:jc w:val="right"/>
              <w:spacing w:after="0" w:line="164" w:lineRule="exact"/>
              <w:rPr>
                <w:sz w:val="20"/>
                <w:szCs w:val="20"/>
                <w:color w:val="auto"/>
              </w:rPr>
            </w:pPr>
            <w:r>
              <w:rPr>
                <w:rFonts w:ascii="Arial" w:cs="Arial" w:eastAsia="Arial" w:hAnsi="Arial"/>
                <w:sz w:val="15"/>
                <w:szCs w:val="15"/>
                <w:color w:val="7B7C80"/>
              </w:rPr>
              <w:t>2.75%</w:t>
            </w: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7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50 – 59</w:t>
            </w:r>
          </w:p>
        </w:tc>
        <w:tc>
          <w:tcPr>
            <w:tcW w:w="1540" w:type="dxa"/>
            <w:vAlign w:val="bottom"/>
            <w:tcBorders>
              <w:bottom w:val="single" w:sz="8" w:color="7B7C80"/>
            </w:tcBorders>
            <w:gridSpan w:val="4"/>
          </w:tcPr>
          <w:p>
            <w:pPr>
              <w:jc w:val="right"/>
              <w:ind w:right="436"/>
              <w:spacing w:after="0" w:line="164" w:lineRule="exact"/>
              <w:rPr>
                <w:sz w:val="20"/>
                <w:szCs w:val="20"/>
                <w:color w:val="auto"/>
              </w:rPr>
            </w:pPr>
            <w:r>
              <w:rPr>
                <w:rFonts w:ascii="Arial" w:cs="Arial" w:eastAsia="Arial" w:hAnsi="Arial"/>
                <w:sz w:val="15"/>
                <w:szCs w:val="15"/>
                <w:color w:val="7B7C80"/>
              </w:rPr>
              <w:t>7.00%</w:t>
            </w:r>
          </w:p>
        </w:tc>
        <w:tc>
          <w:tcPr>
            <w:tcW w:w="860" w:type="dxa"/>
            <w:vAlign w:val="bottom"/>
            <w:tcBorders>
              <w:bottom w:val="single" w:sz="8" w:color="7B7C80"/>
            </w:tcBorders>
            <w:gridSpan w:val="3"/>
          </w:tcPr>
          <w:p>
            <w:pPr>
              <w:jc w:val="right"/>
              <w:spacing w:after="0" w:line="164" w:lineRule="exact"/>
              <w:rPr>
                <w:sz w:val="20"/>
                <w:szCs w:val="20"/>
                <w:color w:val="auto"/>
              </w:rPr>
            </w:pPr>
            <w:r>
              <w:rPr>
                <w:rFonts w:ascii="Arial" w:cs="Arial" w:eastAsia="Arial" w:hAnsi="Arial"/>
                <w:sz w:val="15"/>
                <w:szCs w:val="15"/>
                <w:color w:val="7B7C80"/>
              </w:rPr>
              <w:t>3.50%</w:t>
            </w: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7B7C80"/>
            </w:tcBorders>
            <w:shd w:val="clear" w:color="auto" w:fill="E7E6E7"/>
          </w:tcPr>
          <w:p>
            <w:pPr>
              <w:spacing w:after="0"/>
              <w:rPr>
                <w:sz w:val="14"/>
                <w:szCs w:val="14"/>
                <w:color w:val="auto"/>
              </w:rPr>
            </w:pPr>
          </w:p>
        </w:tc>
        <w:tc>
          <w:tcPr>
            <w:tcW w:w="7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60 – 69</w:t>
            </w:r>
          </w:p>
        </w:tc>
        <w:tc>
          <w:tcPr>
            <w:tcW w:w="1540" w:type="dxa"/>
            <w:vAlign w:val="bottom"/>
            <w:tcBorders>
              <w:bottom w:val="single" w:sz="8" w:color="7B7C80"/>
            </w:tcBorders>
            <w:gridSpan w:val="4"/>
            <w:shd w:val="clear" w:color="auto" w:fill="E7E6E7"/>
          </w:tcPr>
          <w:p>
            <w:pPr>
              <w:jc w:val="right"/>
              <w:ind w:right="436"/>
              <w:spacing w:after="0" w:line="164" w:lineRule="exact"/>
              <w:rPr>
                <w:sz w:val="20"/>
                <w:szCs w:val="20"/>
                <w:color w:val="auto"/>
              </w:rPr>
            </w:pPr>
            <w:r>
              <w:rPr>
                <w:rFonts w:ascii="Arial" w:cs="Arial" w:eastAsia="Arial" w:hAnsi="Arial"/>
                <w:sz w:val="15"/>
                <w:szCs w:val="15"/>
                <w:color w:val="7B7C80"/>
              </w:rPr>
              <w:t>9.00%</w:t>
            </w:r>
          </w:p>
        </w:tc>
        <w:tc>
          <w:tcPr>
            <w:tcW w:w="860" w:type="dxa"/>
            <w:vAlign w:val="bottom"/>
            <w:tcBorders>
              <w:bottom w:val="single" w:sz="8" w:color="7B7C80"/>
            </w:tcBorders>
            <w:gridSpan w:val="3"/>
            <w:shd w:val="clear" w:color="auto" w:fill="E7E6E7"/>
          </w:tcPr>
          <w:p>
            <w:pPr>
              <w:jc w:val="right"/>
              <w:spacing w:after="0" w:line="164" w:lineRule="exact"/>
              <w:rPr>
                <w:sz w:val="20"/>
                <w:szCs w:val="20"/>
                <w:color w:val="auto"/>
              </w:rPr>
            </w:pPr>
            <w:r>
              <w:rPr>
                <w:rFonts w:ascii="Arial" w:cs="Arial" w:eastAsia="Arial" w:hAnsi="Arial"/>
                <w:sz w:val="15"/>
                <w:szCs w:val="15"/>
                <w:color w:val="7B7C80"/>
              </w:rPr>
              <w:t>4.50%</w:t>
            </w: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7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70 – 79</w:t>
            </w:r>
          </w:p>
        </w:tc>
        <w:tc>
          <w:tcPr>
            <w:tcW w:w="1540" w:type="dxa"/>
            <w:vAlign w:val="bottom"/>
            <w:tcBorders>
              <w:bottom w:val="single" w:sz="8" w:color="7B7C80"/>
            </w:tcBorders>
            <w:gridSpan w:val="4"/>
          </w:tcPr>
          <w:p>
            <w:pPr>
              <w:jc w:val="right"/>
              <w:ind w:right="436"/>
              <w:spacing w:after="0" w:line="164" w:lineRule="exact"/>
              <w:rPr>
                <w:sz w:val="20"/>
                <w:szCs w:val="20"/>
                <w:color w:val="auto"/>
              </w:rPr>
            </w:pPr>
            <w:r>
              <w:rPr>
                <w:rFonts w:ascii="Arial" w:cs="Arial" w:eastAsia="Arial" w:hAnsi="Arial"/>
                <w:sz w:val="15"/>
                <w:szCs w:val="15"/>
                <w:color w:val="7B7C80"/>
              </w:rPr>
              <w:t>11.50%</w:t>
            </w:r>
          </w:p>
        </w:tc>
        <w:tc>
          <w:tcPr>
            <w:tcW w:w="860" w:type="dxa"/>
            <w:vAlign w:val="bottom"/>
            <w:tcBorders>
              <w:bottom w:val="single" w:sz="8" w:color="7B7C80"/>
            </w:tcBorders>
            <w:gridSpan w:val="3"/>
          </w:tcPr>
          <w:p>
            <w:pPr>
              <w:jc w:val="right"/>
              <w:spacing w:after="0" w:line="164" w:lineRule="exact"/>
              <w:rPr>
                <w:sz w:val="20"/>
                <w:szCs w:val="20"/>
                <w:color w:val="auto"/>
              </w:rPr>
            </w:pPr>
            <w:r>
              <w:rPr>
                <w:rFonts w:ascii="Arial" w:cs="Arial" w:eastAsia="Arial" w:hAnsi="Arial"/>
                <w:sz w:val="15"/>
                <w:szCs w:val="15"/>
                <w:color w:val="7B7C80"/>
              </w:rPr>
              <w:t>5.75%</w:t>
            </w: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20" w:type="dxa"/>
            <w:vAlign w:val="bottom"/>
            <w:tcBorders>
              <w:bottom w:val="single" w:sz="8" w:color="009CCC"/>
            </w:tcBorders>
            <w:gridSpan w:val="2"/>
            <w:shd w:val="clear" w:color="auto" w:fill="E7E6E7"/>
          </w:tcPr>
          <w:p>
            <w:pPr>
              <w:jc w:val="right"/>
              <w:spacing w:after="0" w:line="164" w:lineRule="exact"/>
              <w:rPr>
                <w:sz w:val="20"/>
                <w:szCs w:val="20"/>
                <w:color w:val="auto"/>
              </w:rPr>
            </w:pPr>
            <w:r>
              <w:rPr>
                <w:rFonts w:ascii="Arial" w:cs="Arial" w:eastAsia="Arial" w:hAnsi="Arial"/>
                <w:sz w:val="15"/>
                <w:szCs w:val="15"/>
                <w:color w:val="7B7C80"/>
              </w:rPr>
              <w:t>80 or more</w:t>
            </w:r>
          </w:p>
        </w:tc>
        <w:tc>
          <w:tcPr>
            <w:tcW w:w="1540" w:type="dxa"/>
            <w:vAlign w:val="bottom"/>
            <w:tcBorders>
              <w:bottom w:val="single" w:sz="8" w:color="009CCC"/>
            </w:tcBorders>
            <w:gridSpan w:val="4"/>
            <w:shd w:val="clear" w:color="auto" w:fill="E7E6E7"/>
          </w:tcPr>
          <w:p>
            <w:pPr>
              <w:jc w:val="right"/>
              <w:ind w:right="436"/>
              <w:spacing w:after="0" w:line="164" w:lineRule="exact"/>
              <w:rPr>
                <w:sz w:val="20"/>
                <w:szCs w:val="20"/>
                <w:color w:val="auto"/>
              </w:rPr>
            </w:pPr>
            <w:r>
              <w:rPr>
                <w:rFonts w:ascii="Arial" w:cs="Arial" w:eastAsia="Arial" w:hAnsi="Arial"/>
                <w:sz w:val="15"/>
                <w:szCs w:val="15"/>
                <w:color w:val="7B7C80"/>
              </w:rPr>
              <w:t>14.00%</w:t>
            </w:r>
          </w:p>
        </w:tc>
        <w:tc>
          <w:tcPr>
            <w:tcW w:w="860" w:type="dxa"/>
            <w:vAlign w:val="bottom"/>
            <w:tcBorders>
              <w:bottom w:val="single" w:sz="8" w:color="009CCC"/>
            </w:tcBorders>
            <w:gridSpan w:val="3"/>
            <w:shd w:val="clear" w:color="auto" w:fill="E7E6E7"/>
          </w:tcPr>
          <w:p>
            <w:pPr>
              <w:jc w:val="right"/>
              <w:spacing w:after="0" w:line="164" w:lineRule="exact"/>
              <w:rPr>
                <w:sz w:val="20"/>
                <w:szCs w:val="20"/>
                <w:color w:val="auto"/>
              </w:rPr>
            </w:pPr>
            <w:r>
              <w:rPr>
                <w:rFonts w:ascii="Arial" w:cs="Arial" w:eastAsia="Arial" w:hAnsi="Arial"/>
                <w:sz w:val="15"/>
                <w:szCs w:val="15"/>
                <w:color w:val="7B7C80"/>
              </w:rPr>
              <w:t>7.00%</w:t>
            </w: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7840" w:type="dxa"/>
            <w:vAlign w:val="bottom"/>
            <w:tcBorders>
              <w:left w:val="single" w:sz="8" w:color="7B7C80"/>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 xml:space="preserve">• </w:t>
            </w:r>
            <w:r>
              <w:rPr>
                <w:rFonts w:ascii="Arial" w:cs="Arial" w:eastAsia="Arial" w:hAnsi="Arial"/>
                <w:sz w:val="15"/>
                <w:szCs w:val="15"/>
                <w:b w:val="1"/>
                <w:bCs w:val="1"/>
                <w:color w:val="7B7C80"/>
              </w:rPr>
              <w:t>Mr. Lillis is</w:t>
            </w:r>
            <w:r>
              <w:rPr>
                <w:rFonts w:ascii="Arial" w:cs="Arial" w:eastAsia="Arial" w:hAnsi="Arial"/>
                <w:sz w:val="15"/>
                <w:szCs w:val="15"/>
                <w:color w:val="7B7C80"/>
              </w:rPr>
              <w:t xml:space="preserve"> receiving a retirement benefit under the Traditional Formula.</w:t>
            </w:r>
          </w:p>
        </w:tc>
        <w:tc>
          <w:tcPr>
            <w:tcW w:w="2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340" w:type="dxa"/>
            <w:vAlign w:val="bottom"/>
            <w:tcBorders>
              <w:bottom w:val="single" w:sz="8" w:color="7B7C80"/>
            </w:tcBorders>
            <w:gridSpan w:val="5"/>
          </w:tcPr>
          <w:p>
            <w:pPr>
              <w:spacing w:after="0" w:line="149" w:lineRule="exact"/>
              <w:rPr>
                <w:sz w:val="20"/>
                <w:szCs w:val="20"/>
                <w:color w:val="auto"/>
              </w:rPr>
            </w:pPr>
            <w:r>
              <w:rPr>
                <w:rFonts w:ascii="Arial" w:cs="Arial" w:eastAsia="Arial" w:hAnsi="Arial"/>
                <w:sz w:val="15"/>
                <w:szCs w:val="15"/>
                <w:b w:val="1"/>
                <w:bCs w:val="1"/>
                <w:color w:val="7B7C80"/>
                <w:w w:val="96"/>
              </w:rPr>
              <w:t>NQ Defined Benefit</w:t>
            </w:r>
          </w:p>
        </w:tc>
        <w:tc>
          <w:tcPr>
            <w:tcW w:w="10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7840" w:type="dxa"/>
            <w:vAlign w:val="bottom"/>
            <w:tcBorders>
              <w:left w:val="single" w:sz="8" w:color="7B7C80"/>
              <w:right w:val="single" w:sz="8" w:color="7B7C80"/>
            </w:tcBorders>
            <w:vMerge w:val="continue"/>
          </w:tcPr>
          <w:p>
            <w:pPr>
              <w:spacing w:after="0"/>
              <w:rPr>
                <w:sz w:val="14"/>
                <w:szCs w:val="14"/>
                <w:color w:val="auto"/>
              </w:rPr>
            </w:pPr>
          </w:p>
        </w:tc>
        <w:tc>
          <w:tcPr>
            <w:tcW w:w="260" w:type="dxa"/>
            <w:vAlign w:val="bottom"/>
          </w:tcPr>
          <w:p>
            <w:pPr>
              <w:spacing w:after="0"/>
              <w:rPr>
                <w:sz w:val="14"/>
                <w:szCs w:val="14"/>
                <w:color w:val="auto"/>
              </w:rPr>
            </w:pPr>
          </w:p>
        </w:tc>
        <w:tc>
          <w:tcPr>
            <w:tcW w:w="3160" w:type="dxa"/>
            <w:vAlign w:val="bottom"/>
            <w:gridSpan w:val="9"/>
            <w:vMerge w:val="restart"/>
          </w:tcPr>
          <w:p>
            <w:pPr>
              <w:spacing w:after="0"/>
              <w:rPr>
                <w:sz w:val="20"/>
                <w:szCs w:val="20"/>
                <w:color w:val="auto"/>
              </w:rPr>
            </w:pPr>
            <w:r>
              <w:rPr>
                <w:rFonts w:ascii="Arial" w:cs="Arial" w:eastAsia="Arial" w:hAnsi="Arial"/>
                <w:sz w:val="15"/>
                <w:szCs w:val="15"/>
                <w:color w:val="7B7C80"/>
              </w:rPr>
              <w:t>The NQDB benefit formula for Grandfathered</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5"/>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3160" w:type="dxa"/>
            <w:vAlign w:val="bottom"/>
            <w:gridSpan w:val="9"/>
            <w:vMerge w:val="continue"/>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3160" w:type="dxa"/>
            <w:vAlign w:val="bottom"/>
            <w:gridSpan w:val="9"/>
          </w:tcPr>
          <w:p>
            <w:pPr>
              <w:spacing w:after="0"/>
              <w:rPr>
                <w:sz w:val="20"/>
                <w:szCs w:val="20"/>
                <w:color w:val="auto"/>
              </w:rPr>
            </w:pPr>
            <w:r>
              <w:rPr>
                <w:rFonts w:ascii="Arial" w:cs="Arial" w:eastAsia="Arial" w:hAnsi="Arial"/>
                <w:sz w:val="15"/>
                <w:szCs w:val="15"/>
                <w:color w:val="7B7C80"/>
                <w:w w:val="99"/>
              </w:rPr>
              <w:t>Participants hired before January 1, 2002 is the</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9"/>
        </w:trPr>
        <w:tc>
          <w:tcPr>
            <w:tcW w:w="7840" w:type="dxa"/>
            <w:vAlign w:val="bottom"/>
            <w:tcBorders>
              <w:left w:val="single" w:sz="8" w:color="7B7C80"/>
              <w:right w:val="single" w:sz="8" w:color="7B7C80"/>
            </w:tcBorders>
          </w:tcPr>
          <w:p>
            <w:pPr>
              <w:spacing w:after="0"/>
              <w:rPr>
                <w:sz w:val="15"/>
                <w:szCs w:val="15"/>
                <w:color w:val="auto"/>
              </w:rPr>
            </w:pPr>
          </w:p>
        </w:tc>
        <w:tc>
          <w:tcPr>
            <w:tcW w:w="260" w:type="dxa"/>
            <w:vAlign w:val="bottom"/>
          </w:tcPr>
          <w:p>
            <w:pPr>
              <w:spacing w:after="0"/>
              <w:rPr>
                <w:sz w:val="15"/>
                <w:szCs w:val="15"/>
                <w:color w:val="auto"/>
              </w:rPr>
            </w:pPr>
          </w:p>
        </w:tc>
        <w:tc>
          <w:tcPr>
            <w:tcW w:w="840" w:type="dxa"/>
            <w:vAlign w:val="bottom"/>
            <w:gridSpan w:val="3"/>
          </w:tcPr>
          <w:p>
            <w:pPr>
              <w:spacing w:after="0"/>
              <w:rPr>
                <w:sz w:val="20"/>
                <w:szCs w:val="20"/>
                <w:color w:val="auto"/>
              </w:rPr>
            </w:pPr>
            <w:r>
              <w:rPr>
                <w:rFonts w:ascii="Arial" w:cs="Arial" w:eastAsia="Arial" w:hAnsi="Arial"/>
                <w:sz w:val="15"/>
                <w:szCs w:val="15"/>
                <w:color w:val="7B7C80"/>
              </w:rPr>
              <w:t>greater of:</w:t>
            </w:r>
          </w:p>
        </w:tc>
        <w:tc>
          <w:tcPr>
            <w:tcW w:w="1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337"/>
        </w:trPr>
        <w:tc>
          <w:tcPr>
            <w:tcW w:w="7840" w:type="dxa"/>
            <w:vAlign w:val="bottom"/>
            <w:tcBorders>
              <w:left w:val="single" w:sz="8" w:color="7B7C80"/>
              <w:right w:val="single" w:sz="8" w:color="7B7C80"/>
            </w:tcBorders>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gridSpan w:val="2"/>
          </w:tcPr>
          <w:p>
            <w:pPr>
              <w:spacing w:after="0"/>
              <w:rPr>
                <w:sz w:val="20"/>
                <w:szCs w:val="20"/>
                <w:color w:val="auto"/>
              </w:rPr>
            </w:pPr>
            <w:r>
              <w:rPr>
                <w:rFonts w:ascii="Arial" w:cs="Arial" w:eastAsia="Arial" w:hAnsi="Arial"/>
                <w:sz w:val="15"/>
                <w:szCs w:val="15"/>
                <w:color w:val="7B7C80"/>
              </w:rPr>
              <w:t>•</w:t>
            </w:r>
          </w:p>
        </w:tc>
        <w:tc>
          <w:tcPr>
            <w:tcW w:w="3060" w:type="dxa"/>
            <w:vAlign w:val="bottom"/>
            <w:gridSpan w:val="7"/>
          </w:tcPr>
          <w:p>
            <w:pPr>
              <w:ind w:left="40"/>
              <w:spacing w:after="0"/>
              <w:rPr>
                <w:sz w:val="20"/>
                <w:szCs w:val="20"/>
                <w:color w:val="auto"/>
              </w:rPr>
            </w:pPr>
            <w:r>
              <w:rPr>
                <w:rFonts w:ascii="Arial" w:cs="Arial" w:eastAsia="Arial" w:hAnsi="Arial"/>
                <w:sz w:val="15"/>
                <w:szCs w:val="15"/>
                <w:color w:val="7B7C80"/>
              </w:rPr>
              <w:t>65% of Average Compensation, offset by</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Borders>
              <w:right w:val="single" w:sz="8" w:color="7B7C80"/>
            </w:tcBorders>
          </w:tcPr>
          <w:p>
            <w:pPr>
              <w:spacing w:after="0"/>
              <w:rPr>
                <w:sz w:val="24"/>
                <w:szCs w:val="24"/>
                <w:color w:val="auto"/>
              </w:rPr>
            </w:pPr>
          </w:p>
        </w:tc>
        <w:tc>
          <w:tcPr>
            <w:tcW w:w="0" w:type="dxa"/>
            <w:vAlign w:val="bottom"/>
          </w:tcPr>
          <w:p>
            <w:pPr>
              <w:spacing w:after="0"/>
              <w:rPr>
                <w:sz w:val="1"/>
                <w:szCs w:val="1"/>
                <w:color w:val="auto"/>
              </w:rPr>
            </w:pPr>
          </w:p>
        </w:tc>
      </w:tr>
      <w:tr>
        <w:trPr>
          <w:trHeight w:val="179"/>
        </w:trPr>
        <w:tc>
          <w:tcPr>
            <w:tcW w:w="7840" w:type="dxa"/>
            <w:vAlign w:val="bottom"/>
            <w:tcBorders>
              <w:left w:val="single" w:sz="8" w:color="7B7C80"/>
              <w:right w:val="single" w:sz="8" w:color="7B7C80"/>
            </w:tcBorders>
          </w:tcPr>
          <w:p>
            <w:pPr>
              <w:spacing w:after="0"/>
              <w:rPr>
                <w:sz w:val="15"/>
                <w:szCs w:val="15"/>
                <w:color w:val="auto"/>
              </w:rPr>
            </w:pP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060" w:type="dxa"/>
            <w:vAlign w:val="bottom"/>
            <w:gridSpan w:val="7"/>
          </w:tcPr>
          <w:p>
            <w:pPr>
              <w:ind w:left="40"/>
              <w:spacing w:after="0"/>
              <w:rPr>
                <w:sz w:val="20"/>
                <w:szCs w:val="20"/>
                <w:color w:val="auto"/>
              </w:rPr>
            </w:pPr>
            <w:r>
              <w:rPr>
                <w:rFonts w:ascii="Arial" w:cs="Arial" w:eastAsia="Arial" w:hAnsi="Arial"/>
                <w:sz w:val="15"/>
                <w:szCs w:val="15"/>
                <w:color w:val="7B7C80"/>
              </w:rPr>
              <w:t>Social Security and DB Plan benefits; or</w:t>
            </w: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337"/>
        </w:trPr>
        <w:tc>
          <w:tcPr>
            <w:tcW w:w="7840" w:type="dxa"/>
            <w:vAlign w:val="bottom"/>
            <w:tcBorders>
              <w:left w:val="single" w:sz="8" w:color="7B7C80"/>
              <w:right w:val="single" w:sz="8" w:color="7B7C80"/>
            </w:tcBorders>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gridSpan w:val="2"/>
          </w:tcPr>
          <w:p>
            <w:pPr>
              <w:spacing w:after="0"/>
              <w:rPr>
                <w:sz w:val="20"/>
                <w:szCs w:val="20"/>
                <w:color w:val="auto"/>
              </w:rPr>
            </w:pPr>
            <w:r>
              <w:rPr>
                <w:rFonts w:ascii="Arial" w:cs="Arial" w:eastAsia="Arial" w:hAnsi="Arial"/>
                <w:sz w:val="15"/>
                <w:szCs w:val="15"/>
                <w:color w:val="7B7C80"/>
              </w:rPr>
              <w:t>•</w:t>
            </w:r>
          </w:p>
        </w:tc>
        <w:tc>
          <w:tcPr>
            <w:tcW w:w="3060" w:type="dxa"/>
            <w:vAlign w:val="bottom"/>
            <w:gridSpan w:val="7"/>
          </w:tcPr>
          <w:p>
            <w:pPr>
              <w:ind w:left="40"/>
              <w:spacing w:after="0"/>
              <w:rPr>
                <w:sz w:val="20"/>
                <w:szCs w:val="20"/>
                <w:color w:val="auto"/>
              </w:rPr>
            </w:pPr>
            <w:r>
              <w:rPr>
                <w:rFonts w:ascii="Arial" w:cs="Arial" w:eastAsia="Arial" w:hAnsi="Arial"/>
                <w:sz w:val="15"/>
                <w:szCs w:val="15"/>
                <w:color w:val="7B7C80"/>
              </w:rPr>
              <w:t>The greater of the traditional or cash balance</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Borders>
              <w:right w:val="single" w:sz="8" w:color="7B7C80"/>
            </w:tcBorders>
          </w:tcPr>
          <w:p>
            <w:pPr>
              <w:spacing w:after="0"/>
              <w:rPr>
                <w:sz w:val="24"/>
                <w:szCs w:val="24"/>
                <w:color w:val="auto"/>
              </w:rPr>
            </w:pPr>
          </w:p>
        </w:tc>
        <w:tc>
          <w:tcPr>
            <w:tcW w:w="0" w:type="dxa"/>
            <w:vAlign w:val="bottom"/>
          </w:tcPr>
          <w:p>
            <w:pPr>
              <w:spacing w:after="0"/>
              <w:rPr>
                <w:sz w:val="1"/>
                <w:szCs w:val="1"/>
                <w:color w:val="auto"/>
              </w:rPr>
            </w:pPr>
          </w:p>
        </w:tc>
      </w:tr>
      <w:tr>
        <w:trPr>
          <w:trHeight w:val="172"/>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10"/>
          </w:tcPr>
          <w:p>
            <w:pPr>
              <w:ind w:left="40"/>
              <w:spacing w:after="0"/>
              <w:rPr>
                <w:sz w:val="20"/>
                <w:szCs w:val="20"/>
                <w:color w:val="auto"/>
              </w:rPr>
            </w:pPr>
            <w:r>
              <w:rPr>
                <w:rFonts w:ascii="Arial" w:cs="Arial" w:eastAsia="Arial" w:hAnsi="Arial"/>
                <w:sz w:val="15"/>
                <w:szCs w:val="15"/>
                <w:color w:val="7B7C80"/>
              </w:rPr>
              <w:t>DB Plan benefit for Grandfathered Participants</w:t>
            </w:r>
          </w:p>
        </w:tc>
        <w:tc>
          <w:tcPr>
            <w:tcW w:w="0" w:type="dxa"/>
            <w:vAlign w:val="bottom"/>
          </w:tcPr>
          <w:p>
            <w:pPr>
              <w:spacing w:after="0"/>
              <w:rPr>
                <w:sz w:val="1"/>
                <w:szCs w:val="1"/>
                <w:color w:val="auto"/>
              </w:rPr>
            </w:pPr>
          </w:p>
        </w:tc>
      </w:tr>
      <w:tr>
        <w:trPr>
          <w:trHeight w:val="172"/>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10"/>
          </w:tcPr>
          <w:p>
            <w:pPr>
              <w:ind w:left="40"/>
              <w:spacing w:after="0"/>
              <w:rPr>
                <w:sz w:val="20"/>
                <w:szCs w:val="20"/>
                <w:color w:val="auto"/>
              </w:rPr>
            </w:pPr>
            <w:r>
              <w:rPr>
                <w:rFonts w:ascii="Arial" w:cs="Arial" w:eastAsia="Arial" w:hAnsi="Arial"/>
                <w:sz w:val="15"/>
                <w:szCs w:val="15"/>
                <w:color w:val="7B7C80"/>
              </w:rPr>
              <w:t>without regard to Tax Code limits, offset by the</w:t>
            </w:r>
          </w:p>
        </w:tc>
        <w:tc>
          <w:tcPr>
            <w:tcW w:w="0" w:type="dxa"/>
            <w:vAlign w:val="bottom"/>
          </w:tcPr>
          <w:p>
            <w:pPr>
              <w:spacing w:after="0"/>
              <w:rPr>
                <w:sz w:val="1"/>
                <w:szCs w:val="1"/>
                <w:color w:val="auto"/>
              </w:rPr>
            </w:pPr>
          </w:p>
        </w:tc>
      </w:tr>
      <w:tr>
        <w:trPr>
          <w:trHeight w:val="172"/>
        </w:trPr>
        <w:tc>
          <w:tcPr>
            <w:tcW w:w="7840" w:type="dxa"/>
            <w:vAlign w:val="bottom"/>
            <w:tcBorders>
              <w:left w:val="single" w:sz="8" w:color="7B7C80"/>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060" w:type="dxa"/>
            <w:vAlign w:val="bottom"/>
            <w:gridSpan w:val="7"/>
          </w:tcPr>
          <w:p>
            <w:pPr>
              <w:ind w:left="40"/>
              <w:spacing w:after="0"/>
              <w:rPr>
                <w:sz w:val="20"/>
                <w:szCs w:val="20"/>
                <w:color w:val="auto"/>
              </w:rPr>
            </w:pPr>
            <w:r>
              <w:rPr>
                <w:rFonts w:ascii="Arial" w:cs="Arial" w:eastAsia="Arial" w:hAnsi="Arial"/>
                <w:sz w:val="15"/>
                <w:szCs w:val="15"/>
                <w:color w:val="7B7C80"/>
              </w:rPr>
              <w:t>benefit that can be provided under the DB</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9"/>
        </w:trPr>
        <w:tc>
          <w:tcPr>
            <w:tcW w:w="7840" w:type="dxa"/>
            <w:vAlign w:val="bottom"/>
            <w:tcBorders>
              <w:left w:val="single" w:sz="8" w:color="7B7C80"/>
              <w:right w:val="single" w:sz="8" w:color="7B7C80"/>
            </w:tcBorders>
          </w:tcPr>
          <w:p>
            <w:pPr>
              <w:spacing w:after="0"/>
              <w:rPr>
                <w:sz w:val="15"/>
                <w:szCs w:val="15"/>
                <w:color w:val="auto"/>
              </w:rPr>
            </w:pP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0" w:type="dxa"/>
            <w:vAlign w:val="bottom"/>
          </w:tcPr>
          <w:p>
            <w:pPr>
              <w:ind w:left="40"/>
              <w:spacing w:after="0"/>
              <w:rPr>
                <w:sz w:val="20"/>
                <w:szCs w:val="20"/>
                <w:color w:val="auto"/>
              </w:rPr>
            </w:pPr>
            <w:r>
              <w:rPr>
                <w:rFonts w:ascii="Arial" w:cs="Arial" w:eastAsia="Arial" w:hAnsi="Arial"/>
                <w:sz w:val="15"/>
                <w:szCs w:val="15"/>
                <w:color w:val="7B7C80"/>
              </w:rPr>
              <w:t>Plan.</w:t>
            </w:r>
          </w:p>
        </w:tc>
        <w:tc>
          <w:tcPr>
            <w:tcW w:w="1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174"/>
        </w:trPr>
        <w:tc>
          <w:tcPr>
            <w:tcW w:w="7840" w:type="dxa"/>
            <w:vAlign w:val="bottom"/>
            <w:tcBorders>
              <w:left w:val="single" w:sz="8" w:color="7B7C80"/>
              <w:right w:val="single" w:sz="8" w:color="7B7C80"/>
            </w:tcBorders>
          </w:tcPr>
          <w:p>
            <w:pPr>
              <w:spacing w:after="0"/>
              <w:rPr>
                <w:sz w:val="15"/>
                <w:szCs w:val="15"/>
                <w:color w:val="auto"/>
              </w:rPr>
            </w:pP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320" w:type="dxa"/>
            <w:vAlign w:val="bottom"/>
            <w:tcBorders>
              <w:bottom w:val="single" w:sz="8" w:color="7B7C80"/>
            </w:tcBorders>
            <w:gridSpan w:val="4"/>
          </w:tcPr>
          <w:p>
            <w:pPr>
              <w:spacing w:after="0"/>
              <w:rPr>
                <w:sz w:val="15"/>
                <w:szCs w:val="15"/>
                <w:color w:val="auto"/>
              </w:rPr>
            </w:pPr>
          </w:p>
        </w:tc>
        <w:tc>
          <w:tcPr>
            <w:tcW w:w="20" w:type="dxa"/>
            <w:vAlign w:val="bottom"/>
            <w:tcBorders>
              <w:bottom w:val="single" w:sz="8" w:color="7B7C80"/>
            </w:tcBorders>
          </w:tcPr>
          <w:p>
            <w:pPr>
              <w:spacing w:after="0"/>
              <w:rPr>
                <w:sz w:val="15"/>
                <w:szCs w:val="15"/>
                <w:color w:val="auto"/>
              </w:rPr>
            </w:pPr>
          </w:p>
        </w:tc>
        <w:tc>
          <w:tcPr>
            <w:tcW w:w="1620" w:type="dxa"/>
            <w:vAlign w:val="bottom"/>
            <w:tcBorders>
              <w:bottom w:val="single" w:sz="8" w:color="7B7C80"/>
            </w:tcBorders>
            <w:gridSpan w:val="2"/>
          </w:tcPr>
          <w:p>
            <w:pPr>
              <w:spacing w:after="0"/>
              <w:rPr>
                <w:sz w:val="15"/>
                <w:szCs w:val="15"/>
                <w:color w:val="auto"/>
              </w:rPr>
            </w:pPr>
          </w:p>
        </w:tc>
        <w:tc>
          <w:tcPr>
            <w:tcW w:w="180" w:type="dxa"/>
            <w:vAlign w:val="bottom"/>
            <w:tcBorders>
              <w:bottom w:val="single" w:sz="8" w:color="7B7C80"/>
            </w:tcBorders>
          </w:tcPr>
          <w:p>
            <w:pPr>
              <w:spacing w:after="0"/>
              <w:rPr>
                <w:sz w:val="15"/>
                <w:szCs w:val="15"/>
                <w:color w:val="auto"/>
              </w:rPr>
            </w:pPr>
          </w:p>
        </w:tc>
        <w:tc>
          <w:tcPr>
            <w:tcW w:w="80" w:type="dxa"/>
            <w:vAlign w:val="bottom"/>
            <w:tcBorders>
              <w:bottom w:val="single" w:sz="8" w:color="7B7C80"/>
            </w:tcBorders>
          </w:tcPr>
          <w:p>
            <w:pPr>
              <w:spacing w:after="0"/>
              <w:rPr>
                <w:sz w:val="15"/>
                <w:szCs w:val="15"/>
                <w:color w:val="auto"/>
              </w:rPr>
            </w:pPr>
          </w:p>
        </w:tc>
        <w:tc>
          <w:tcPr>
            <w:tcW w:w="20" w:type="dxa"/>
            <w:vAlign w:val="bottom"/>
            <w:tcBorders>
              <w:bottom w:val="single" w:sz="8" w:color="7B7C80"/>
            </w:tcBorders>
          </w:tcPr>
          <w:p>
            <w:pPr>
              <w:spacing w:after="0"/>
              <w:rPr>
                <w:sz w:val="15"/>
                <w:szCs w:val="15"/>
                <w:color w:val="auto"/>
              </w:rPr>
            </w:pPr>
          </w:p>
        </w:tc>
        <w:tc>
          <w:tcPr>
            <w:tcW w:w="8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234"/>
        </w:trPr>
        <w:tc>
          <w:tcPr>
            <w:tcW w:w="7840" w:type="dxa"/>
            <w:vAlign w:val="bottom"/>
            <w:tcBorders>
              <w:left w:val="single" w:sz="8" w:color="7B7C80"/>
              <w:right w:val="single" w:sz="8" w:color="7B7C80"/>
            </w:tcBorders>
          </w:tcPr>
          <w:p>
            <w:pPr>
              <w:spacing w:after="0"/>
              <w:rPr>
                <w:sz w:val="20"/>
                <w:szCs w:val="20"/>
                <w:color w:val="auto"/>
              </w:rPr>
            </w:pPr>
          </w:p>
        </w:tc>
        <w:tc>
          <w:tcPr>
            <w:tcW w:w="260" w:type="dxa"/>
            <w:vAlign w:val="bottom"/>
          </w:tcPr>
          <w:p>
            <w:pPr>
              <w:spacing w:after="0"/>
              <w:rPr>
                <w:sz w:val="20"/>
                <w:szCs w:val="20"/>
                <w:color w:val="auto"/>
              </w:rPr>
            </w:pPr>
          </w:p>
        </w:tc>
        <w:tc>
          <w:tcPr>
            <w:tcW w:w="3160" w:type="dxa"/>
            <w:vAlign w:val="bottom"/>
            <w:gridSpan w:val="9"/>
          </w:tcPr>
          <w:p>
            <w:pPr>
              <w:spacing w:after="0"/>
              <w:rPr>
                <w:sz w:val="20"/>
                <w:szCs w:val="20"/>
                <w:color w:val="auto"/>
              </w:rPr>
            </w:pPr>
            <w:r>
              <w:rPr>
                <w:rFonts w:ascii="Arial" w:cs="Arial" w:eastAsia="Arial" w:hAnsi="Arial"/>
                <w:sz w:val="12"/>
                <w:szCs w:val="12"/>
                <w:color w:val="7B7C80"/>
              </w:rPr>
              <w:t>(1)  The Covered Compensation Table in the Tax Code.</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Borders>
              <w:right w:val="single" w:sz="8" w:color="7B7C80"/>
            </w:tcBorders>
          </w:tcPr>
          <w:p>
            <w:pPr>
              <w:spacing w:after="0"/>
              <w:rPr>
                <w:sz w:val="20"/>
                <w:szCs w:val="20"/>
                <w:color w:val="auto"/>
              </w:rPr>
            </w:pPr>
          </w:p>
        </w:tc>
        <w:tc>
          <w:tcPr>
            <w:tcW w:w="0" w:type="dxa"/>
            <w:vAlign w:val="bottom"/>
          </w:tcPr>
          <w:p>
            <w:pPr>
              <w:spacing w:after="0"/>
              <w:rPr>
                <w:sz w:val="1"/>
                <w:szCs w:val="1"/>
                <w:color w:val="auto"/>
              </w:rPr>
            </w:pPr>
          </w:p>
        </w:tc>
      </w:tr>
      <w:tr>
        <w:trPr>
          <w:trHeight w:val="308"/>
        </w:trPr>
        <w:tc>
          <w:tcPr>
            <w:tcW w:w="7840" w:type="dxa"/>
            <w:vAlign w:val="bottom"/>
            <w:tcBorders>
              <w:left w:val="single" w:sz="8" w:color="7B7C80"/>
              <w:bottom w:val="single" w:sz="8" w:color="7B7C80"/>
              <w:right w:val="single" w:sz="8" w:color="7B7C80"/>
            </w:tcBorders>
          </w:tcPr>
          <w:p>
            <w:pPr>
              <w:spacing w:after="0"/>
              <w:rPr>
                <w:sz w:val="24"/>
                <w:szCs w:val="24"/>
                <w:color w:val="auto"/>
              </w:rPr>
            </w:pPr>
          </w:p>
        </w:tc>
        <w:tc>
          <w:tcPr>
            <w:tcW w:w="260" w:type="dxa"/>
            <w:vAlign w:val="bottom"/>
            <w:tcBorders>
              <w:bottom w:val="single" w:sz="8" w:color="7B7C80"/>
            </w:tcBorders>
          </w:tcPr>
          <w:p>
            <w:pPr>
              <w:spacing w:after="0"/>
              <w:rPr>
                <w:sz w:val="24"/>
                <w:szCs w:val="24"/>
                <w:color w:val="auto"/>
              </w:rPr>
            </w:pPr>
          </w:p>
        </w:tc>
        <w:tc>
          <w:tcPr>
            <w:tcW w:w="3160" w:type="dxa"/>
            <w:vAlign w:val="bottom"/>
            <w:tcBorders>
              <w:bottom w:val="single" w:sz="8" w:color="7B7C80"/>
            </w:tcBorders>
            <w:gridSpan w:val="9"/>
          </w:tcPr>
          <w:p>
            <w:pPr>
              <w:spacing w:after="0"/>
              <w:rPr>
                <w:sz w:val="20"/>
                <w:szCs w:val="20"/>
                <w:color w:val="auto"/>
              </w:rPr>
            </w:pPr>
            <w:r>
              <w:rPr>
                <w:rFonts w:ascii="Arial" w:cs="Arial" w:eastAsia="Arial" w:hAnsi="Arial"/>
                <w:sz w:val="12"/>
                <w:szCs w:val="12"/>
                <w:color w:val="7B7C80"/>
              </w:rPr>
              <w:t>(2)  The Social Security Taxable Wage Base.</w:t>
            </w:r>
          </w:p>
        </w:tc>
        <w:tc>
          <w:tcPr>
            <w:tcW w:w="80" w:type="dxa"/>
            <w:vAlign w:val="bottom"/>
            <w:tcBorders>
              <w:bottom w:val="single" w:sz="8" w:color="7B7C80"/>
            </w:tcBorders>
          </w:tcPr>
          <w:p>
            <w:pPr>
              <w:spacing w:after="0"/>
              <w:rPr>
                <w:sz w:val="24"/>
                <w:szCs w:val="24"/>
                <w:color w:val="auto"/>
              </w:rPr>
            </w:pPr>
          </w:p>
        </w:tc>
        <w:tc>
          <w:tcPr>
            <w:tcW w:w="20" w:type="dxa"/>
            <w:vAlign w:val="bottom"/>
            <w:tcBorders>
              <w:bottom w:val="single" w:sz="8" w:color="7B7C80"/>
            </w:tcBorders>
          </w:tcPr>
          <w:p>
            <w:pPr>
              <w:spacing w:after="0"/>
              <w:rPr>
                <w:sz w:val="24"/>
                <w:szCs w:val="24"/>
                <w:color w:val="auto"/>
              </w:rPr>
            </w:pPr>
          </w:p>
        </w:tc>
        <w:tc>
          <w:tcPr>
            <w:tcW w:w="80" w:type="dxa"/>
            <w:vAlign w:val="bottom"/>
            <w:tcBorders>
              <w:bottom w:val="single" w:sz="8" w:color="7B7C80"/>
              <w:right w:val="single" w:sz="8" w:color="7B7C80"/>
            </w:tcBorders>
          </w:tcPr>
          <w:p>
            <w:pPr>
              <w:spacing w:after="0"/>
              <w:rPr>
                <w:sz w:val="24"/>
                <w:szCs w:val="24"/>
                <w:color w:val="auto"/>
              </w:rPr>
            </w:pPr>
          </w:p>
        </w:tc>
        <w:tc>
          <w:tcPr>
            <w:tcW w:w="0" w:type="dxa"/>
            <w:vAlign w:val="bottom"/>
          </w:tcPr>
          <w:p>
            <w:pPr>
              <w:spacing w:after="0"/>
              <w:rPr>
                <w:sz w:val="1"/>
                <w:szCs w:val="1"/>
                <w:color w:val="auto"/>
              </w:rPr>
            </w:pPr>
          </w:p>
        </w:tc>
      </w:tr>
      <w:tr>
        <w:trPr>
          <w:trHeight w:val="494"/>
        </w:trPr>
        <w:tc>
          <w:tcPr>
            <w:tcW w:w="78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0" w:type="dxa"/>
            <w:vAlign w:val="bottom"/>
            <w:gridSpan w:val="3"/>
          </w:tcPr>
          <w:p>
            <w:pPr>
              <w:jc w:val="center"/>
              <w:ind w:right="320"/>
              <w:spacing w:after="0"/>
              <w:rPr>
                <w:sz w:val="20"/>
                <w:szCs w:val="20"/>
                <w:color w:val="auto"/>
              </w:rPr>
            </w:pPr>
            <w:r>
              <w:rPr>
                <w:rFonts w:ascii="Arial" w:cs="Arial" w:eastAsia="Arial" w:hAnsi="Arial"/>
                <w:sz w:val="15"/>
                <w:szCs w:val="15"/>
                <w:color w:val="7B7C80"/>
                <w:w w:val="99"/>
              </w:rPr>
              <w:t>2018 Proxy Statement</w:t>
            </w:r>
          </w:p>
        </w:tc>
        <w:tc>
          <w:tcPr>
            <w:tcW w:w="180" w:type="dxa"/>
            <w:vAlign w:val="bottom"/>
            <w:gridSpan w:val="3"/>
          </w:tcPr>
          <w:p>
            <w:pPr>
              <w:jc w:val="right"/>
              <w:spacing w:after="0"/>
              <w:rPr>
                <w:sz w:val="20"/>
                <w:szCs w:val="20"/>
                <w:color w:val="auto"/>
              </w:rPr>
            </w:pPr>
            <w:r>
              <w:rPr>
                <w:rFonts w:ascii="Arial" w:cs="Arial" w:eastAsia="Arial" w:hAnsi="Arial"/>
                <w:sz w:val="15"/>
                <w:szCs w:val="15"/>
                <w:color w:val="009CCC"/>
                <w:w w:val="95"/>
              </w:rPr>
              <w:t>47</w:t>
            </w:r>
          </w:p>
        </w:tc>
        <w:tc>
          <w:tcPr>
            <w:tcW w:w="0" w:type="dxa"/>
            <w:vAlign w:val="bottom"/>
          </w:tcPr>
          <w:p>
            <w:pPr>
              <w:spacing w:after="0"/>
              <w:rPr>
                <w:sz w:val="1"/>
                <w:szCs w:val="1"/>
                <w:color w:val="auto"/>
              </w:rPr>
            </w:pPr>
          </w:p>
        </w:tc>
      </w:tr>
      <w:tr>
        <w:trPr>
          <w:trHeight w:val="318"/>
        </w:trPr>
        <w:tc>
          <w:tcPr>
            <w:tcW w:w="7840" w:type="dxa"/>
            <w:vAlign w:val="bottom"/>
            <w:tcBorders>
              <w:bottom w:val="single" w:sz="8" w:color="808080"/>
            </w:tcBorders>
          </w:tcPr>
          <w:p>
            <w:pPr>
              <w:spacing w:after="0"/>
              <w:rPr>
                <w:sz w:val="24"/>
                <w:szCs w:val="24"/>
                <w:color w:val="auto"/>
              </w:rPr>
            </w:pPr>
          </w:p>
        </w:tc>
        <w:tc>
          <w:tcPr>
            <w:tcW w:w="26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80" w:type="dxa"/>
            <w:vAlign w:val="bottom"/>
            <w:tcBorders>
              <w:bottom w:val="single" w:sz="8" w:color="808080"/>
            </w:tcBorders>
          </w:tcPr>
          <w:p>
            <w:pPr>
              <w:spacing w:after="0"/>
              <w:rPr>
                <w:sz w:val="24"/>
                <w:szCs w:val="24"/>
                <w:color w:val="auto"/>
              </w:rPr>
            </w:pPr>
          </w:p>
        </w:tc>
        <w:tc>
          <w:tcPr>
            <w:tcW w:w="740" w:type="dxa"/>
            <w:vAlign w:val="bottom"/>
            <w:tcBorders>
              <w:bottom w:val="single" w:sz="8" w:color="808080"/>
            </w:tcBorders>
          </w:tcPr>
          <w:p>
            <w:pPr>
              <w:spacing w:after="0"/>
              <w:rPr>
                <w:sz w:val="24"/>
                <w:szCs w:val="24"/>
                <w:color w:val="auto"/>
              </w:rPr>
            </w:pPr>
          </w:p>
        </w:tc>
        <w:tc>
          <w:tcPr>
            <w:tcW w:w="12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1020" w:type="dxa"/>
            <w:vAlign w:val="bottom"/>
            <w:tcBorders>
              <w:bottom w:val="single" w:sz="8" w:color="808080"/>
            </w:tcBorders>
          </w:tcPr>
          <w:p>
            <w:pPr>
              <w:spacing w:after="0"/>
              <w:rPr>
                <w:sz w:val="24"/>
                <w:szCs w:val="24"/>
                <w:color w:val="auto"/>
              </w:rPr>
            </w:pPr>
          </w:p>
        </w:tc>
        <w:tc>
          <w:tcPr>
            <w:tcW w:w="600" w:type="dxa"/>
            <w:vAlign w:val="bottom"/>
            <w:tcBorders>
              <w:bottom w:val="single" w:sz="8" w:color="808080"/>
            </w:tcBorders>
          </w:tcPr>
          <w:p>
            <w:pPr>
              <w:spacing w:after="0"/>
              <w:rPr>
                <w:sz w:val="24"/>
                <w:szCs w:val="24"/>
                <w:color w:val="auto"/>
              </w:rPr>
            </w:pPr>
          </w:p>
        </w:tc>
        <w:tc>
          <w:tcPr>
            <w:tcW w:w="180" w:type="dxa"/>
            <w:vAlign w:val="bottom"/>
            <w:tcBorders>
              <w:bottom w:val="single" w:sz="8" w:color="808080"/>
            </w:tcBorders>
          </w:tcPr>
          <w:p>
            <w:pPr>
              <w:spacing w:after="0"/>
              <w:rPr>
                <w:sz w:val="24"/>
                <w:szCs w:val="24"/>
                <w:color w:val="auto"/>
              </w:rPr>
            </w:pPr>
          </w:p>
        </w:tc>
        <w:tc>
          <w:tcPr>
            <w:tcW w:w="8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8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3072130</wp:posOffset>
            </wp:positionH>
            <wp:positionV relativeFrom="paragraph">
              <wp:posOffset>-416560</wp:posOffset>
            </wp:positionV>
            <wp:extent cx="960120" cy="28384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50" w:name="page51"/>
    <w:bookmarkEnd w:id="50"/>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0" w:lineRule="exact"/>
        <w:rPr>
          <w:sz w:val="20"/>
          <w:szCs w:val="20"/>
          <w:color w:val="auto"/>
        </w:rPr>
      </w:pPr>
    </w:p>
    <w:tbl>
      <w:tblPr>
        <w:tblLayout w:type="fixed"/>
        <w:tblInd w:w="10" w:type="dxa"/>
        <w:tblCellMar>
          <w:top w:w="0" w:type="dxa"/>
          <w:left w:w="0" w:type="dxa"/>
          <w:bottom w:w="0" w:type="dxa"/>
          <w:right w:w="0" w:type="dxa"/>
        </w:tblCellMar>
      </w:tblPr>
      <w:tr>
        <w:trPr>
          <w:trHeight w:val="183"/>
        </w:trPr>
        <w:tc>
          <w:tcPr>
            <w:tcW w:w="180" w:type="dxa"/>
            <w:vAlign w:val="bottom"/>
            <w:tcBorders>
              <w:top w:val="single" w:sz="8" w:color="7B7C80"/>
              <w:left w:val="single" w:sz="8" w:color="7B7C80"/>
              <w:bottom w:val="single" w:sz="8" w:color="7B7C80"/>
            </w:tcBorders>
          </w:tcPr>
          <w:p>
            <w:pPr>
              <w:spacing w:after="0"/>
              <w:rPr>
                <w:sz w:val="15"/>
                <w:szCs w:val="15"/>
                <w:color w:val="auto"/>
              </w:rPr>
            </w:pPr>
          </w:p>
        </w:tc>
        <w:tc>
          <w:tcPr>
            <w:tcW w:w="7660" w:type="dxa"/>
            <w:vAlign w:val="bottom"/>
            <w:tcBorders>
              <w:top w:val="single" w:sz="8" w:color="7B7C80"/>
              <w:bottom w:val="single" w:sz="8" w:color="7B7C80"/>
              <w:right w:val="single" w:sz="8" w:color="7B7C80"/>
            </w:tcBorders>
          </w:tcPr>
          <w:p>
            <w:pPr>
              <w:ind w:left="3260"/>
              <w:spacing w:after="0"/>
              <w:rPr>
                <w:sz w:val="20"/>
                <w:szCs w:val="20"/>
                <w:color w:val="auto"/>
              </w:rPr>
            </w:pPr>
            <w:r>
              <w:rPr>
                <w:rFonts w:ascii="Arial" w:cs="Arial" w:eastAsia="Arial" w:hAnsi="Arial"/>
                <w:sz w:val="12"/>
                <w:szCs w:val="12"/>
                <w:b w:val="1"/>
                <w:bCs w:val="1"/>
                <w:color w:val="009CCC"/>
              </w:rPr>
              <w:t>Participant Group</w:t>
            </w:r>
          </w:p>
        </w:tc>
        <w:tc>
          <w:tcPr>
            <w:tcW w:w="260" w:type="dxa"/>
            <w:vAlign w:val="bottom"/>
            <w:tcBorders>
              <w:top w:val="single" w:sz="8" w:color="7B7C80"/>
              <w:bottom w:val="single" w:sz="8" w:color="7B7C80"/>
            </w:tcBorders>
          </w:tcPr>
          <w:p>
            <w:pPr>
              <w:spacing w:after="0"/>
              <w:rPr>
                <w:sz w:val="15"/>
                <w:szCs w:val="15"/>
                <w:color w:val="auto"/>
              </w:rPr>
            </w:pPr>
          </w:p>
        </w:tc>
        <w:tc>
          <w:tcPr>
            <w:tcW w:w="20" w:type="dxa"/>
            <w:vAlign w:val="bottom"/>
            <w:tcBorders>
              <w:top w:val="single" w:sz="8" w:color="7B7C80"/>
              <w:bottom w:val="single" w:sz="8" w:color="7B7C80"/>
            </w:tcBorders>
          </w:tcPr>
          <w:p>
            <w:pPr>
              <w:spacing w:after="0"/>
              <w:rPr>
                <w:sz w:val="15"/>
                <w:szCs w:val="15"/>
                <w:color w:val="auto"/>
              </w:rPr>
            </w:pPr>
          </w:p>
        </w:tc>
        <w:tc>
          <w:tcPr>
            <w:tcW w:w="80" w:type="dxa"/>
            <w:vAlign w:val="bottom"/>
            <w:tcBorders>
              <w:top w:val="single" w:sz="8" w:color="7B7C80"/>
              <w:bottom w:val="single" w:sz="8" w:color="7B7C80"/>
            </w:tcBorders>
          </w:tcPr>
          <w:p>
            <w:pPr>
              <w:spacing w:after="0"/>
              <w:rPr>
                <w:sz w:val="15"/>
                <w:szCs w:val="15"/>
                <w:color w:val="auto"/>
              </w:rPr>
            </w:pPr>
          </w:p>
        </w:tc>
        <w:tc>
          <w:tcPr>
            <w:tcW w:w="740" w:type="dxa"/>
            <w:vAlign w:val="bottom"/>
            <w:tcBorders>
              <w:top w:val="single" w:sz="8" w:color="7B7C80"/>
              <w:bottom w:val="single" w:sz="8" w:color="7B7C80"/>
            </w:tcBorders>
          </w:tcPr>
          <w:p>
            <w:pPr>
              <w:spacing w:after="0"/>
              <w:rPr>
                <w:sz w:val="15"/>
                <w:szCs w:val="15"/>
                <w:color w:val="auto"/>
              </w:rPr>
            </w:pPr>
          </w:p>
        </w:tc>
        <w:tc>
          <w:tcPr>
            <w:tcW w:w="2500" w:type="dxa"/>
            <w:vAlign w:val="bottom"/>
            <w:tcBorders>
              <w:top w:val="single" w:sz="8" w:color="7B7C80"/>
              <w:bottom w:val="single" w:sz="8" w:color="7B7C80"/>
              <w:right w:val="single" w:sz="8" w:color="7B7C80"/>
            </w:tcBorders>
            <w:gridSpan w:val="7"/>
          </w:tcPr>
          <w:p>
            <w:pPr>
              <w:jc w:val="right"/>
              <w:ind w:right="1000"/>
              <w:spacing w:after="0"/>
              <w:rPr>
                <w:sz w:val="20"/>
                <w:szCs w:val="20"/>
                <w:color w:val="auto"/>
              </w:rPr>
            </w:pPr>
            <w:r>
              <w:rPr>
                <w:rFonts w:ascii="Arial" w:cs="Arial" w:eastAsia="Arial" w:hAnsi="Arial"/>
                <w:sz w:val="12"/>
                <w:szCs w:val="12"/>
                <w:b w:val="1"/>
                <w:bCs w:val="1"/>
                <w:color w:val="009CCC"/>
              </w:rPr>
              <w:t>Pension Benefit Formula</w:t>
            </w:r>
          </w:p>
        </w:tc>
        <w:tc>
          <w:tcPr>
            <w:tcW w:w="0" w:type="dxa"/>
            <w:vAlign w:val="bottom"/>
          </w:tcPr>
          <w:p>
            <w:pPr>
              <w:spacing w:after="0"/>
              <w:rPr>
                <w:sz w:val="1"/>
                <w:szCs w:val="1"/>
                <w:color w:val="auto"/>
              </w:rPr>
            </w:pPr>
          </w:p>
        </w:tc>
      </w:tr>
      <w:tr>
        <w:trPr>
          <w:trHeight w:val="140"/>
        </w:trPr>
        <w:tc>
          <w:tcPr>
            <w:tcW w:w="7840" w:type="dxa"/>
            <w:vAlign w:val="bottom"/>
            <w:tcBorders>
              <w:left w:val="single" w:sz="8" w:color="7B7C80"/>
              <w:right w:val="single" w:sz="8" w:color="7B7C80"/>
            </w:tcBorders>
            <w:gridSpan w:val="2"/>
          </w:tcPr>
          <w:p>
            <w:pPr>
              <w:ind w:left="80"/>
              <w:spacing w:after="0" w:line="141" w:lineRule="exact"/>
              <w:rPr>
                <w:sz w:val="20"/>
                <w:szCs w:val="20"/>
                <w:color w:val="auto"/>
              </w:rPr>
            </w:pPr>
            <w:r>
              <w:rPr>
                <w:rFonts w:ascii="Arial" w:cs="Arial" w:eastAsia="Arial" w:hAnsi="Arial"/>
                <w:sz w:val="15"/>
                <w:szCs w:val="15"/>
                <w:b w:val="1"/>
                <w:bCs w:val="1"/>
                <w:color w:val="7B7C80"/>
              </w:rPr>
              <w:t>Non Grandfathered</w:t>
            </w:r>
          </w:p>
        </w:tc>
        <w:tc>
          <w:tcPr>
            <w:tcW w:w="260" w:type="dxa"/>
            <w:vAlign w:val="bottom"/>
          </w:tcPr>
          <w:p>
            <w:pPr>
              <w:spacing w:after="0"/>
              <w:rPr>
                <w:sz w:val="12"/>
                <w:szCs w:val="12"/>
                <w:color w:val="auto"/>
              </w:rPr>
            </w:pPr>
          </w:p>
        </w:tc>
        <w:tc>
          <w:tcPr>
            <w:tcW w:w="3340" w:type="dxa"/>
            <w:vAlign w:val="bottom"/>
            <w:tcBorders>
              <w:right w:val="single" w:sz="8" w:color="7B7C80"/>
            </w:tcBorders>
            <w:gridSpan w:val="10"/>
          </w:tcPr>
          <w:p>
            <w:pPr>
              <w:spacing w:after="0" w:line="141" w:lineRule="exact"/>
              <w:rPr>
                <w:sz w:val="20"/>
                <w:szCs w:val="20"/>
                <w:color w:val="auto"/>
              </w:rPr>
            </w:pPr>
            <w:r>
              <w:rPr>
                <w:rFonts w:ascii="Arial" w:cs="Arial" w:eastAsia="Arial" w:hAnsi="Arial"/>
                <w:sz w:val="15"/>
                <w:szCs w:val="15"/>
                <w:b w:val="1"/>
                <w:bCs w:val="1"/>
                <w:color w:val="7B7C80"/>
              </w:rPr>
              <w:t>Defined Benefit Plan (Traditional Formula)</w:t>
            </w:r>
          </w:p>
        </w:tc>
        <w:tc>
          <w:tcPr>
            <w:tcW w:w="0" w:type="dxa"/>
            <w:vAlign w:val="bottom"/>
          </w:tcPr>
          <w:p>
            <w:pPr>
              <w:spacing w:after="0"/>
              <w:rPr>
                <w:sz w:val="1"/>
                <w:szCs w:val="1"/>
                <w:color w:val="auto"/>
              </w:rPr>
            </w:pPr>
          </w:p>
        </w:tc>
      </w:tr>
      <w:tr>
        <w:trPr>
          <w:trHeight w:val="20"/>
        </w:trPr>
        <w:tc>
          <w:tcPr>
            <w:tcW w:w="7840" w:type="dxa"/>
            <w:vAlign w:val="bottom"/>
            <w:tcBorders>
              <w:left w:val="single" w:sz="8" w:color="7B7C80"/>
              <w:right w:val="single" w:sz="8" w:color="7B7C80"/>
            </w:tcBorders>
            <w:gridSpan w:val="2"/>
            <w:vMerge w:val="restart"/>
          </w:tcPr>
          <w:p>
            <w:pPr>
              <w:ind w:left="80"/>
              <w:spacing w:after="0"/>
              <w:rPr>
                <w:sz w:val="20"/>
                <w:szCs w:val="20"/>
                <w:color w:val="auto"/>
              </w:rPr>
            </w:pPr>
            <w:r>
              <w:rPr>
                <w:rFonts w:ascii="Arial" w:cs="Arial" w:eastAsia="Arial" w:hAnsi="Arial"/>
                <w:sz w:val="15"/>
                <w:szCs w:val="15"/>
                <w:b w:val="1"/>
                <w:bCs w:val="1"/>
                <w:color w:val="7B7C80"/>
              </w:rPr>
              <w:t>Participants</w:t>
            </w:r>
          </w:p>
        </w:tc>
        <w:tc>
          <w:tcPr>
            <w:tcW w:w="2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74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380" w:type="dxa"/>
            <w:vAlign w:val="bottom"/>
            <w:shd w:val="clear" w:color="auto" w:fill="7B7C80"/>
          </w:tcPr>
          <w:p>
            <w:pPr>
              <w:spacing w:after="0" w:line="20" w:lineRule="exact"/>
              <w:rPr>
                <w:sz w:val="1"/>
                <w:szCs w:val="1"/>
                <w:color w:val="auto"/>
              </w:rPr>
            </w:pPr>
          </w:p>
        </w:tc>
        <w:tc>
          <w:tcPr>
            <w:tcW w:w="6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880" w:type="dxa"/>
            <w:vAlign w:val="bottom"/>
            <w:shd w:val="clear" w:color="auto" w:fill="7B7C8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4"/>
        </w:trPr>
        <w:tc>
          <w:tcPr>
            <w:tcW w:w="7840" w:type="dxa"/>
            <w:vAlign w:val="bottom"/>
            <w:tcBorders>
              <w:left w:val="single" w:sz="8" w:color="7B7C80"/>
              <w:right w:val="single" w:sz="8" w:color="7B7C80"/>
            </w:tcBorders>
            <w:gridSpan w:val="2"/>
            <w:vMerge w:val="continue"/>
          </w:tcPr>
          <w:p>
            <w:pPr>
              <w:spacing w:after="0"/>
              <w:rPr>
                <w:sz w:val="16"/>
                <w:szCs w:val="16"/>
                <w:color w:val="auto"/>
              </w:rPr>
            </w:pPr>
          </w:p>
        </w:tc>
        <w:tc>
          <w:tcPr>
            <w:tcW w:w="260" w:type="dxa"/>
            <w:vAlign w:val="bottom"/>
          </w:tcPr>
          <w:p>
            <w:pPr>
              <w:spacing w:after="0"/>
              <w:rPr>
                <w:sz w:val="16"/>
                <w:szCs w:val="16"/>
                <w:color w:val="auto"/>
              </w:rPr>
            </w:pPr>
          </w:p>
        </w:tc>
        <w:tc>
          <w:tcPr>
            <w:tcW w:w="3340" w:type="dxa"/>
            <w:vAlign w:val="bottom"/>
            <w:tcBorders>
              <w:right w:val="single" w:sz="8" w:color="7B7C80"/>
            </w:tcBorders>
            <w:gridSpan w:val="10"/>
            <w:vMerge w:val="restart"/>
          </w:tcPr>
          <w:p>
            <w:pPr>
              <w:spacing w:after="0"/>
              <w:rPr>
                <w:sz w:val="20"/>
                <w:szCs w:val="20"/>
                <w:color w:val="auto"/>
              </w:rPr>
            </w:pPr>
            <w:r>
              <w:rPr>
                <w:rFonts w:ascii="Arial" w:cs="Arial" w:eastAsia="Arial" w:hAnsi="Arial"/>
                <w:sz w:val="15"/>
                <w:szCs w:val="15"/>
                <w:color w:val="7B7C80"/>
              </w:rPr>
              <w:t>35% of Average Compensation below the</w:t>
            </w:r>
          </w:p>
        </w:tc>
        <w:tc>
          <w:tcPr>
            <w:tcW w:w="0" w:type="dxa"/>
            <w:vAlign w:val="bottom"/>
          </w:tcPr>
          <w:p>
            <w:pPr>
              <w:spacing w:after="0"/>
              <w:rPr>
                <w:sz w:val="1"/>
                <w:szCs w:val="1"/>
                <w:color w:val="auto"/>
              </w:rPr>
            </w:pPr>
          </w:p>
        </w:tc>
      </w:tr>
      <w:tr>
        <w:trPr>
          <w:trHeight w:val="142"/>
        </w:trPr>
        <w:tc>
          <w:tcPr>
            <w:tcW w:w="180" w:type="dxa"/>
            <w:vAlign w:val="bottom"/>
            <w:tcBorders>
              <w:left w:val="single" w:sz="8" w:color="7B7C80"/>
            </w:tcBorders>
          </w:tcPr>
          <w:p>
            <w:pPr>
              <w:spacing w:after="0"/>
              <w:rPr>
                <w:sz w:val="12"/>
                <w:szCs w:val="12"/>
                <w:color w:val="auto"/>
              </w:rPr>
            </w:pPr>
          </w:p>
        </w:tc>
        <w:tc>
          <w:tcPr>
            <w:tcW w:w="7660" w:type="dxa"/>
            <w:vAlign w:val="bottom"/>
            <w:tcBorders>
              <w:right w:val="single" w:sz="8" w:color="7B7C80"/>
            </w:tcBorders>
          </w:tcPr>
          <w:p>
            <w:pPr>
              <w:spacing w:after="0"/>
              <w:rPr>
                <w:sz w:val="12"/>
                <w:szCs w:val="12"/>
                <w:color w:val="auto"/>
              </w:rPr>
            </w:pPr>
          </w:p>
        </w:tc>
        <w:tc>
          <w:tcPr>
            <w:tcW w:w="260" w:type="dxa"/>
            <w:vAlign w:val="bottom"/>
          </w:tcPr>
          <w:p>
            <w:pPr>
              <w:spacing w:after="0"/>
              <w:rPr>
                <w:sz w:val="12"/>
                <w:szCs w:val="12"/>
                <w:color w:val="auto"/>
              </w:rPr>
            </w:pPr>
          </w:p>
        </w:tc>
        <w:tc>
          <w:tcPr>
            <w:tcW w:w="3340" w:type="dxa"/>
            <w:vAlign w:val="bottom"/>
            <w:tcBorders>
              <w:right w:val="single" w:sz="8" w:color="7B7C80"/>
            </w:tcBorders>
            <w:gridSpan w:val="10"/>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7840" w:type="dxa"/>
            <w:vAlign w:val="bottom"/>
            <w:tcBorders>
              <w:left w:val="single" w:sz="8" w:color="7B7C80"/>
              <w:right w:val="single" w:sz="8" w:color="7B7C80"/>
            </w:tcBorders>
            <w:gridSpan w:val="2"/>
          </w:tcPr>
          <w:p>
            <w:pPr>
              <w:ind w:left="80"/>
              <w:spacing w:after="0"/>
              <w:rPr>
                <w:sz w:val="20"/>
                <w:szCs w:val="20"/>
                <w:color w:val="auto"/>
              </w:rPr>
            </w:pPr>
            <w:r>
              <w:rPr>
                <w:rFonts w:ascii="Arial" w:cs="Arial" w:eastAsia="Arial" w:hAnsi="Arial"/>
                <w:sz w:val="15"/>
                <w:szCs w:val="15"/>
                <w:color w:val="7B7C80"/>
              </w:rPr>
              <w:t>Non Grandfathered Participants will receive the greater of the benefit provided under the Traditional Benefit Formula</w:t>
            </w:r>
          </w:p>
        </w:tc>
        <w:tc>
          <w:tcPr>
            <w:tcW w:w="260" w:type="dxa"/>
            <w:vAlign w:val="bottom"/>
          </w:tcPr>
          <w:p>
            <w:pPr>
              <w:spacing w:after="0"/>
              <w:rPr>
                <w:sz w:val="14"/>
                <w:szCs w:val="14"/>
                <w:color w:val="auto"/>
              </w:rPr>
            </w:pPr>
          </w:p>
        </w:tc>
        <w:tc>
          <w:tcPr>
            <w:tcW w:w="334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color w:val="7B7C80"/>
              </w:rPr>
              <w:t>Integration Level plus 55% of Average</w:t>
            </w:r>
          </w:p>
        </w:tc>
        <w:tc>
          <w:tcPr>
            <w:tcW w:w="0" w:type="dxa"/>
            <w:vAlign w:val="bottom"/>
          </w:tcPr>
          <w:p>
            <w:pPr>
              <w:spacing w:after="0"/>
              <w:rPr>
                <w:sz w:val="1"/>
                <w:szCs w:val="1"/>
                <w:color w:val="auto"/>
              </w:rPr>
            </w:pPr>
          </w:p>
        </w:tc>
      </w:tr>
      <w:tr>
        <w:trPr>
          <w:trHeight w:val="179"/>
        </w:trPr>
        <w:tc>
          <w:tcPr>
            <w:tcW w:w="7840" w:type="dxa"/>
            <w:vAlign w:val="bottom"/>
            <w:tcBorders>
              <w:left w:val="single" w:sz="8" w:color="7B7C80"/>
              <w:right w:val="single" w:sz="8" w:color="7B7C80"/>
            </w:tcBorders>
            <w:gridSpan w:val="2"/>
          </w:tcPr>
          <w:p>
            <w:pPr>
              <w:ind w:left="80"/>
              <w:spacing w:after="0"/>
              <w:rPr>
                <w:sz w:val="20"/>
                <w:szCs w:val="20"/>
                <w:color w:val="auto"/>
              </w:rPr>
            </w:pPr>
            <w:r>
              <w:rPr>
                <w:rFonts w:ascii="Arial" w:cs="Arial" w:eastAsia="Arial" w:hAnsi="Arial"/>
                <w:sz w:val="15"/>
                <w:szCs w:val="15"/>
                <w:color w:val="7B7C80"/>
              </w:rPr>
              <w:t>or the Cash Balance Formula.</w:t>
            </w:r>
          </w:p>
        </w:tc>
        <w:tc>
          <w:tcPr>
            <w:tcW w:w="260" w:type="dxa"/>
            <w:vAlign w:val="bottom"/>
          </w:tcPr>
          <w:p>
            <w:pPr>
              <w:spacing w:after="0"/>
              <w:rPr>
                <w:sz w:val="15"/>
                <w:szCs w:val="15"/>
                <w:color w:val="auto"/>
              </w:rPr>
            </w:pPr>
          </w:p>
        </w:tc>
        <w:tc>
          <w:tcPr>
            <w:tcW w:w="334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color w:val="7B7C80"/>
              </w:rPr>
              <w:t>Compensation above the Integration Level.</w:t>
            </w:r>
          </w:p>
        </w:tc>
        <w:tc>
          <w:tcPr>
            <w:tcW w:w="0" w:type="dxa"/>
            <w:vAlign w:val="bottom"/>
          </w:tcPr>
          <w:p>
            <w:pPr>
              <w:spacing w:after="0"/>
              <w:rPr>
                <w:sz w:val="1"/>
                <w:szCs w:val="1"/>
                <w:color w:val="auto"/>
              </w:rPr>
            </w:pPr>
          </w:p>
        </w:tc>
      </w:tr>
      <w:tr>
        <w:trPr>
          <w:trHeight w:val="323"/>
        </w:trPr>
        <w:tc>
          <w:tcPr>
            <w:tcW w:w="180" w:type="dxa"/>
            <w:vAlign w:val="bottom"/>
            <w:tcBorders>
              <w:left w:val="single" w:sz="8" w:color="7B7C80"/>
            </w:tcBorders>
          </w:tcPr>
          <w:p>
            <w:pPr>
              <w:spacing w:after="0"/>
              <w:rPr>
                <w:sz w:val="24"/>
                <w:szCs w:val="24"/>
                <w:color w:val="auto"/>
              </w:rPr>
            </w:pPr>
          </w:p>
        </w:tc>
        <w:tc>
          <w:tcPr>
            <w:tcW w:w="7660" w:type="dxa"/>
            <w:vAlign w:val="bottom"/>
            <w:tcBorders>
              <w:right w:val="single" w:sz="8" w:color="7B7C80"/>
            </w:tcBorders>
          </w:tcPr>
          <w:p>
            <w:pPr>
              <w:spacing w:after="0"/>
              <w:rPr>
                <w:sz w:val="24"/>
                <w:szCs w:val="24"/>
                <w:color w:val="auto"/>
              </w:rPr>
            </w:pPr>
          </w:p>
        </w:tc>
        <w:tc>
          <w:tcPr>
            <w:tcW w:w="260" w:type="dxa"/>
            <w:vAlign w:val="bottom"/>
          </w:tcPr>
          <w:p>
            <w:pPr>
              <w:spacing w:after="0"/>
              <w:rPr>
                <w:sz w:val="24"/>
                <w:szCs w:val="24"/>
                <w:color w:val="auto"/>
              </w:rPr>
            </w:pPr>
          </w:p>
        </w:tc>
        <w:tc>
          <w:tcPr>
            <w:tcW w:w="334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b w:val="1"/>
                <w:bCs w:val="1"/>
                <w:color w:val="7B7C80"/>
              </w:rPr>
              <w:t>Cash Balance Plan</w:t>
            </w:r>
            <w:r>
              <w:rPr>
                <w:rFonts w:ascii="Arial" w:cs="Arial" w:eastAsia="Arial" w:hAnsi="Arial"/>
                <w:sz w:val="15"/>
                <w:szCs w:val="15"/>
                <w:color w:val="7B7C80"/>
              </w:rPr>
              <w:t>—The Annual Pay Credits</w:t>
            </w:r>
          </w:p>
        </w:tc>
        <w:tc>
          <w:tcPr>
            <w:tcW w:w="0" w:type="dxa"/>
            <w:vAlign w:val="bottom"/>
          </w:tcPr>
          <w:p>
            <w:pPr>
              <w:spacing w:after="0"/>
              <w:rPr>
                <w:sz w:val="1"/>
                <w:szCs w:val="1"/>
                <w:color w:val="auto"/>
              </w:rPr>
            </w:pPr>
          </w:p>
        </w:tc>
      </w:tr>
      <w:tr>
        <w:trPr>
          <w:trHeight w:val="20"/>
        </w:trPr>
        <w:tc>
          <w:tcPr>
            <w:tcW w:w="180" w:type="dxa"/>
            <w:vAlign w:val="bottom"/>
            <w:tcBorders>
              <w:left w:val="single" w:sz="8" w:color="7B7C80"/>
            </w:tcBorders>
          </w:tcPr>
          <w:p>
            <w:pPr>
              <w:spacing w:after="0" w:line="20" w:lineRule="exact"/>
              <w:rPr>
                <w:sz w:val="1"/>
                <w:szCs w:val="1"/>
                <w:color w:val="auto"/>
              </w:rPr>
            </w:pPr>
          </w:p>
        </w:tc>
        <w:tc>
          <w:tcPr>
            <w:tcW w:w="7660" w:type="dxa"/>
            <w:vAlign w:val="bottom"/>
            <w:tcBorders>
              <w:right w:val="single" w:sz="8" w:color="7B7C80"/>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340" w:type="dxa"/>
            <w:vAlign w:val="bottom"/>
            <w:gridSpan w:val="5"/>
            <w:shd w:val="clear" w:color="auto" w:fill="7B7C80"/>
          </w:tcPr>
          <w:p>
            <w:pPr>
              <w:spacing w:after="0" w:line="20" w:lineRule="exact"/>
              <w:rPr>
                <w:sz w:val="1"/>
                <w:szCs w:val="1"/>
                <w:color w:val="auto"/>
              </w:rPr>
            </w:pPr>
          </w:p>
        </w:tc>
        <w:tc>
          <w:tcPr>
            <w:tcW w:w="760" w:type="dxa"/>
            <w:vAlign w:val="bottom"/>
            <w:gridSpan w:val="2"/>
          </w:tcPr>
          <w:p>
            <w:pPr>
              <w:spacing w:after="0" w:line="20" w:lineRule="exact"/>
              <w:rPr>
                <w:sz w:val="1"/>
                <w:szCs w:val="1"/>
                <w:color w:val="auto"/>
              </w:rPr>
            </w:pPr>
          </w:p>
        </w:tc>
        <w:tc>
          <w:tcPr>
            <w:tcW w:w="1240" w:type="dxa"/>
            <w:vAlign w:val="bottom"/>
            <w:tcBorders>
              <w:right w:val="single" w:sz="8" w:color="7B7C80"/>
            </w:tcBorders>
            <w:gridSpan w:val="3"/>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4"/>
        </w:trPr>
        <w:tc>
          <w:tcPr>
            <w:tcW w:w="180" w:type="dxa"/>
            <w:vAlign w:val="bottom"/>
            <w:tcBorders>
              <w:left w:val="single" w:sz="8" w:color="7B7C80"/>
            </w:tcBorders>
          </w:tcPr>
          <w:p>
            <w:pPr>
              <w:spacing w:after="0"/>
              <w:rPr>
                <w:sz w:val="16"/>
                <w:szCs w:val="16"/>
                <w:color w:val="auto"/>
              </w:rPr>
            </w:pPr>
          </w:p>
        </w:tc>
        <w:tc>
          <w:tcPr>
            <w:tcW w:w="7660" w:type="dxa"/>
            <w:vAlign w:val="bottom"/>
            <w:tcBorders>
              <w:right w:val="single" w:sz="8" w:color="7B7C80"/>
            </w:tcBorders>
          </w:tcPr>
          <w:p>
            <w:pPr>
              <w:spacing w:after="0"/>
              <w:rPr>
                <w:sz w:val="16"/>
                <w:szCs w:val="16"/>
                <w:color w:val="auto"/>
              </w:rPr>
            </w:pPr>
          </w:p>
        </w:tc>
        <w:tc>
          <w:tcPr>
            <w:tcW w:w="260" w:type="dxa"/>
            <w:vAlign w:val="bottom"/>
          </w:tcPr>
          <w:p>
            <w:pPr>
              <w:spacing w:after="0"/>
              <w:rPr>
                <w:sz w:val="16"/>
                <w:szCs w:val="16"/>
                <w:color w:val="auto"/>
              </w:rPr>
            </w:pPr>
          </w:p>
        </w:tc>
        <w:tc>
          <w:tcPr>
            <w:tcW w:w="334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color w:val="7B7C80"/>
              </w:rPr>
              <w:t>are calculated using the table below</w:t>
            </w:r>
          </w:p>
        </w:tc>
        <w:tc>
          <w:tcPr>
            <w:tcW w:w="0" w:type="dxa"/>
            <w:vAlign w:val="bottom"/>
          </w:tcPr>
          <w:p>
            <w:pPr>
              <w:spacing w:after="0"/>
              <w:rPr>
                <w:sz w:val="1"/>
                <w:szCs w:val="1"/>
                <w:color w:val="auto"/>
              </w:rPr>
            </w:pPr>
          </w:p>
        </w:tc>
      </w:tr>
      <w:tr>
        <w:trPr>
          <w:trHeight w:val="16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760" w:type="dxa"/>
            <w:vAlign w:val="bottom"/>
            <w:gridSpan w:val="2"/>
          </w:tcPr>
          <w:p>
            <w:pPr>
              <w:spacing w:after="0"/>
              <w:rPr>
                <w:sz w:val="14"/>
                <w:szCs w:val="14"/>
                <w:color w:val="auto"/>
              </w:rPr>
            </w:pPr>
          </w:p>
        </w:tc>
        <w:tc>
          <w:tcPr>
            <w:tcW w:w="880" w:type="dxa"/>
            <w:vAlign w:val="bottom"/>
          </w:tcPr>
          <w:p>
            <w:pPr>
              <w:spacing w:after="0"/>
              <w:rPr>
                <w:sz w:val="14"/>
                <w:szCs w:val="14"/>
                <w:color w:val="auto"/>
              </w:rPr>
            </w:pPr>
          </w:p>
        </w:tc>
        <w:tc>
          <w:tcPr>
            <w:tcW w:w="360" w:type="dxa"/>
            <w:vAlign w:val="bottom"/>
            <w:tcBorders>
              <w:right w:val="single" w:sz="8" w:color="7B7C80"/>
            </w:tcBorders>
            <w:gridSpan w:val="2"/>
          </w:tcPr>
          <w:p>
            <w:pPr>
              <w:spacing w:after="0"/>
              <w:rPr>
                <w:sz w:val="14"/>
                <w:szCs w:val="14"/>
                <w:color w:val="auto"/>
              </w:rPr>
            </w:pPr>
          </w:p>
        </w:tc>
        <w:tc>
          <w:tcPr>
            <w:tcW w:w="0" w:type="dxa"/>
            <w:vAlign w:val="bottom"/>
          </w:tcPr>
          <w:p>
            <w:pPr>
              <w:spacing w:after="0"/>
              <w:rPr>
                <w:sz w:val="1"/>
                <w:szCs w:val="1"/>
                <w:color w:val="auto"/>
              </w:rPr>
            </w:pPr>
          </w:p>
        </w:tc>
      </w:tr>
      <w:tr>
        <w:trPr>
          <w:trHeight w:val="152"/>
        </w:trPr>
        <w:tc>
          <w:tcPr>
            <w:tcW w:w="180" w:type="dxa"/>
            <w:vAlign w:val="bottom"/>
            <w:tcBorders>
              <w:left w:val="single" w:sz="8" w:color="7B7C80"/>
            </w:tcBorders>
          </w:tcPr>
          <w:p>
            <w:pPr>
              <w:spacing w:after="0"/>
              <w:rPr>
                <w:sz w:val="13"/>
                <w:szCs w:val="13"/>
                <w:color w:val="auto"/>
              </w:rPr>
            </w:pPr>
          </w:p>
        </w:tc>
        <w:tc>
          <w:tcPr>
            <w:tcW w:w="7660" w:type="dxa"/>
            <w:vAlign w:val="bottom"/>
            <w:tcBorders>
              <w:right w:val="single" w:sz="8" w:color="7B7C80"/>
            </w:tcBorders>
          </w:tcPr>
          <w:p>
            <w:pPr>
              <w:spacing w:after="0"/>
              <w:rPr>
                <w:sz w:val="13"/>
                <w:szCs w:val="13"/>
                <w:color w:val="auto"/>
              </w:rPr>
            </w:pPr>
          </w:p>
        </w:tc>
        <w:tc>
          <w:tcPr>
            <w:tcW w:w="2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Borders>
              <w:top w:val="single" w:sz="8" w:color="009CDC"/>
            </w:tcBorders>
          </w:tcPr>
          <w:p>
            <w:pPr>
              <w:spacing w:after="0"/>
              <w:rPr>
                <w:sz w:val="13"/>
                <w:szCs w:val="13"/>
                <w:color w:val="auto"/>
              </w:rPr>
            </w:pPr>
          </w:p>
        </w:tc>
        <w:tc>
          <w:tcPr>
            <w:tcW w:w="740" w:type="dxa"/>
            <w:vAlign w:val="bottom"/>
            <w:tcBorders>
              <w:top w:val="single" w:sz="8" w:color="009CDC"/>
            </w:tcBorders>
          </w:tcPr>
          <w:p>
            <w:pPr>
              <w:spacing w:after="0"/>
              <w:rPr>
                <w:sz w:val="13"/>
                <w:szCs w:val="13"/>
                <w:color w:val="auto"/>
              </w:rPr>
            </w:pPr>
          </w:p>
        </w:tc>
        <w:tc>
          <w:tcPr>
            <w:tcW w:w="120" w:type="dxa"/>
            <w:vAlign w:val="bottom"/>
            <w:tcBorders>
              <w:top w:val="single" w:sz="8" w:color="009CDC"/>
            </w:tcBorders>
          </w:tcPr>
          <w:p>
            <w:pPr>
              <w:spacing w:after="0"/>
              <w:rPr>
                <w:sz w:val="13"/>
                <w:szCs w:val="13"/>
                <w:color w:val="auto"/>
              </w:rPr>
            </w:pPr>
          </w:p>
        </w:tc>
        <w:tc>
          <w:tcPr>
            <w:tcW w:w="380" w:type="dxa"/>
            <w:vAlign w:val="bottom"/>
            <w:tcBorders>
              <w:top w:val="single" w:sz="8" w:color="009CDC"/>
              <w:bottom w:val="single" w:sz="8" w:color="7B7C80"/>
            </w:tcBorders>
          </w:tcPr>
          <w:p>
            <w:pPr>
              <w:spacing w:after="0"/>
              <w:rPr>
                <w:sz w:val="13"/>
                <w:szCs w:val="13"/>
                <w:color w:val="auto"/>
              </w:rPr>
            </w:pPr>
          </w:p>
        </w:tc>
        <w:tc>
          <w:tcPr>
            <w:tcW w:w="1900" w:type="dxa"/>
            <w:vAlign w:val="bottom"/>
            <w:tcBorders>
              <w:top w:val="single" w:sz="8" w:color="009CDC"/>
              <w:bottom w:val="single" w:sz="8" w:color="7B7C80"/>
            </w:tcBorders>
            <w:gridSpan w:val="4"/>
          </w:tcPr>
          <w:p>
            <w:pPr>
              <w:jc w:val="right"/>
              <w:ind w:right="620"/>
              <w:spacing w:after="0"/>
              <w:rPr>
                <w:sz w:val="20"/>
                <w:szCs w:val="20"/>
                <w:color w:val="auto"/>
              </w:rPr>
            </w:pPr>
            <w:r>
              <w:rPr>
                <w:rFonts w:ascii="Arial" w:cs="Arial" w:eastAsia="Arial" w:hAnsi="Arial"/>
                <w:sz w:val="12"/>
                <w:szCs w:val="12"/>
                <w:b w:val="1"/>
                <w:bCs w:val="1"/>
                <w:color w:val="009CCC"/>
              </w:rPr>
              <w:t>Annual Pay Credit</w:t>
            </w:r>
          </w:p>
        </w:tc>
        <w:tc>
          <w:tcPr>
            <w:tcW w:w="10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19"/>
        </w:trPr>
        <w:tc>
          <w:tcPr>
            <w:tcW w:w="180" w:type="dxa"/>
            <w:vAlign w:val="bottom"/>
            <w:tcBorders>
              <w:left w:val="single" w:sz="8" w:color="7B7C80"/>
            </w:tcBorders>
          </w:tcPr>
          <w:p>
            <w:pPr>
              <w:spacing w:after="0"/>
              <w:rPr>
                <w:sz w:val="10"/>
                <w:szCs w:val="10"/>
                <w:color w:val="auto"/>
              </w:rPr>
            </w:pPr>
          </w:p>
        </w:tc>
        <w:tc>
          <w:tcPr>
            <w:tcW w:w="7660" w:type="dxa"/>
            <w:vAlign w:val="bottom"/>
            <w:tcBorders>
              <w:right w:val="single" w:sz="8" w:color="7B7C80"/>
            </w:tcBorders>
          </w:tcPr>
          <w:p>
            <w:pPr>
              <w:spacing w:after="0"/>
              <w:rPr>
                <w:sz w:val="10"/>
                <w:szCs w:val="10"/>
                <w:color w:val="auto"/>
              </w:rPr>
            </w:pPr>
          </w:p>
        </w:tc>
        <w:tc>
          <w:tcPr>
            <w:tcW w:w="2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jc w:val="right"/>
              <w:spacing w:after="0" w:line="119" w:lineRule="exact"/>
              <w:rPr>
                <w:sz w:val="20"/>
                <w:szCs w:val="20"/>
                <w:color w:val="auto"/>
              </w:rPr>
            </w:pPr>
            <w:r>
              <w:rPr>
                <w:rFonts w:ascii="Arial" w:cs="Arial" w:eastAsia="Arial" w:hAnsi="Arial"/>
                <w:sz w:val="12"/>
                <w:szCs w:val="12"/>
                <w:b w:val="1"/>
                <w:bCs w:val="1"/>
                <w:color w:val="009CCC"/>
              </w:rPr>
              <w:t>Age+</w:t>
            </w:r>
          </w:p>
        </w:tc>
        <w:tc>
          <w:tcPr>
            <w:tcW w:w="1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400" w:type="dxa"/>
            <w:vAlign w:val="bottom"/>
            <w:tcBorders>
              <w:right w:val="single" w:sz="8" w:color="7B7C80"/>
            </w:tcBorders>
            <w:gridSpan w:val="4"/>
            <w:vMerge w:val="restart"/>
          </w:tcPr>
          <w:p>
            <w:pPr>
              <w:jc w:val="right"/>
              <w:ind w:right="100"/>
              <w:spacing w:after="0"/>
              <w:rPr>
                <w:sz w:val="20"/>
                <w:szCs w:val="20"/>
                <w:color w:val="auto"/>
              </w:rPr>
            </w:pPr>
            <w:r>
              <w:rPr>
                <w:rFonts w:ascii="Arial" w:cs="Arial" w:eastAsia="Arial" w:hAnsi="Arial"/>
                <w:sz w:val="12"/>
                <w:szCs w:val="12"/>
                <w:b w:val="1"/>
                <w:bCs w:val="1"/>
                <w:color w:val="009CCC"/>
              </w:rPr>
              <w:t>Contribution on Pay</w:t>
            </w:r>
          </w:p>
        </w:tc>
        <w:tc>
          <w:tcPr>
            <w:tcW w:w="0" w:type="dxa"/>
            <w:vAlign w:val="bottom"/>
          </w:tcPr>
          <w:p>
            <w:pPr>
              <w:spacing w:after="0"/>
              <w:rPr>
                <w:sz w:val="1"/>
                <w:szCs w:val="1"/>
                <w:color w:val="auto"/>
              </w:rPr>
            </w:pPr>
          </w:p>
        </w:tc>
      </w:tr>
      <w:tr>
        <w:trPr>
          <w:trHeight w:val="125"/>
        </w:trPr>
        <w:tc>
          <w:tcPr>
            <w:tcW w:w="180" w:type="dxa"/>
            <w:vAlign w:val="bottom"/>
            <w:tcBorders>
              <w:left w:val="single" w:sz="8" w:color="7B7C80"/>
            </w:tcBorders>
          </w:tcPr>
          <w:p>
            <w:pPr>
              <w:spacing w:after="0"/>
              <w:rPr>
                <w:sz w:val="10"/>
                <w:szCs w:val="10"/>
                <w:color w:val="auto"/>
              </w:rPr>
            </w:pPr>
          </w:p>
        </w:tc>
        <w:tc>
          <w:tcPr>
            <w:tcW w:w="7660" w:type="dxa"/>
            <w:vAlign w:val="bottom"/>
            <w:tcBorders>
              <w:right w:val="single" w:sz="8" w:color="7B7C80"/>
            </w:tcBorders>
          </w:tcPr>
          <w:p>
            <w:pPr>
              <w:spacing w:after="0"/>
              <w:rPr>
                <w:sz w:val="10"/>
                <w:szCs w:val="10"/>
                <w:color w:val="auto"/>
              </w:rPr>
            </w:pPr>
          </w:p>
        </w:tc>
        <w:tc>
          <w:tcPr>
            <w:tcW w:w="2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jc w:val="right"/>
              <w:spacing w:after="0" w:line="125" w:lineRule="exact"/>
              <w:rPr>
                <w:sz w:val="20"/>
                <w:szCs w:val="20"/>
                <w:color w:val="auto"/>
              </w:rPr>
            </w:pPr>
            <w:r>
              <w:rPr>
                <w:rFonts w:ascii="Arial" w:cs="Arial" w:eastAsia="Arial" w:hAnsi="Arial"/>
                <w:sz w:val="12"/>
                <w:szCs w:val="12"/>
                <w:b w:val="1"/>
                <w:bCs w:val="1"/>
                <w:color w:val="009CCC"/>
              </w:rPr>
              <w:t>Service</w:t>
            </w:r>
          </w:p>
        </w:tc>
        <w:tc>
          <w:tcPr>
            <w:tcW w:w="1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400" w:type="dxa"/>
            <w:vAlign w:val="bottom"/>
            <w:tcBorders>
              <w:right w:val="single" w:sz="8" w:color="7B7C80"/>
            </w:tcBorders>
            <w:gridSpan w:val="4"/>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7"/>
        </w:trPr>
        <w:tc>
          <w:tcPr>
            <w:tcW w:w="180" w:type="dxa"/>
            <w:vAlign w:val="bottom"/>
            <w:tcBorders>
              <w:left w:val="single" w:sz="8" w:color="7B7C80"/>
            </w:tcBorders>
          </w:tcPr>
          <w:p>
            <w:pPr>
              <w:spacing w:after="0"/>
              <w:rPr>
                <w:sz w:val="11"/>
                <w:szCs w:val="11"/>
                <w:color w:val="auto"/>
              </w:rPr>
            </w:pPr>
          </w:p>
        </w:tc>
        <w:tc>
          <w:tcPr>
            <w:tcW w:w="7660" w:type="dxa"/>
            <w:vAlign w:val="bottom"/>
            <w:tcBorders>
              <w:right w:val="single" w:sz="8" w:color="7B7C80"/>
            </w:tcBorders>
          </w:tcPr>
          <w:p>
            <w:pPr>
              <w:spacing w:after="0"/>
              <w:rPr>
                <w:sz w:val="11"/>
                <w:szCs w:val="11"/>
                <w:color w:val="auto"/>
              </w:rPr>
            </w:pPr>
          </w:p>
        </w:tc>
        <w:tc>
          <w:tcPr>
            <w:tcW w:w="2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40" w:type="dxa"/>
            <w:vAlign w:val="bottom"/>
          </w:tcPr>
          <w:p>
            <w:pPr>
              <w:jc w:val="right"/>
              <w:spacing w:after="0"/>
              <w:rPr>
                <w:sz w:val="20"/>
                <w:szCs w:val="20"/>
                <w:color w:val="auto"/>
              </w:rPr>
            </w:pPr>
            <w:r>
              <w:rPr>
                <w:rFonts w:ascii="Arial" w:cs="Arial" w:eastAsia="Arial" w:hAnsi="Arial"/>
                <w:sz w:val="12"/>
                <w:szCs w:val="12"/>
                <w:b w:val="1"/>
                <w:bCs w:val="1"/>
                <w:color w:val="009CCC"/>
              </w:rPr>
              <w:t>Years</w:t>
            </w:r>
          </w:p>
        </w:tc>
        <w:tc>
          <w:tcPr>
            <w:tcW w:w="120" w:type="dxa"/>
            <w:vAlign w:val="bottom"/>
          </w:tcPr>
          <w:p>
            <w:pPr>
              <w:spacing w:after="0"/>
              <w:rPr>
                <w:sz w:val="11"/>
                <w:szCs w:val="11"/>
                <w:color w:val="auto"/>
              </w:rPr>
            </w:pPr>
          </w:p>
        </w:tc>
        <w:tc>
          <w:tcPr>
            <w:tcW w:w="980" w:type="dxa"/>
            <w:vAlign w:val="bottom"/>
            <w:gridSpan w:val="2"/>
          </w:tcPr>
          <w:p>
            <w:pPr>
              <w:jc w:val="right"/>
              <w:spacing w:after="0"/>
              <w:rPr>
                <w:sz w:val="20"/>
                <w:szCs w:val="20"/>
                <w:color w:val="auto"/>
              </w:rPr>
            </w:pPr>
            <w:r>
              <w:rPr>
                <w:rFonts w:ascii="Arial" w:cs="Arial" w:eastAsia="Arial" w:hAnsi="Arial"/>
                <w:sz w:val="12"/>
                <w:szCs w:val="12"/>
                <w:b w:val="1"/>
                <w:bCs w:val="1"/>
                <w:color w:val="009CCC"/>
                <w:w w:val="99"/>
              </w:rPr>
              <w:t>Contribution on</w:t>
            </w:r>
          </w:p>
        </w:tc>
        <w:tc>
          <w:tcPr>
            <w:tcW w:w="160" w:type="dxa"/>
            <w:vAlign w:val="bottom"/>
          </w:tcPr>
          <w:p>
            <w:pPr>
              <w:spacing w:after="0"/>
              <w:rPr>
                <w:sz w:val="11"/>
                <w:szCs w:val="11"/>
                <w:color w:val="auto"/>
              </w:rPr>
            </w:pPr>
          </w:p>
        </w:tc>
        <w:tc>
          <w:tcPr>
            <w:tcW w:w="1240" w:type="dxa"/>
            <w:vAlign w:val="bottom"/>
            <w:tcBorders>
              <w:right w:val="single" w:sz="8" w:color="7B7C80"/>
            </w:tcBorders>
            <w:gridSpan w:val="3"/>
          </w:tcPr>
          <w:p>
            <w:pPr>
              <w:jc w:val="right"/>
              <w:ind w:right="100"/>
              <w:spacing w:after="0"/>
              <w:rPr>
                <w:sz w:val="20"/>
                <w:szCs w:val="20"/>
                <w:color w:val="auto"/>
              </w:rPr>
            </w:pPr>
            <w:r>
              <w:rPr>
                <w:rFonts w:ascii="Arial" w:cs="Arial" w:eastAsia="Arial" w:hAnsi="Arial"/>
                <w:sz w:val="12"/>
                <w:szCs w:val="12"/>
                <w:b w:val="1"/>
                <w:bCs w:val="1"/>
                <w:color w:val="009CCC"/>
              </w:rPr>
              <w:t>Above Taxable</w:t>
            </w:r>
          </w:p>
        </w:tc>
        <w:tc>
          <w:tcPr>
            <w:tcW w:w="0" w:type="dxa"/>
            <w:vAlign w:val="bottom"/>
          </w:tcPr>
          <w:p>
            <w:pPr>
              <w:spacing w:after="0"/>
              <w:rPr>
                <w:sz w:val="1"/>
                <w:szCs w:val="1"/>
                <w:color w:val="auto"/>
              </w:rPr>
            </w:pPr>
          </w:p>
        </w:tc>
      </w:tr>
      <w:tr>
        <w:trPr>
          <w:trHeight w:val="160"/>
        </w:trPr>
        <w:tc>
          <w:tcPr>
            <w:tcW w:w="180" w:type="dxa"/>
            <w:vAlign w:val="bottom"/>
            <w:tcBorders>
              <w:left w:val="single" w:sz="8" w:color="7B7C80"/>
            </w:tcBorders>
          </w:tcPr>
          <w:p>
            <w:pPr>
              <w:spacing w:after="0"/>
              <w:rPr>
                <w:sz w:val="13"/>
                <w:szCs w:val="13"/>
                <w:color w:val="auto"/>
              </w:rPr>
            </w:pPr>
          </w:p>
        </w:tc>
        <w:tc>
          <w:tcPr>
            <w:tcW w:w="7660" w:type="dxa"/>
            <w:vAlign w:val="bottom"/>
            <w:tcBorders>
              <w:right w:val="single" w:sz="8" w:color="7B7C80"/>
            </w:tcBorders>
          </w:tcPr>
          <w:p>
            <w:pPr>
              <w:spacing w:after="0"/>
              <w:rPr>
                <w:sz w:val="13"/>
                <w:szCs w:val="13"/>
                <w:color w:val="auto"/>
              </w:rPr>
            </w:pPr>
          </w:p>
        </w:tc>
        <w:tc>
          <w:tcPr>
            <w:tcW w:w="2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40" w:type="dxa"/>
            <w:vAlign w:val="bottom"/>
          </w:tcPr>
          <w:p>
            <w:pPr>
              <w:jc w:val="right"/>
              <w:spacing w:after="0"/>
              <w:rPr>
                <w:sz w:val="20"/>
                <w:szCs w:val="20"/>
                <w:color w:val="auto"/>
              </w:rPr>
            </w:pPr>
            <w:r>
              <w:rPr>
                <w:rFonts w:ascii="Arial" w:cs="Arial" w:eastAsia="Arial" w:hAnsi="Arial"/>
                <w:sz w:val="12"/>
                <w:szCs w:val="12"/>
                <w:b w:val="1"/>
                <w:bCs w:val="1"/>
                <w:color w:val="009CCC"/>
              </w:rPr>
              <w:t>(Points)</w:t>
            </w:r>
          </w:p>
        </w:tc>
        <w:tc>
          <w:tcPr>
            <w:tcW w:w="1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600" w:type="dxa"/>
            <w:vAlign w:val="bottom"/>
          </w:tcPr>
          <w:p>
            <w:pPr>
              <w:jc w:val="right"/>
              <w:spacing w:after="0"/>
              <w:rPr>
                <w:sz w:val="20"/>
                <w:szCs w:val="20"/>
                <w:color w:val="auto"/>
              </w:rPr>
            </w:pPr>
            <w:r>
              <w:rPr>
                <w:rFonts w:ascii="Arial" w:cs="Arial" w:eastAsia="Arial" w:hAnsi="Arial"/>
                <w:sz w:val="12"/>
                <w:szCs w:val="12"/>
                <w:b w:val="1"/>
                <w:bCs w:val="1"/>
                <w:color w:val="009CCC"/>
              </w:rPr>
              <w:t>All Pay</w:t>
            </w:r>
          </w:p>
        </w:tc>
        <w:tc>
          <w:tcPr>
            <w:tcW w:w="160" w:type="dxa"/>
            <w:vAlign w:val="bottom"/>
          </w:tcPr>
          <w:p>
            <w:pPr>
              <w:spacing w:after="0"/>
              <w:rPr>
                <w:sz w:val="13"/>
                <w:szCs w:val="13"/>
                <w:color w:val="auto"/>
              </w:rPr>
            </w:pPr>
          </w:p>
        </w:tc>
        <w:tc>
          <w:tcPr>
            <w:tcW w:w="1240" w:type="dxa"/>
            <w:vAlign w:val="bottom"/>
            <w:tcBorders>
              <w:right w:val="single" w:sz="8" w:color="7B7C80"/>
            </w:tcBorders>
            <w:gridSpan w:val="3"/>
          </w:tcPr>
          <w:p>
            <w:pPr>
              <w:jc w:val="right"/>
              <w:ind w:right="100"/>
              <w:spacing w:after="0" w:line="160" w:lineRule="exact"/>
              <w:rPr>
                <w:sz w:val="20"/>
                <w:szCs w:val="20"/>
                <w:color w:val="auto"/>
              </w:rPr>
            </w:pPr>
            <w:r>
              <w:rPr>
                <w:rFonts w:ascii="Arial" w:cs="Arial" w:eastAsia="Arial" w:hAnsi="Arial"/>
                <w:sz w:val="12"/>
                <w:szCs w:val="12"/>
                <w:b w:val="1"/>
                <w:bCs w:val="1"/>
                <w:color w:val="009CCC"/>
              </w:rPr>
              <w:t>Wage Base</w:t>
            </w:r>
            <w:r>
              <w:rPr>
                <w:rFonts w:ascii="Arial" w:cs="Arial" w:eastAsia="Arial" w:hAnsi="Arial"/>
                <w:sz w:val="18"/>
                <w:szCs w:val="18"/>
                <w:b w:val="1"/>
                <w:bCs w:val="1"/>
                <w:color w:val="009CCC"/>
                <w:vertAlign w:val="superscript"/>
              </w:rPr>
              <w:t>(2)</w:t>
            </w:r>
          </w:p>
        </w:tc>
        <w:tc>
          <w:tcPr>
            <w:tcW w:w="0" w:type="dxa"/>
            <w:vAlign w:val="bottom"/>
          </w:tcPr>
          <w:p>
            <w:pPr>
              <w:spacing w:after="0"/>
              <w:rPr>
                <w:sz w:val="1"/>
                <w:szCs w:val="1"/>
                <w:color w:val="auto"/>
              </w:rPr>
            </w:pPr>
          </w:p>
        </w:tc>
      </w:tr>
      <w:tr>
        <w:trPr>
          <w:trHeight w:val="163"/>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top w:val="single" w:sz="8" w:color="7B7C80"/>
              <w:bottom w:val="single" w:sz="8" w:color="7B7C80"/>
            </w:tcBorders>
          </w:tcPr>
          <w:p>
            <w:pPr>
              <w:spacing w:after="0"/>
              <w:rPr>
                <w:sz w:val="14"/>
                <w:szCs w:val="14"/>
                <w:color w:val="auto"/>
              </w:rPr>
            </w:pPr>
          </w:p>
        </w:tc>
        <w:tc>
          <w:tcPr>
            <w:tcW w:w="740" w:type="dxa"/>
            <w:vAlign w:val="bottom"/>
            <w:tcBorders>
              <w:top w:val="single" w:sz="8" w:color="7B7C80"/>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&lt; 40</w:t>
            </w:r>
          </w:p>
        </w:tc>
        <w:tc>
          <w:tcPr>
            <w:tcW w:w="1100" w:type="dxa"/>
            <w:vAlign w:val="bottom"/>
            <w:tcBorders>
              <w:top w:val="single" w:sz="8" w:color="7B7C80"/>
              <w:bottom w:val="single" w:sz="8" w:color="7B7C80"/>
            </w:tcBorders>
            <w:gridSpan w:val="3"/>
          </w:tcPr>
          <w:p>
            <w:pPr>
              <w:jc w:val="right"/>
              <w:spacing w:after="0" w:line="164" w:lineRule="exact"/>
              <w:rPr>
                <w:sz w:val="20"/>
                <w:szCs w:val="20"/>
                <w:color w:val="auto"/>
              </w:rPr>
            </w:pPr>
            <w:r>
              <w:rPr>
                <w:rFonts w:ascii="Arial" w:cs="Arial" w:eastAsia="Arial" w:hAnsi="Arial"/>
                <w:sz w:val="15"/>
                <w:szCs w:val="15"/>
                <w:color w:val="7B7C80"/>
              </w:rPr>
              <w:t>3.00%</w:t>
            </w:r>
          </w:p>
        </w:tc>
        <w:tc>
          <w:tcPr>
            <w:tcW w:w="1300" w:type="dxa"/>
            <w:vAlign w:val="bottom"/>
            <w:tcBorders>
              <w:top w:val="single" w:sz="8" w:color="7B7C80"/>
              <w:bottom w:val="single" w:sz="8" w:color="7B7C80"/>
            </w:tcBorders>
            <w:gridSpan w:val="3"/>
          </w:tcPr>
          <w:p>
            <w:pPr>
              <w:jc w:val="right"/>
              <w:spacing w:after="0" w:line="164" w:lineRule="exact"/>
              <w:rPr>
                <w:sz w:val="20"/>
                <w:szCs w:val="20"/>
                <w:color w:val="auto"/>
              </w:rPr>
            </w:pPr>
            <w:r>
              <w:rPr>
                <w:rFonts w:ascii="Arial" w:cs="Arial" w:eastAsia="Arial" w:hAnsi="Arial"/>
                <w:sz w:val="15"/>
                <w:szCs w:val="15"/>
                <w:color w:val="7B7C80"/>
              </w:rPr>
              <w:t>1.50%</w:t>
            </w:r>
          </w:p>
        </w:tc>
        <w:tc>
          <w:tcPr>
            <w:tcW w:w="10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7B7C80"/>
            </w:tcBorders>
            <w:shd w:val="clear" w:color="auto" w:fill="E7E6E7"/>
          </w:tcPr>
          <w:p>
            <w:pPr>
              <w:spacing w:after="0"/>
              <w:rPr>
                <w:sz w:val="14"/>
                <w:szCs w:val="14"/>
                <w:color w:val="auto"/>
              </w:rPr>
            </w:pPr>
          </w:p>
        </w:tc>
        <w:tc>
          <w:tcPr>
            <w:tcW w:w="7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40 – 59</w:t>
            </w:r>
          </w:p>
        </w:tc>
        <w:tc>
          <w:tcPr>
            <w:tcW w:w="1100" w:type="dxa"/>
            <w:vAlign w:val="bottom"/>
            <w:tcBorders>
              <w:bottom w:val="single" w:sz="8" w:color="7B7C80"/>
            </w:tcBorders>
            <w:gridSpan w:val="3"/>
            <w:shd w:val="clear" w:color="auto" w:fill="E7E6E7"/>
          </w:tcPr>
          <w:p>
            <w:pPr>
              <w:jc w:val="right"/>
              <w:spacing w:after="0" w:line="164" w:lineRule="exact"/>
              <w:rPr>
                <w:sz w:val="20"/>
                <w:szCs w:val="20"/>
                <w:color w:val="auto"/>
              </w:rPr>
            </w:pPr>
            <w:r>
              <w:rPr>
                <w:rFonts w:ascii="Arial" w:cs="Arial" w:eastAsia="Arial" w:hAnsi="Arial"/>
                <w:sz w:val="15"/>
                <w:szCs w:val="15"/>
                <w:color w:val="7B7C80"/>
              </w:rPr>
              <w:t>4.00%</w:t>
            </w:r>
          </w:p>
        </w:tc>
        <w:tc>
          <w:tcPr>
            <w:tcW w:w="1300" w:type="dxa"/>
            <w:vAlign w:val="bottom"/>
            <w:tcBorders>
              <w:bottom w:val="single" w:sz="8" w:color="7B7C80"/>
            </w:tcBorders>
            <w:gridSpan w:val="3"/>
            <w:shd w:val="clear" w:color="auto" w:fill="E7E6E7"/>
          </w:tcPr>
          <w:p>
            <w:pPr>
              <w:jc w:val="right"/>
              <w:spacing w:after="0" w:line="164" w:lineRule="exact"/>
              <w:rPr>
                <w:sz w:val="20"/>
                <w:szCs w:val="20"/>
                <w:color w:val="auto"/>
              </w:rPr>
            </w:pPr>
            <w:r>
              <w:rPr>
                <w:rFonts w:ascii="Arial" w:cs="Arial" w:eastAsia="Arial" w:hAnsi="Arial"/>
                <w:sz w:val="15"/>
                <w:szCs w:val="15"/>
                <w:color w:val="7B7C80"/>
              </w:rPr>
              <w:t>2.00%</w:t>
            </w:r>
          </w:p>
        </w:tc>
        <w:tc>
          <w:tcPr>
            <w:tcW w:w="10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7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60 – 79</w:t>
            </w:r>
          </w:p>
        </w:tc>
        <w:tc>
          <w:tcPr>
            <w:tcW w:w="1100" w:type="dxa"/>
            <w:vAlign w:val="bottom"/>
            <w:tcBorders>
              <w:bottom w:val="single" w:sz="8" w:color="7B7C80"/>
            </w:tcBorders>
            <w:gridSpan w:val="3"/>
          </w:tcPr>
          <w:p>
            <w:pPr>
              <w:jc w:val="right"/>
              <w:spacing w:after="0" w:line="164" w:lineRule="exact"/>
              <w:rPr>
                <w:sz w:val="20"/>
                <w:szCs w:val="20"/>
                <w:color w:val="auto"/>
              </w:rPr>
            </w:pPr>
            <w:r>
              <w:rPr>
                <w:rFonts w:ascii="Arial" w:cs="Arial" w:eastAsia="Arial" w:hAnsi="Arial"/>
                <w:sz w:val="15"/>
                <w:szCs w:val="15"/>
                <w:color w:val="7B7C80"/>
              </w:rPr>
              <w:t>5.50%</w:t>
            </w:r>
          </w:p>
        </w:tc>
        <w:tc>
          <w:tcPr>
            <w:tcW w:w="1300" w:type="dxa"/>
            <w:vAlign w:val="bottom"/>
            <w:tcBorders>
              <w:bottom w:val="single" w:sz="8" w:color="7B7C80"/>
            </w:tcBorders>
            <w:gridSpan w:val="3"/>
          </w:tcPr>
          <w:p>
            <w:pPr>
              <w:jc w:val="right"/>
              <w:spacing w:after="0" w:line="164" w:lineRule="exact"/>
              <w:rPr>
                <w:sz w:val="20"/>
                <w:szCs w:val="20"/>
                <w:color w:val="auto"/>
              </w:rPr>
            </w:pPr>
            <w:r>
              <w:rPr>
                <w:rFonts w:ascii="Arial" w:cs="Arial" w:eastAsia="Arial" w:hAnsi="Arial"/>
                <w:sz w:val="15"/>
                <w:szCs w:val="15"/>
                <w:color w:val="7B7C80"/>
              </w:rPr>
              <w:t>2.75%</w:t>
            </w:r>
          </w:p>
        </w:tc>
        <w:tc>
          <w:tcPr>
            <w:tcW w:w="10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20" w:type="dxa"/>
            <w:vAlign w:val="bottom"/>
            <w:tcBorders>
              <w:bottom w:val="single" w:sz="8" w:color="009CCC"/>
            </w:tcBorders>
            <w:gridSpan w:val="2"/>
            <w:shd w:val="clear" w:color="auto" w:fill="E7E6E7"/>
          </w:tcPr>
          <w:p>
            <w:pPr>
              <w:jc w:val="right"/>
              <w:spacing w:after="0" w:line="164" w:lineRule="exact"/>
              <w:rPr>
                <w:sz w:val="20"/>
                <w:szCs w:val="20"/>
                <w:color w:val="auto"/>
              </w:rPr>
            </w:pPr>
            <w:r>
              <w:rPr>
                <w:rFonts w:ascii="Arial" w:cs="Arial" w:eastAsia="Arial" w:hAnsi="Arial"/>
                <w:sz w:val="15"/>
                <w:szCs w:val="15"/>
                <w:color w:val="7B7C80"/>
              </w:rPr>
              <w:t>80 or more</w:t>
            </w:r>
          </w:p>
        </w:tc>
        <w:tc>
          <w:tcPr>
            <w:tcW w:w="1100" w:type="dxa"/>
            <w:vAlign w:val="bottom"/>
            <w:tcBorders>
              <w:bottom w:val="single" w:sz="8" w:color="009CCC"/>
            </w:tcBorders>
            <w:gridSpan w:val="3"/>
            <w:shd w:val="clear" w:color="auto" w:fill="E7E6E7"/>
          </w:tcPr>
          <w:p>
            <w:pPr>
              <w:jc w:val="right"/>
              <w:spacing w:after="0" w:line="164" w:lineRule="exact"/>
              <w:rPr>
                <w:sz w:val="20"/>
                <w:szCs w:val="20"/>
                <w:color w:val="auto"/>
              </w:rPr>
            </w:pPr>
            <w:r>
              <w:rPr>
                <w:rFonts w:ascii="Arial" w:cs="Arial" w:eastAsia="Arial" w:hAnsi="Arial"/>
                <w:sz w:val="15"/>
                <w:szCs w:val="15"/>
                <w:color w:val="7B7C80"/>
              </w:rPr>
              <w:t>7.00%</w:t>
            </w:r>
          </w:p>
        </w:tc>
        <w:tc>
          <w:tcPr>
            <w:tcW w:w="1300" w:type="dxa"/>
            <w:vAlign w:val="bottom"/>
            <w:tcBorders>
              <w:bottom w:val="single" w:sz="8" w:color="009CCC"/>
            </w:tcBorders>
            <w:gridSpan w:val="3"/>
            <w:shd w:val="clear" w:color="auto" w:fill="E7E6E7"/>
          </w:tcPr>
          <w:p>
            <w:pPr>
              <w:jc w:val="right"/>
              <w:spacing w:after="0" w:line="164" w:lineRule="exact"/>
              <w:rPr>
                <w:sz w:val="20"/>
                <w:szCs w:val="20"/>
                <w:color w:val="auto"/>
              </w:rPr>
            </w:pPr>
            <w:r>
              <w:rPr>
                <w:rFonts w:ascii="Arial" w:cs="Arial" w:eastAsia="Arial" w:hAnsi="Arial"/>
                <w:sz w:val="15"/>
                <w:szCs w:val="15"/>
                <w:color w:val="7B7C80"/>
              </w:rPr>
              <w:t>3.5%</w:t>
            </w:r>
          </w:p>
        </w:tc>
        <w:tc>
          <w:tcPr>
            <w:tcW w:w="10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80" w:type="dxa"/>
            <w:vAlign w:val="bottom"/>
            <w:tcBorders>
              <w:left w:val="single" w:sz="8" w:color="7B7C80"/>
            </w:tcBorders>
            <w:vMerge w:val="restart"/>
          </w:tcPr>
          <w:p>
            <w:pPr>
              <w:ind w:left="80"/>
              <w:spacing w:after="0"/>
              <w:rPr>
                <w:sz w:val="20"/>
                <w:szCs w:val="20"/>
                <w:color w:val="auto"/>
              </w:rPr>
            </w:pPr>
            <w:r>
              <w:rPr>
                <w:rFonts w:ascii="Arial" w:cs="Arial" w:eastAsia="Arial" w:hAnsi="Arial"/>
                <w:sz w:val="15"/>
                <w:szCs w:val="15"/>
                <w:color w:val="7B7C80"/>
              </w:rPr>
              <w:t>•</w:t>
            </w:r>
          </w:p>
        </w:tc>
        <w:tc>
          <w:tcPr>
            <w:tcW w:w="7660" w:type="dxa"/>
            <w:vAlign w:val="bottom"/>
            <w:tcBorders>
              <w:right w:val="single" w:sz="8" w:color="7B7C80"/>
            </w:tcBorders>
            <w:vMerge w:val="restart"/>
          </w:tcPr>
          <w:p>
            <w:pPr>
              <w:ind w:left="40"/>
              <w:spacing w:after="0"/>
              <w:rPr>
                <w:sz w:val="20"/>
                <w:szCs w:val="20"/>
                <w:color w:val="auto"/>
              </w:rPr>
            </w:pPr>
            <w:r>
              <w:rPr>
                <w:rFonts w:ascii="Arial" w:cs="Arial" w:eastAsia="Arial" w:hAnsi="Arial"/>
                <w:sz w:val="15"/>
                <w:szCs w:val="15"/>
                <w:color w:val="7B7C80"/>
              </w:rPr>
              <w:t xml:space="preserve">The retirement benefit for </w:t>
            </w:r>
            <w:r>
              <w:rPr>
                <w:rFonts w:ascii="Arial" w:cs="Arial" w:eastAsia="Arial" w:hAnsi="Arial"/>
                <w:sz w:val="15"/>
                <w:szCs w:val="15"/>
                <w:b w:val="1"/>
                <w:bCs w:val="1"/>
                <w:color w:val="7B7C80"/>
              </w:rPr>
              <w:t>Mr. Houston and Mses. Strable and Everett</w:t>
            </w:r>
            <w:r>
              <w:rPr>
                <w:rFonts w:ascii="Arial" w:cs="Arial" w:eastAsia="Arial" w:hAnsi="Arial"/>
                <w:sz w:val="15"/>
                <w:szCs w:val="15"/>
                <w:color w:val="7B7C80"/>
              </w:rPr>
              <w:t xml:space="preserve"> will be the greater of the Traditional or</w:t>
            </w:r>
          </w:p>
        </w:tc>
        <w:tc>
          <w:tcPr>
            <w:tcW w:w="2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220" w:type="dxa"/>
            <w:vAlign w:val="bottom"/>
            <w:gridSpan w:val="8"/>
          </w:tcPr>
          <w:p>
            <w:pPr>
              <w:spacing w:after="0" w:line="149" w:lineRule="exact"/>
              <w:rPr>
                <w:sz w:val="20"/>
                <w:szCs w:val="20"/>
                <w:color w:val="auto"/>
              </w:rPr>
            </w:pPr>
            <w:r>
              <w:rPr>
                <w:rFonts w:ascii="Arial" w:cs="Arial" w:eastAsia="Arial" w:hAnsi="Arial"/>
                <w:sz w:val="15"/>
                <w:szCs w:val="15"/>
                <w:b w:val="1"/>
                <w:bCs w:val="1"/>
                <w:color w:val="7B7C80"/>
              </w:rPr>
              <w:t>Non Qualified Defined Benefit</w:t>
            </w:r>
          </w:p>
        </w:tc>
        <w:tc>
          <w:tcPr>
            <w:tcW w:w="10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180" w:type="dxa"/>
            <w:vAlign w:val="bottom"/>
            <w:tcBorders>
              <w:left w:val="single" w:sz="8" w:color="7B7C80"/>
            </w:tcBorders>
            <w:vMerge w:val="continue"/>
          </w:tcPr>
          <w:p>
            <w:pPr>
              <w:spacing w:after="0"/>
              <w:rPr>
                <w:sz w:val="12"/>
                <w:szCs w:val="12"/>
                <w:color w:val="auto"/>
              </w:rPr>
            </w:pPr>
          </w:p>
        </w:tc>
        <w:tc>
          <w:tcPr>
            <w:tcW w:w="7660" w:type="dxa"/>
            <w:vAlign w:val="bottom"/>
            <w:tcBorders>
              <w:right w:val="single" w:sz="8" w:color="7B7C80"/>
            </w:tcBorders>
            <w:vMerge w:val="continue"/>
          </w:tcPr>
          <w:p>
            <w:pPr>
              <w:spacing w:after="0"/>
              <w:rPr>
                <w:sz w:val="12"/>
                <w:szCs w:val="12"/>
                <w:color w:val="auto"/>
              </w:rPr>
            </w:pPr>
          </w:p>
        </w:tc>
        <w:tc>
          <w:tcPr>
            <w:tcW w:w="2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top w:val="single" w:sz="8" w:color="7B7C80"/>
            </w:tcBorders>
          </w:tcPr>
          <w:p>
            <w:pPr>
              <w:spacing w:after="0"/>
              <w:rPr>
                <w:sz w:val="12"/>
                <w:szCs w:val="12"/>
                <w:color w:val="auto"/>
              </w:rPr>
            </w:pPr>
          </w:p>
        </w:tc>
        <w:tc>
          <w:tcPr>
            <w:tcW w:w="740" w:type="dxa"/>
            <w:vAlign w:val="bottom"/>
            <w:tcBorders>
              <w:top w:val="single" w:sz="8" w:color="7B7C80"/>
            </w:tcBorders>
          </w:tcPr>
          <w:p>
            <w:pPr>
              <w:spacing w:after="0"/>
              <w:rPr>
                <w:sz w:val="12"/>
                <w:szCs w:val="12"/>
                <w:color w:val="auto"/>
              </w:rPr>
            </w:pPr>
          </w:p>
        </w:tc>
        <w:tc>
          <w:tcPr>
            <w:tcW w:w="120" w:type="dxa"/>
            <w:vAlign w:val="bottom"/>
            <w:tcBorders>
              <w:top w:val="single" w:sz="8" w:color="7B7C80"/>
            </w:tcBorders>
          </w:tcPr>
          <w:p>
            <w:pPr>
              <w:spacing w:after="0"/>
              <w:rPr>
                <w:sz w:val="12"/>
                <w:szCs w:val="12"/>
                <w:color w:val="auto"/>
              </w:rPr>
            </w:pPr>
          </w:p>
        </w:tc>
        <w:tc>
          <w:tcPr>
            <w:tcW w:w="380" w:type="dxa"/>
            <w:vAlign w:val="bottom"/>
            <w:tcBorders>
              <w:top w:val="single" w:sz="8" w:color="7B7C80"/>
            </w:tcBorders>
          </w:tcPr>
          <w:p>
            <w:pPr>
              <w:spacing w:after="0"/>
              <w:rPr>
                <w:sz w:val="12"/>
                <w:szCs w:val="12"/>
                <w:color w:val="auto"/>
              </w:rPr>
            </w:pPr>
          </w:p>
        </w:tc>
        <w:tc>
          <w:tcPr>
            <w:tcW w:w="600" w:type="dxa"/>
            <w:vAlign w:val="bottom"/>
            <w:tcBorders>
              <w:top w:val="single" w:sz="8" w:color="7B7C80"/>
            </w:tcBorders>
          </w:tcPr>
          <w:p>
            <w:pPr>
              <w:spacing w:after="0"/>
              <w:rPr>
                <w:sz w:val="12"/>
                <w:szCs w:val="12"/>
                <w:color w:val="auto"/>
              </w:rPr>
            </w:pPr>
          </w:p>
        </w:tc>
        <w:tc>
          <w:tcPr>
            <w:tcW w:w="160" w:type="dxa"/>
            <w:vAlign w:val="bottom"/>
            <w:tcBorders>
              <w:top w:val="single" w:sz="8" w:color="7B7C80"/>
            </w:tcBorders>
          </w:tcPr>
          <w:p>
            <w:pPr>
              <w:spacing w:after="0"/>
              <w:rPr>
                <w:sz w:val="12"/>
                <w:szCs w:val="12"/>
                <w:color w:val="auto"/>
              </w:rPr>
            </w:pPr>
          </w:p>
        </w:tc>
        <w:tc>
          <w:tcPr>
            <w:tcW w:w="8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83"/>
        </w:trPr>
        <w:tc>
          <w:tcPr>
            <w:tcW w:w="180" w:type="dxa"/>
            <w:vAlign w:val="bottom"/>
            <w:tcBorders>
              <w:left w:val="single" w:sz="8" w:color="7B7C80"/>
            </w:tcBorders>
          </w:tcPr>
          <w:p>
            <w:pPr>
              <w:spacing w:after="0"/>
              <w:rPr>
                <w:sz w:val="15"/>
                <w:szCs w:val="15"/>
                <w:color w:val="auto"/>
              </w:rPr>
            </w:pPr>
          </w:p>
        </w:tc>
        <w:tc>
          <w:tcPr>
            <w:tcW w:w="7660" w:type="dxa"/>
            <w:vAlign w:val="bottom"/>
            <w:tcBorders>
              <w:right w:val="single" w:sz="8" w:color="7B7C80"/>
            </w:tcBorders>
          </w:tcPr>
          <w:p>
            <w:pPr>
              <w:ind w:left="40"/>
              <w:spacing w:after="0"/>
              <w:rPr>
                <w:sz w:val="20"/>
                <w:szCs w:val="20"/>
                <w:color w:val="auto"/>
              </w:rPr>
            </w:pPr>
            <w:r>
              <w:rPr>
                <w:rFonts w:ascii="Arial" w:cs="Arial" w:eastAsia="Arial" w:hAnsi="Arial"/>
                <w:sz w:val="15"/>
                <w:szCs w:val="15"/>
                <w:color w:val="7B7C80"/>
              </w:rPr>
              <w:t>Cash Balance Formulas.</w:t>
            </w: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380" w:type="dxa"/>
            <w:vAlign w:val="bottom"/>
            <w:tcBorders>
              <w:right w:val="single" w:sz="8" w:color="7B7C80"/>
            </w:tcBorders>
            <w:gridSpan w:val="6"/>
          </w:tcPr>
          <w:p>
            <w:pPr>
              <w:jc w:val="right"/>
              <w:ind w:right="100"/>
              <w:spacing w:after="0"/>
              <w:rPr>
                <w:sz w:val="20"/>
                <w:szCs w:val="20"/>
                <w:color w:val="auto"/>
              </w:rPr>
            </w:pPr>
            <w:r>
              <w:rPr>
                <w:rFonts w:ascii="Arial" w:cs="Arial" w:eastAsia="Arial" w:hAnsi="Arial"/>
                <w:sz w:val="15"/>
                <w:szCs w:val="15"/>
                <w:color w:val="7B7C80"/>
                <w:w w:val="98"/>
              </w:rPr>
              <w:t>The NQDB benefit formula for Non</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vMerge w:val="restart"/>
          </w:tcPr>
          <w:p>
            <w:pPr>
              <w:ind w:left="40"/>
              <w:spacing w:after="0"/>
              <w:rPr>
                <w:sz w:val="20"/>
                <w:szCs w:val="20"/>
                <w:color w:val="auto"/>
              </w:rPr>
            </w:pPr>
            <w:r>
              <w:rPr>
                <w:rFonts w:ascii="Arial" w:cs="Arial" w:eastAsia="Arial" w:hAnsi="Arial"/>
                <w:sz w:val="15"/>
                <w:szCs w:val="15"/>
                <w:b w:val="1"/>
                <w:bCs w:val="1"/>
                <w:color w:val="7B7C80"/>
                <w:w w:val="99"/>
              </w:rPr>
              <w:t xml:space="preserve">Mr. McCaughan's </w:t>
            </w:r>
            <w:r>
              <w:rPr>
                <w:rFonts w:ascii="Arial" w:cs="Arial" w:eastAsia="Arial" w:hAnsi="Arial"/>
                <w:sz w:val="15"/>
                <w:szCs w:val="15"/>
                <w:color w:val="7B7C80"/>
                <w:w w:val="99"/>
              </w:rPr>
              <w:t>retirement benefit will be the Cash Balance Formula. He has not accrued any benefits under this</w:t>
            </w: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jc w:val="right"/>
              <w:ind w:right="100"/>
              <w:spacing w:after="0"/>
              <w:rPr>
                <w:sz w:val="20"/>
                <w:szCs w:val="20"/>
                <w:color w:val="auto"/>
              </w:rPr>
            </w:pPr>
            <w:r>
              <w:rPr>
                <w:rFonts w:ascii="Arial" w:cs="Arial" w:eastAsia="Arial" w:hAnsi="Arial"/>
                <w:sz w:val="15"/>
                <w:szCs w:val="15"/>
                <w:color w:val="7B7C80"/>
              </w:rPr>
              <w:t>Grandfathered Participants hired before</w:t>
            </w:r>
          </w:p>
        </w:tc>
        <w:tc>
          <w:tcPr>
            <w:tcW w:w="0" w:type="dxa"/>
            <w:vAlign w:val="bottom"/>
          </w:tcPr>
          <w:p>
            <w:pPr>
              <w:spacing w:after="0"/>
              <w:rPr>
                <w:sz w:val="1"/>
                <w:szCs w:val="1"/>
                <w:color w:val="auto"/>
              </w:rPr>
            </w:pPr>
          </w:p>
        </w:tc>
      </w:tr>
      <w:tr>
        <w:trPr>
          <w:trHeight w:val="160"/>
        </w:trPr>
        <w:tc>
          <w:tcPr>
            <w:tcW w:w="180" w:type="dxa"/>
            <w:vAlign w:val="bottom"/>
            <w:tcBorders>
              <w:left w:val="single" w:sz="8" w:color="7B7C80"/>
            </w:tcBorders>
          </w:tcPr>
          <w:p>
            <w:pPr>
              <w:ind w:left="80"/>
              <w:spacing w:after="0" w:line="161" w:lineRule="exact"/>
              <w:rPr>
                <w:sz w:val="20"/>
                <w:szCs w:val="20"/>
                <w:color w:val="auto"/>
              </w:rPr>
            </w:pPr>
            <w:r>
              <w:rPr>
                <w:rFonts w:ascii="Arial" w:cs="Arial" w:eastAsia="Arial" w:hAnsi="Arial"/>
                <w:sz w:val="15"/>
                <w:szCs w:val="15"/>
                <w:color w:val="7B7C80"/>
              </w:rPr>
              <w:t>•</w:t>
            </w:r>
          </w:p>
        </w:tc>
        <w:tc>
          <w:tcPr>
            <w:tcW w:w="7660" w:type="dxa"/>
            <w:vAlign w:val="bottom"/>
            <w:tcBorders>
              <w:right w:val="single" w:sz="8" w:color="7B7C80"/>
            </w:tcBorders>
            <w:vMerge w:val="continue"/>
          </w:tcPr>
          <w:p>
            <w:pPr>
              <w:spacing w:after="0"/>
              <w:rPr>
                <w:sz w:val="13"/>
                <w:szCs w:val="13"/>
                <w:color w:val="auto"/>
              </w:rPr>
            </w:pPr>
          </w:p>
        </w:tc>
        <w:tc>
          <w:tcPr>
            <w:tcW w:w="2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400" w:type="dxa"/>
            <w:vAlign w:val="bottom"/>
            <w:tcBorders>
              <w:right w:val="single" w:sz="8" w:color="7B7C80"/>
            </w:tcBorders>
            <w:gridSpan w:val="4"/>
          </w:tcPr>
          <w:p>
            <w:pPr>
              <w:jc w:val="right"/>
              <w:ind w:right="100"/>
              <w:spacing w:after="0" w:line="161" w:lineRule="exact"/>
              <w:rPr>
                <w:sz w:val="20"/>
                <w:szCs w:val="20"/>
                <w:color w:val="auto"/>
              </w:rPr>
            </w:pPr>
            <w:r>
              <w:rPr>
                <w:rFonts w:ascii="Arial" w:cs="Arial" w:eastAsia="Arial" w:hAnsi="Arial"/>
                <w:sz w:val="15"/>
                <w:szCs w:val="15"/>
                <w:color w:val="7B7C80"/>
              </w:rPr>
              <w:t>January 1, 2002 is:</w:t>
            </w:r>
          </w:p>
        </w:tc>
        <w:tc>
          <w:tcPr>
            <w:tcW w:w="0" w:type="dxa"/>
            <w:vAlign w:val="bottom"/>
          </w:tcPr>
          <w:p>
            <w:pPr>
              <w:spacing w:after="0"/>
              <w:rPr>
                <w:sz w:val="1"/>
                <w:szCs w:val="1"/>
                <w:color w:val="auto"/>
              </w:rPr>
            </w:pPr>
          </w:p>
        </w:tc>
      </w:tr>
      <w:tr>
        <w:trPr>
          <w:trHeight w:val="179"/>
        </w:trPr>
        <w:tc>
          <w:tcPr>
            <w:tcW w:w="180" w:type="dxa"/>
            <w:vAlign w:val="bottom"/>
            <w:tcBorders>
              <w:left w:val="single" w:sz="8" w:color="7B7C80"/>
            </w:tcBorders>
          </w:tcPr>
          <w:p>
            <w:pPr>
              <w:spacing w:after="0"/>
              <w:rPr>
                <w:sz w:val="15"/>
                <w:szCs w:val="15"/>
                <w:color w:val="auto"/>
              </w:rPr>
            </w:pPr>
          </w:p>
        </w:tc>
        <w:tc>
          <w:tcPr>
            <w:tcW w:w="7660" w:type="dxa"/>
            <w:vAlign w:val="bottom"/>
            <w:tcBorders>
              <w:right w:val="single" w:sz="8" w:color="7B7C80"/>
            </w:tcBorders>
          </w:tcPr>
          <w:p>
            <w:pPr>
              <w:ind w:left="40"/>
              <w:spacing w:after="0"/>
              <w:rPr>
                <w:sz w:val="20"/>
                <w:szCs w:val="20"/>
                <w:color w:val="auto"/>
              </w:rPr>
            </w:pPr>
            <w:r>
              <w:rPr>
                <w:rFonts w:ascii="Arial" w:cs="Arial" w:eastAsia="Arial" w:hAnsi="Arial"/>
                <w:sz w:val="15"/>
                <w:szCs w:val="15"/>
                <w:color w:val="7B7C80"/>
              </w:rPr>
              <w:t>plan since January 1, 2010.</w:t>
            </w: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0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180" w:type="dxa"/>
            <w:vAlign w:val="bottom"/>
            <w:tcBorders>
              <w:left w:val="single" w:sz="8" w:color="7B7C80"/>
            </w:tcBorders>
          </w:tcPr>
          <w:p>
            <w:pPr>
              <w:spacing w:after="0"/>
              <w:rPr>
                <w:sz w:val="15"/>
                <w:szCs w:val="15"/>
                <w:color w:val="auto"/>
              </w:rPr>
            </w:pPr>
          </w:p>
        </w:tc>
        <w:tc>
          <w:tcPr>
            <w:tcW w:w="7660" w:type="dxa"/>
            <w:vAlign w:val="bottom"/>
            <w:tcBorders>
              <w:right w:val="single" w:sz="8" w:color="7B7C80"/>
            </w:tcBorders>
            <w:vMerge w:val="restart"/>
          </w:tcPr>
          <w:p>
            <w:pPr>
              <w:ind w:left="40"/>
              <w:spacing w:after="0"/>
              <w:rPr>
                <w:sz w:val="20"/>
                <w:szCs w:val="20"/>
                <w:color w:val="auto"/>
              </w:rPr>
            </w:pPr>
            <w:r>
              <w:rPr>
                <w:rFonts w:ascii="Arial" w:cs="Arial" w:eastAsia="Arial" w:hAnsi="Arial"/>
                <w:sz w:val="15"/>
                <w:szCs w:val="15"/>
                <w:b w:val="1"/>
                <w:bCs w:val="1"/>
                <w:color w:val="7B7C80"/>
              </w:rPr>
              <w:t xml:space="preserve">Mr. Valdés </w:t>
            </w:r>
            <w:r>
              <w:rPr>
                <w:rFonts w:ascii="Arial" w:cs="Arial" w:eastAsia="Arial" w:hAnsi="Arial"/>
                <w:sz w:val="15"/>
                <w:szCs w:val="15"/>
                <w:color w:val="7B7C80"/>
              </w:rPr>
              <w:t>primary retirement benefit will be the Cash Balance Formula. Mr. Valdés will also have a small benefit</w:t>
            </w:r>
          </w:p>
        </w:tc>
        <w:tc>
          <w:tcPr>
            <w:tcW w:w="260" w:type="dxa"/>
            <w:vAlign w:val="bottom"/>
          </w:tcPr>
          <w:p>
            <w:pPr>
              <w:spacing w:after="0"/>
              <w:rPr>
                <w:sz w:val="15"/>
                <w:szCs w:val="15"/>
                <w:color w:val="auto"/>
              </w:rPr>
            </w:pPr>
          </w:p>
        </w:tc>
        <w:tc>
          <w:tcPr>
            <w:tcW w:w="100" w:type="dxa"/>
            <w:vAlign w:val="bottom"/>
            <w:gridSpan w:val="2"/>
          </w:tcPr>
          <w:p>
            <w:pPr>
              <w:spacing w:after="0"/>
              <w:rPr>
                <w:sz w:val="20"/>
                <w:szCs w:val="20"/>
                <w:color w:val="auto"/>
              </w:rPr>
            </w:pPr>
            <w:r>
              <w:rPr>
                <w:rFonts w:ascii="Arial" w:cs="Arial" w:eastAsia="Arial" w:hAnsi="Arial"/>
                <w:sz w:val="15"/>
                <w:szCs w:val="15"/>
                <w:color w:val="7B7C80"/>
              </w:rPr>
              <w:t>•</w:t>
            </w: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The traditional or cash balance pension plan</w:t>
            </w:r>
          </w:p>
        </w:tc>
        <w:tc>
          <w:tcPr>
            <w:tcW w:w="0" w:type="dxa"/>
            <w:vAlign w:val="bottom"/>
          </w:tcPr>
          <w:p>
            <w:pPr>
              <w:spacing w:after="0"/>
              <w:rPr>
                <w:sz w:val="1"/>
                <w:szCs w:val="1"/>
                <w:color w:val="auto"/>
              </w:rPr>
            </w:pPr>
          </w:p>
        </w:tc>
      </w:tr>
      <w:tr>
        <w:trPr>
          <w:trHeight w:val="160"/>
        </w:trPr>
        <w:tc>
          <w:tcPr>
            <w:tcW w:w="180" w:type="dxa"/>
            <w:vAlign w:val="bottom"/>
            <w:tcBorders>
              <w:left w:val="single" w:sz="8" w:color="7B7C80"/>
            </w:tcBorders>
          </w:tcPr>
          <w:p>
            <w:pPr>
              <w:ind w:left="80"/>
              <w:spacing w:after="0" w:line="161" w:lineRule="exact"/>
              <w:rPr>
                <w:sz w:val="20"/>
                <w:szCs w:val="20"/>
                <w:color w:val="auto"/>
              </w:rPr>
            </w:pPr>
            <w:r>
              <w:rPr>
                <w:rFonts w:ascii="Arial" w:cs="Arial" w:eastAsia="Arial" w:hAnsi="Arial"/>
                <w:sz w:val="15"/>
                <w:szCs w:val="15"/>
                <w:color w:val="7B7C80"/>
              </w:rPr>
              <w:t>•</w:t>
            </w:r>
          </w:p>
        </w:tc>
        <w:tc>
          <w:tcPr>
            <w:tcW w:w="7660" w:type="dxa"/>
            <w:vAlign w:val="bottom"/>
            <w:tcBorders>
              <w:right w:val="single" w:sz="8" w:color="7B7C80"/>
            </w:tcBorders>
            <w:vMerge w:val="continue"/>
          </w:tcPr>
          <w:p>
            <w:pPr>
              <w:spacing w:after="0"/>
              <w:rPr>
                <w:sz w:val="13"/>
                <w:szCs w:val="13"/>
                <w:color w:val="auto"/>
              </w:rPr>
            </w:pPr>
          </w:p>
        </w:tc>
        <w:tc>
          <w:tcPr>
            <w:tcW w:w="2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40" w:type="dxa"/>
            <w:vAlign w:val="bottom"/>
            <w:tcBorders>
              <w:right w:val="single" w:sz="8" w:color="7B7C80"/>
            </w:tcBorders>
            <w:gridSpan w:val="8"/>
          </w:tcPr>
          <w:p>
            <w:pPr>
              <w:ind w:left="40"/>
              <w:spacing w:after="0" w:line="161" w:lineRule="exact"/>
              <w:rPr>
                <w:sz w:val="20"/>
                <w:szCs w:val="20"/>
                <w:color w:val="auto"/>
              </w:rPr>
            </w:pPr>
            <w:r>
              <w:rPr>
                <w:rFonts w:ascii="Arial" w:cs="Arial" w:eastAsia="Arial" w:hAnsi="Arial"/>
                <w:sz w:val="15"/>
                <w:szCs w:val="15"/>
                <w:color w:val="7B7C80"/>
              </w:rPr>
              <w:t>benefit for Non Grandfathered Choice</w:t>
            </w:r>
          </w:p>
        </w:tc>
        <w:tc>
          <w:tcPr>
            <w:tcW w:w="0" w:type="dxa"/>
            <w:vAlign w:val="bottom"/>
          </w:tcPr>
          <w:p>
            <w:pPr>
              <w:spacing w:after="0"/>
              <w:rPr>
                <w:sz w:val="1"/>
                <w:szCs w:val="1"/>
                <w:color w:val="auto"/>
              </w:rPr>
            </w:pPr>
          </w:p>
        </w:tc>
      </w:tr>
      <w:tr>
        <w:trPr>
          <w:trHeight w:val="183"/>
        </w:trPr>
        <w:tc>
          <w:tcPr>
            <w:tcW w:w="180" w:type="dxa"/>
            <w:vAlign w:val="bottom"/>
            <w:tcBorders>
              <w:left w:val="single" w:sz="8" w:color="7B7C80"/>
            </w:tcBorders>
          </w:tcPr>
          <w:p>
            <w:pPr>
              <w:spacing w:after="0"/>
              <w:rPr>
                <w:sz w:val="15"/>
                <w:szCs w:val="15"/>
                <w:color w:val="auto"/>
              </w:rPr>
            </w:pPr>
          </w:p>
        </w:tc>
        <w:tc>
          <w:tcPr>
            <w:tcW w:w="7660" w:type="dxa"/>
            <w:vAlign w:val="bottom"/>
            <w:tcBorders>
              <w:right w:val="single" w:sz="8" w:color="7B7C80"/>
            </w:tcBorders>
          </w:tcPr>
          <w:p>
            <w:pPr>
              <w:ind w:left="40"/>
              <w:spacing w:after="0"/>
              <w:rPr>
                <w:sz w:val="20"/>
                <w:szCs w:val="20"/>
                <w:color w:val="auto"/>
              </w:rPr>
            </w:pPr>
            <w:r>
              <w:rPr>
                <w:rFonts w:ascii="Arial" w:cs="Arial" w:eastAsia="Arial" w:hAnsi="Arial"/>
                <w:sz w:val="15"/>
                <w:szCs w:val="15"/>
                <w:color w:val="7B7C80"/>
              </w:rPr>
              <w:t>under the Traditional Formula due to service prior to January 1, 2006.</w:t>
            </w: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Participants (whichever is greater) without</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regard to Tax Code limits, offset by the benefit</w:t>
            </w:r>
          </w:p>
        </w:tc>
        <w:tc>
          <w:tcPr>
            <w:tcW w:w="0" w:type="dxa"/>
            <w:vAlign w:val="bottom"/>
          </w:tcPr>
          <w:p>
            <w:pPr>
              <w:spacing w:after="0"/>
              <w:rPr>
                <w:sz w:val="1"/>
                <w:szCs w:val="1"/>
                <w:color w:val="auto"/>
              </w:rPr>
            </w:pPr>
          </w:p>
        </w:tc>
      </w:tr>
      <w:tr>
        <w:trPr>
          <w:trHeight w:val="179"/>
        </w:trPr>
        <w:tc>
          <w:tcPr>
            <w:tcW w:w="180" w:type="dxa"/>
            <w:vAlign w:val="bottom"/>
            <w:tcBorders>
              <w:left w:val="single" w:sz="8" w:color="7B7C80"/>
            </w:tcBorders>
          </w:tcPr>
          <w:p>
            <w:pPr>
              <w:spacing w:after="0"/>
              <w:rPr>
                <w:sz w:val="15"/>
                <w:szCs w:val="15"/>
                <w:color w:val="auto"/>
              </w:rPr>
            </w:pPr>
          </w:p>
        </w:tc>
        <w:tc>
          <w:tcPr>
            <w:tcW w:w="7660" w:type="dxa"/>
            <w:vAlign w:val="bottom"/>
            <w:tcBorders>
              <w:right w:val="single" w:sz="8" w:color="7B7C80"/>
            </w:tcBorders>
          </w:tcPr>
          <w:p>
            <w:pPr>
              <w:spacing w:after="0"/>
              <w:rPr>
                <w:sz w:val="15"/>
                <w:szCs w:val="15"/>
                <w:color w:val="auto"/>
              </w:rPr>
            </w:pP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that can be provided under the DB Plan.</w:t>
            </w:r>
          </w:p>
        </w:tc>
        <w:tc>
          <w:tcPr>
            <w:tcW w:w="0" w:type="dxa"/>
            <w:vAlign w:val="bottom"/>
          </w:tcPr>
          <w:p>
            <w:pPr>
              <w:spacing w:after="0"/>
              <w:rPr>
                <w:sz w:val="1"/>
                <w:szCs w:val="1"/>
                <w:color w:val="auto"/>
              </w:rPr>
            </w:pPr>
          </w:p>
        </w:tc>
      </w:tr>
      <w:tr>
        <w:trPr>
          <w:trHeight w:val="348"/>
        </w:trPr>
        <w:tc>
          <w:tcPr>
            <w:tcW w:w="180" w:type="dxa"/>
            <w:vAlign w:val="bottom"/>
            <w:tcBorders>
              <w:left w:val="single" w:sz="8" w:color="7B7C80"/>
            </w:tcBorders>
          </w:tcPr>
          <w:p>
            <w:pPr>
              <w:spacing w:after="0"/>
              <w:rPr>
                <w:sz w:val="24"/>
                <w:szCs w:val="24"/>
                <w:color w:val="auto"/>
              </w:rPr>
            </w:pPr>
          </w:p>
        </w:tc>
        <w:tc>
          <w:tcPr>
            <w:tcW w:w="7660" w:type="dxa"/>
            <w:vAlign w:val="bottom"/>
            <w:tcBorders>
              <w:right w:val="single" w:sz="8" w:color="7B7C80"/>
            </w:tcBorders>
          </w:tcPr>
          <w:p>
            <w:pPr>
              <w:spacing w:after="0"/>
              <w:rPr>
                <w:sz w:val="24"/>
                <w:szCs w:val="24"/>
                <w:color w:val="auto"/>
              </w:rPr>
            </w:pPr>
          </w:p>
        </w:tc>
        <w:tc>
          <w:tcPr>
            <w:tcW w:w="260" w:type="dxa"/>
            <w:vAlign w:val="bottom"/>
          </w:tcPr>
          <w:p>
            <w:pPr>
              <w:spacing w:after="0"/>
              <w:rPr>
                <w:sz w:val="24"/>
                <w:szCs w:val="24"/>
                <w:color w:val="auto"/>
              </w:rPr>
            </w:pPr>
          </w:p>
        </w:tc>
        <w:tc>
          <w:tcPr>
            <w:tcW w:w="334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color w:val="7B7C80"/>
              </w:rPr>
              <w:t>For employees who were active participants in</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334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color w:val="7B7C80"/>
              </w:rPr>
              <w:t>the plan on December 31, 2005, their accrued</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334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color w:val="7B7C80"/>
              </w:rPr>
              <w:t>benefit will not be less than their accrued benefit</w:t>
            </w:r>
          </w:p>
        </w:tc>
        <w:tc>
          <w:tcPr>
            <w:tcW w:w="0" w:type="dxa"/>
            <w:vAlign w:val="bottom"/>
          </w:tcPr>
          <w:p>
            <w:pPr>
              <w:spacing w:after="0"/>
              <w:rPr>
                <w:sz w:val="1"/>
                <w:szCs w:val="1"/>
                <w:color w:val="auto"/>
              </w:rPr>
            </w:pPr>
          </w:p>
        </w:tc>
      </w:tr>
      <w:tr>
        <w:trPr>
          <w:trHeight w:val="179"/>
        </w:trPr>
        <w:tc>
          <w:tcPr>
            <w:tcW w:w="180" w:type="dxa"/>
            <w:vAlign w:val="bottom"/>
            <w:tcBorders>
              <w:left w:val="single" w:sz="8" w:color="7B7C80"/>
            </w:tcBorders>
          </w:tcPr>
          <w:p>
            <w:pPr>
              <w:spacing w:after="0"/>
              <w:rPr>
                <w:sz w:val="15"/>
                <w:szCs w:val="15"/>
                <w:color w:val="auto"/>
              </w:rPr>
            </w:pPr>
          </w:p>
        </w:tc>
        <w:tc>
          <w:tcPr>
            <w:tcW w:w="7660" w:type="dxa"/>
            <w:vAlign w:val="bottom"/>
            <w:tcBorders>
              <w:right w:val="single" w:sz="8" w:color="7B7C80"/>
            </w:tcBorders>
          </w:tcPr>
          <w:p>
            <w:pPr>
              <w:spacing w:after="0"/>
              <w:rPr>
                <w:sz w:val="15"/>
                <w:szCs w:val="15"/>
                <w:color w:val="auto"/>
              </w:rPr>
            </w:pPr>
          </w:p>
        </w:tc>
        <w:tc>
          <w:tcPr>
            <w:tcW w:w="260" w:type="dxa"/>
            <w:vAlign w:val="bottom"/>
          </w:tcPr>
          <w:p>
            <w:pPr>
              <w:spacing w:after="0"/>
              <w:rPr>
                <w:sz w:val="15"/>
                <w:szCs w:val="15"/>
                <w:color w:val="auto"/>
              </w:rPr>
            </w:pPr>
          </w:p>
        </w:tc>
        <w:tc>
          <w:tcPr>
            <w:tcW w:w="1940" w:type="dxa"/>
            <w:vAlign w:val="bottom"/>
            <w:gridSpan w:val="6"/>
          </w:tcPr>
          <w:p>
            <w:pPr>
              <w:spacing w:after="0"/>
              <w:rPr>
                <w:sz w:val="20"/>
                <w:szCs w:val="20"/>
                <w:color w:val="auto"/>
              </w:rPr>
            </w:pPr>
            <w:r>
              <w:rPr>
                <w:rFonts w:ascii="Arial" w:cs="Arial" w:eastAsia="Arial" w:hAnsi="Arial"/>
                <w:sz w:val="15"/>
                <w:szCs w:val="15"/>
                <w:color w:val="7B7C80"/>
              </w:rPr>
              <w:t>determined as of that date.</w:t>
            </w:r>
          </w:p>
        </w:tc>
        <w:tc>
          <w:tcPr>
            <w:tcW w:w="16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0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330"/>
        </w:trPr>
        <w:tc>
          <w:tcPr>
            <w:tcW w:w="180" w:type="dxa"/>
            <w:vAlign w:val="bottom"/>
            <w:tcBorders>
              <w:left w:val="single" w:sz="8" w:color="7B7C80"/>
            </w:tcBorders>
          </w:tcPr>
          <w:p>
            <w:pPr>
              <w:spacing w:after="0"/>
              <w:rPr>
                <w:sz w:val="24"/>
                <w:szCs w:val="24"/>
                <w:color w:val="auto"/>
              </w:rPr>
            </w:pPr>
          </w:p>
        </w:tc>
        <w:tc>
          <w:tcPr>
            <w:tcW w:w="7660" w:type="dxa"/>
            <w:vAlign w:val="bottom"/>
            <w:tcBorders>
              <w:right w:val="single" w:sz="8" w:color="7B7C80"/>
            </w:tcBorders>
          </w:tcPr>
          <w:p>
            <w:pPr>
              <w:spacing w:after="0"/>
              <w:rPr>
                <w:sz w:val="24"/>
                <w:szCs w:val="24"/>
                <w:color w:val="auto"/>
              </w:rPr>
            </w:pPr>
          </w:p>
        </w:tc>
        <w:tc>
          <w:tcPr>
            <w:tcW w:w="260" w:type="dxa"/>
            <w:vAlign w:val="bottom"/>
          </w:tcPr>
          <w:p>
            <w:pPr>
              <w:spacing w:after="0"/>
              <w:rPr>
                <w:sz w:val="24"/>
                <w:szCs w:val="24"/>
                <w:color w:val="auto"/>
              </w:rPr>
            </w:pPr>
          </w:p>
        </w:tc>
        <w:tc>
          <w:tcPr>
            <w:tcW w:w="334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b w:val="1"/>
                <w:bCs w:val="1"/>
                <w:color w:val="7B7C80"/>
              </w:rPr>
              <w:t>For both groups, there is a reduction if</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334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b w:val="1"/>
                <w:bCs w:val="1"/>
                <w:color w:val="7B7C80"/>
              </w:rPr>
              <w:t>payments start earlier than Normal</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3340" w:type="dxa"/>
            <w:vAlign w:val="bottom"/>
            <w:tcBorders>
              <w:right w:val="single" w:sz="8" w:color="7B7C80"/>
            </w:tcBorders>
            <w:gridSpan w:val="10"/>
          </w:tcPr>
          <w:p>
            <w:pPr>
              <w:spacing w:after="0"/>
              <w:rPr>
                <w:sz w:val="20"/>
                <w:szCs w:val="20"/>
                <w:color w:val="auto"/>
              </w:rPr>
            </w:pPr>
            <w:r>
              <w:rPr>
                <w:rFonts w:ascii="Arial" w:cs="Arial" w:eastAsia="Arial" w:hAnsi="Arial"/>
                <w:sz w:val="15"/>
                <w:szCs w:val="15"/>
                <w:b w:val="1"/>
                <w:bCs w:val="1"/>
                <w:color w:val="7B7C80"/>
              </w:rPr>
              <w:t>Retirement Age (Traditional Benefit Formula</w:t>
            </w:r>
          </w:p>
        </w:tc>
        <w:tc>
          <w:tcPr>
            <w:tcW w:w="0" w:type="dxa"/>
            <w:vAlign w:val="bottom"/>
          </w:tcPr>
          <w:p>
            <w:pPr>
              <w:spacing w:after="0"/>
              <w:rPr>
                <w:sz w:val="1"/>
                <w:szCs w:val="1"/>
                <w:color w:val="auto"/>
              </w:rPr>
            </w:pPr>
          </w:p>
        </w:tc>
      </w:tr>
      <w:tr>
        <w:trPr>
          <w:trHeight w:val="197"/>
        </w:trPr>
        <w:tc>
          <w:tcPr>
            <w:tcW w:w="180" w:type="dxa"/>
            <w:vAlign w:val="bottom"/>
            <w:tcBorders>
              <w:left w:val="single" w:sz="8" w:color="7B7C80"/>
            </w:tcBorders>
          </w:tcPr>
          <w:p>
            <w:pPr>
              <w:spacing w:after="0"/>
              <w:rPr>
                <w:sz w:val="17"/>
                <w:szCs w:val="17"/>
                <w:color w:val="auto"/>
              </w:rPr>
            </w:pPr>
          </w:p>
        </w:tc>
        <w:tc>
          <w:tcPr>
            <w:tcW w:w="7660" w:type="dxa"/>
            <w:vAlign w:val="bottom"/>
            <w:tcBorders>
              <w:right w:val="single" w:sz="8" w:color="7B7C80"/>
            </w:tcBorders>
          </w:tcPr>
          <w:p>
            <w:pPr>
              <w:spacing w:after="0"/>
              <w:rPr>
                <w:sz w:val="17"/>
                <w:szCs w:val="17"/>
                <w:color w:val="auto"/>
              </w:rPr>
            </w:pPr>
          </w:p>
        </w:tc>
        <w:tc>
          <w:tcPr>
            <w:tcW w:w="260" w:type="dxa"/>
            <w:vAlign w:val="bottom"/>
          </w:tcPr>
          <w:p>
            <w:pPr>
              <w:spacing w:after="0"/>
              <w:rPr>
                <w:sz w:val="17"/>
                <w:szCs w:val="17"/>
                <w:color w:val="auto"/>
              </w:rPr>
            </w:pPr>
          </w:p>
        </w:tc>
        <w:tc>
          <w:tcPr>
            <w:tcW w:w="840" w:type="dxa"/>
            <w:vAlign w:val="bottom"/>
            <w:gridSpan w:val="3"/>
          </w:tcPr>
          <w:p>
            <w:pPr>
              <w:spacing w:after="0"/>
              <w:rPr>
                <w:sz w:val="20"/>
                <w:szCs w:val="20"/>
                <w:color w:val="auto"/>
              </w:rPr>
            </w:pPr>
            <w:r>
              <w:rPr>
                <w:rFonts w:ascii="Arial" w:cs="Arial" w:eastAsia="Arial" w:hAnsi="Arial"/>
                <w:sz w:val="15"/>
                <w:szCs w:val="15"/>
                <w:b w:val="1"/>
                <w:bCs w:val="1"/>
                <w:color w:val="7B7C80"/>
              </w:rPr>
              <w:t>only):</w:t>
            </w:r>
          </w:p>
        </w:tc>
        <w:tc>
          <w:tcPr>
            <w:tcW w:w="1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Borders>
              <w:right w:val="single" w:sz="8" w:color="7B7C80"/>
            </w:tcBorders>
          </w:tcPr>
          <w:p>
            <w:pPr>
              <w:spacing w:after="0"/>
              <w:rPr>
                <w:sz w:val="17"/>
                <w:szCs w:val="17"/>
                <w:color w:val="auto"/>
              </w:rPr>
            </w:pPr>
          </w:p>
        </w:tc>
        <w:tc>
          <w:tcPr>
            <w:tcW w:w="0" w:type="dxa"/>
            <w:vAlign w:val="bottom"/>
          </w:tcPr>
          <w:p>
            <w:pPr>
              <w:spacing w:after="0"/>
              <w:rPr>
                <w:sz w:val="1"/>
                <w:szCs w:val="1"/>
                <w:color w:val="auto"/>
              </w:rPr>
            </w:pPr>
          </w:p>
        </w:tc>
      </w:tr>
      <w:tr>
        <w:trPr>
          <w:trHeight w:val="337"/>
        </w:trPr>
        <w:tc>
          <w:tcPr>
            <w:tcW w:w="180" w:type="dxa"/>
            <w:vAlign w:val="bottom"/>
            <w:tcBorders>
              <w:left w:val="single" w:sz="8" w:color="7B7C80"/>
            </w:tcBorders>
          </w:tcPr>
          <w:p>
            <w:pPr>
              <w:spacing w:after="0"/>
              <w:rPr>
                <w:sz w:val="24"/>
                <w:szCs w:val="24"/>
                <w:color w:val="auto"/>
              </w:rPr>
            </w:pPr>
          </w:p>
        </w:tc>
        <w:tc>
          <w:tcPr>
            <w:tcW w:w="7660" w:type="dxa"/>
            <w:vAlign w:val="bottom"/>
            <w:tcBorders>
              <w:right w:val="single" w:sz="8" w:color="7B7C80"/>
            </w:tcBorders>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gridSpan w:val="2"/>
          </w:tcPr>
          <w:p>
            <w:pPr>
              <w:spacing w:after="0"/>
              <w:rPr>
                <w:sz w:val="20"/>
                <w:szCs w:val="20"/>
                <w:color w:val="auto"/>
              </w:rPr>
            </w:pPr>
            <w:r>
              <w:rPr>
                <w:rFonts w:ascii="Arial" w:cs="Arial" w:eastAsia="Arial" w:hAnsi="Arial"/>
                <w:sz w:val="15"/>
                <w:szCs w:val="15"/>
                <w:color w:val="7B7C80"/>
              </w:rPr>
              <w:t>•</w:t>
            </w: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Principal subsidizes early retirement if the</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Named Executive Officer remains employed</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until Early Retirement Age (age 57 with</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10 years of service), which is the earliest date</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an employee may begin receiving retirement</w:t>
            </w:r>
          </w:p>
        </w:tc>
        <w:tc>
          <w:tcPr>
            <w:tcW w:w="0" w:type="dxa"/>
            <w:vAlign w:val="bottom"/>
          </w:tcPr>
          <w:p>
            <w:pPr>
              <w:spacing w:after="0"/>
              <w:rPr>
                <w:sz w:val="1"/>
                <w:szCs w:val="1"/>
                <w:color w:val="auto"/>
              </w:rPr>
            </w:pPr>
          </w:p>
        </w:tc>
      </w:tr>
      <w:tr>
        <w:trPr>
          <w:trHeight w:val="179"/>
        </w:trPr>
        <w:tc>
          <w:tcPr>
            <w:tcW w:w="180" w:type="dxa"/>
            <w:vAlign w:val="bottom"/>
            <w:tcBorders>
              <w:left w:val="single" w:sz="8" w:color="7B7C80"/>
            </w:tcBorders>
          </w:tcPr>
          <w:p>
            <w:pPr>
              <w:spacing w:after="0"/>
              <w:rPr>
                <w:sz w:val="15"/>
                <w:szCs w:val="15"/>
                <w:color w:val="auto"/>
              </w:rPr>
            </w:pPr>
          </w:p>
        </w:tc>
        <w:tc>
          <w:tcPr>
            <w:tcW w:w="7660" w:type="dxa"/>
            <w:vAlign w:val="bottom"/>
            <w:tcBorders>
              <w:right w:val="single" w:sz="8" w:color="7B7C80"/>
            </w:tcBorders>
          </w:tcPr>
          <w:p>
            <w:pPr>
              <w:spacing w:after="0"/>
              <w:rPr>
                <w:sz w:val="15"/>
                <w:szCs w:val="15"/>
                <w:color w:val="auto"/>
              </w:rPr>
            </w:pP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0" w:type="dxa"/>
            <w:vAlign w:val="bottom"/>
          </w:tcPr>
          <w:p>
            <w:pPr>
              <w:ind w:left="40"/>
              <w:spacing w:after="0"/>
              <w:rPr>
                <w:sz w:val="20"/>
                <w:szCs w:val="20"/>
                <w:color w:val="auto"/>
              </w:rPr>
            </w:pPr>
            <w:r>
              <w:rPr>
                <w:rFonts w:ascii="Arial" w:cs="Arial" w:eastAsia="Arial" w:hAnsi="Arial"/>
                <w:sz w:val="15"/>
                <w:szCs w:val="15"/>
                <w:color w:val="7B7C80"/>
              </w:rPr>
              <w:t>benefits.</w:t>
            </w:r>
          </w:p>
        </w:tc>
        <w:tc>
          <w:tcPr>
            <w:tcW w:w="1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0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337"/>
        </w:trPr>
        <w:tc>
          <w:tcPr>
            <w:tcW w:w="180" w:type="dxa"/>
            <w:vAlign w:val="bottom"/>
            <w:tcBorders>
              <w:left w:val="single" w:sz="8" w:color="7B7C80"/>
            </w:tcBorders>
          </w:tcPr>
          <w:p>
            <w:pPr>
              <w:spacing w:after="0"/>
              <w:rPr>
                <w:sz w:val="24"/>
                <w:szCs w:val="24"/>
                <w:color w:val="auto"/>
              </w:rPr>
            </w:pPr>
          </w:p>
        </w:tc>
        <w:tc>
          <w:tcPr>
            <w:tcW w:w="7660" w:type="dxa"/>
            <w:vAlign w:val="bottom"/>
            <w:tcBorders>
              <w:right w:val="single" w:sz="8" w:color="7B7C80"/>
            </w:tcBorders>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gridSpan w:val="2"/>
          </w:tcPr>
          <w:p>
            <w:pPr>
              <w:spacing w:after="0"/>
              <w:rPr>
                <w:sz w:val="20"/>
                <w:szCs w:val="20"/>
                <w:color w:val="auto"/>
              </w:rPr>
            </w:pPr>
            <w:r>
              <w:rPr>
                <w:rFonts w:ascii="Arial" w:cs="Arial" w:eastAsia="Arial" w:hAnsi="Arial"/>
                <w:sz w:val="15"/>
                <w:szCs w:val="15"/>
                <w:color w:val="7B7C80"/>
              </w:rPr>
              <w:t>•</w:t>
            </w: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The early retirement benefits for</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Grandfathered Choice Participants (and Non</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Grandfathered Choice Participants for benefits</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accrued prior to January 1, 2006) range from</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75% at age 57 to 100% at age 62. The early</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retirement benefits for Non Grandfathered</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Choice Participants for benefits accrued after</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December 31, 2005 range from 75% at age 57</w:t>
            </w:r>
          </w:p>
        </w:tc>
        <w:tc>
          <w:tcPr>
            <w:tcW w:w="0" w:type="dxa"/>
            <w:vAlign w:val="bottom"/>
          </w:tcPr>
          <w:p>
            <w:pPr>
              <w:spacing w:after="0"/>
              <w:rPr>
                <w:sz w:val="1"/>
                <w:szCs w:val="1"/>
                <w:color w:val="auto"/>
              </w:rPr>
            </w:pPr>
          </w:p>
        </w:tc>
      </w:tr>
      <w:tr>
        <w:trPr>
          <w:trHeight w:val="179"/>
        </w:trPr>
        <w:tc>
          <w:tcPr>
            <w:tcW w:w="180" w:type="dxa"/>
            <w:vAlign w:val="bottom"/>
            <w:tcBorders>
              <w:left w:val="single" w:sz="8" w:color="7B7C80"/>
            </w:tcBorders>
          </w:tcPr>
          <w:p>
            <w:pPr>
              <w:spacing w:after="0"/>
              <w:rPr>
                <w:sz w:val="15"/>
                <w:szCs w:val="15"/>
                <w:color w:val="auto"/>
              </w:rPr>
            </w:pPr>
          </w:p>
        </w:tc>
        <w:tc>
          <w:tcPr>
            <w:tcW w:w="7660" w:type="dxa"/>
            <w:vAlign w:val="bottom"/>
            <w:tcBorders>
              <w:right w:val="single" w:sz="8" w:color="7B7C80"/>
            </w:tcBorders>
          </w:tcPr>
          <w:p>
            <w:pPr>
              <w:spacing w:after="0"/>
              <w:rPr>
                <w:sz w:val="15"/>
                <w:szCs w:val="15"/>
                <w:color w:val="auto"/>
              </w:rPr>
            </w:pP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840" w:type="dxa"/>
            <w:vAlign w:val="bottom"/>
            <w:gridSpan w:val="4"/>
          </w:tcPr>
          <w:p>
            <w:pPr>
              <w:ind w:left="40"/>
              <w:spacing w:after="0"/>
              <w:rPr>
                <w:sz w:val="20"/>
                <w:szCs w:val="20"/>
                <w:color w:val="auto"/>
              </w:rPr>
            </w:pPr>
            <w:r>
              <w:rPr>
                <w:rFonts w:ascii="Arial" w:cs="Arial" w:eastAsia="Arial" w:hAnsi="Arial"/>
                <w:sz w:val="15"/>
                <w:szCs w:val="15"/>
                <w:color w:val="7B7C80"/>
              </w:rPr>
              <w:t>to 97% at age 64.</w:t>
            </w:r>
          </w:p>
        </w:tc>
        <w:tc>
          <w:tcPr>
            <w:tcW w:w="16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0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337"/>
        </w:trPr>
        <w:tc>
          <w:tcPr>
            <w:tcW w:w="180" w:type="dxa"/>
            <w:vAlign w:val="bottom"/>
            <w:tcBorders>
              <w:left w:val="single" w:sz="8" w:color="7B7C80"/>
            </w:tcBorders>
          </w:tcPr>
          <w:p>
            <w:pPr>
              <w:spacing w:after="0"/>
              <w:rPr>
                <w:sz w:val="24"/>
                <w:szCs w:val="24"/>
                <w:color w:val="auto"/>
              </w:rPr>
            </w:pPr>
          </w:p>
        </w:tc>
        <w:tc>
          <w:tcPr>
            <w:tcW w:w="7660" w:type="dxa"/>
            <w:vAlign w:val="bottom"/>
            <w:tcBorders>
              <w:right w:val="single" w:sz="8" w:color="7B7C80"/>
            </w:tcBorders>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gridSpan w:val="2"/>
          </w:tcPr>
          <w:p>
            <w:pPr>
              <w:spacing w:after="0"/>
              <w:rPr>
                <w:sz w:val="20"/>
                <w:szCs w:val="20"/>
                <w:color w:val="auto"/>
              </w:rPr>
            </w:pPr>
            <w:r>
              <w:rPr>
                <w:rFonts w:ascii="Arial" w:cs="Arial" w:eastAsia="Arial" w:hAnsi="Arial"/>
                <w:sz w:val="15"/>
                <w:szCs w:val="15"/>
                <w:color w:val="7B7C80"/>
              </w:rPr>
              <w:t>•</w:t>
            </w: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If the Named Executive Officer terminates</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employment before reaching Early Retirement</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Age, Principal Life does not subsidize early</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retirement. The early retirement benefits range</w:t>
            </w:r>
          </w:p>
        </w:tc>
        <w:tc>
          <w:tcPr>
            <w:tcW w:w="0" w:type="dxa"/>
            <w:vAlign w:val="bottom"/>
          </w:tcPr>
          <w:p>
            <w:pPr>
              <w:spacing w:after="0"/>
              <w:rPr>
                <w:sz w:val="1"/>
                <w:szCs w:val="1"/>
                <w:color w:val="auto"/>
              </w:rPr>
            </w:pPr>
          </w:p>
        </w:tc>
      </w:tr>
      <w:tr>
        <w:trPr>
          <w:trHeight w:val="179"/>
        </w:trPr>
        <w:tc>
          <w:tcPr>
            <w:tcW w:w="180" w:type="dxa"/>
            <w:vAlign w:val="bottom"/>
            <w:tcBorders>
              <w:left w:val="single" w:sz="8" w:color="7B7C80"/>
            </w:tcBorders>
          </w:tcPr>
          <w:p>
            <w:pPr>
              <w:spacing w:after="0"/>
              <w:rPr>
                <w:sz w:val="15"/>
                <w:szCs w:val="15"/>
                <w:color w:val="auto"/>
              </w:rPr>
            </w:pPr>
          </w:p>
        </w:tc>
        <w:tc>
          <w:tcPr>
            <w:tcW w:w="7660" w:type="dxa"/>
            <w:vAlign w:val="bottom"/>
            <w:tcBorders>
              <w:right w:val="single" w:sz="8" w:color="7B7C80"/>
            </w:tcBorders>
          </w:tcPr>
          <w:p>
            <w:pPr>
              <w:spacing w:after="0"/>
              <w:rPr>
                <w:sz w:val="15"/>
                <w:szCs w:val="15"/>
                <w:color w:val="auto"/>
              </w:rPr>
            </w:pP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from 58.6% at age 57 to 92.8% at age 64.</w:t>
            </w:r>
          </w:p>
        </w:tc>
        <w:tc>
          <w:tcPr>
            <w:tcW w:w="0" w:type="dxa"/>
            <w:vAlign w:val="bottom"/>
          </w:tcPr>
          <w:p>
            <w:pPr>
              <w:spacing w:after="0"/>
              <w:rPr>
                <w:sz w:val="1"/>
                <w:szCs w:val="1"/>
                <w:color w:val="auto"/>
              </w:rPr>
            </w:pPr>
          </w:p>
        </w:tc>
      </w:tr>
      <w:tr>
        <w:trPr>
          <w:trHeight w:val="337"/>
        </w:trPr>
        <w:tc>
          <w:tcPr>
            <w:tcW w:w="180" w:type="dxa"/>
            <w:vAlign w:val="bottom"/>
            <w:tcBorders>
              <w:left w:val="single" w:sz="8" w:color="7B7C80"/>
            </w:tcBorders>
          </w:tcPr>
          <w:p>
            <w:pPr>
              <w:spacing w:after="0"/>
              <w:rPr>
                <w:sz w:val="24"/>
                <w:szCs w:val="24"/>
                <w:color w:val="auto"/>
              </w:rPr>
            </w:pPr>
          </w:p>
        </w:tc>
        <w:tc>
          <w:tcPr>
            <w:tcW w:w="7660" w:type="dxa"/>
            <w:vAlign w:val="bottom"/>
            <w:tcBorders>
              <w:right w:val="single" w:sz="8" w:color="7B7C80"/>
            </w:tcBorders>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gridSpan w:val="2"/>
          </w:tcPr>
          <w:p>
            <w:pPr>
              <w:spacing w:after="0"/>
              <w:rPr>
                <w:sz w:val="20"/>
                <w:szCs w:val="20"/>
                <w:color w:val="auto"/>
              </w:rPr>
            </w:pPr>
            <w:r>
              <w:rPr>
                <w:rFonts w:ascii="Arial" w:cs="Arial" w:eastAsia="Arial" w:hAnsi="Arial"/>
                <w:sz w:val="15"/>
                <w:szCs w:val="15"/>
                <w:color w:val="7B7C80"/>
              </w:rPr>
              <w:t>•</w:t>
            </w: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Benefits under the Traditional Formula are</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eligible for a Cost of Living Adjustment (COLA)</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after retirement benefits begin. For Non</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Grandfathered Participants only benefits</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accrued as of December 31, 2005 receive this</w:t>
            </w:r>
          </w:p>
        </w:tc>
        <w:tc>
          <w:tcPr>
            <w:tcW w:w="0" w:type="dxa"/>
            <w:vAlign w:val="bottom"/>
          </w:tcPr>
          <w:p>
            <w:pPr>
              <w:spacing w:after="0"/>
              <w:rPr>
                <w:sz w:val="1"/>
                <w:szCs w:val="1"/>
                <w:color w:val="auto"/>
              </w:rPr>
            </w:pPr>
          </w:p>
        </w:tc>
      </w:tr>
      <w:tr>
        <w:trPr>
          <w:trHeight w:val="172"/>
        </w:trPr>
        <w:tc>
          <w:tcPr>
            <w:tcW w:w="180" w:type="dxa"/>
            <w:vAlign w:val="bottom"/>
            <w:tcBorders>
              <w:left w:val="single" w:sz="8" w:color="7B7C80"/>
            </w:tcBorders>
          </w:tcPr>
          <w:p>
            <w:pPr>
              <w:spacing w:after="0"/>
              <w:rPr>
                <w:sz w:val="14"/>
                <w:szCs w:val="14"/>
                <w:color w:val="auto"/>
              </w:rPr>
            </w:pPr>
          </w:p>
        </w:tc>
        <w:tc>
          <w:tcPr>
            <w:tcW w:w="7660" w:type="dxa"/>
            <w:vAlign w:val="bottom"/>
            <w:tcBorders>
              <w:right w:val="single" w:sz="8" w:color="7B7C80"/>
            </w:tcBorders>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240" w:type="dxa"/>
            <w:vAlign w:val="bottom"/>
            <w:tcBorders>
              <w:right w:val="single" w:sz="8" w:color="7B7C80"/>
            </w:tcBorders>
            <w:gridSpan w:val="8"/>
          </w:tcPr>
          <w:p>
            <w:pPr>
              <w:ind w:left="40"/>
              <w:spacing w:after="0"/>
              <w:rPr>
                <w:sz w:val="20"/>
                <w:szCs w:val="20"/>
                <w:color w:val="auto"/>
              </w:rPr>
            </w:pPr>
            <w:r>
              <w:rPr>
                <w:rFonts w:ascii="Arial" w:cs="Arial" w:eastAsia="Arial" w:hAnsi="Arial"/>
                <w:sz w:val="15"/>
                <w:szCs w:val="15"/>
                <w:color w:val="7B7C80"/>
              </w:rPr>
              <w:t>adjustment. The COLA is based on the</w:t>
            </w:r>
          </w:p>
        </w:tc>
        <w:tc>
          <w:tcPr>
            <w:tcW w:w="0" w:type="dxa"/>
            <w:vAlign w:val="bottom"/>
          </w:tcPr>
          <w:p>
            <w:pPr>
              <w:spacing w:after="0"/>
              <w:rPr>
                <w:sz w:val="1"/>
                <w:szCs w:val="1"/>
                <w:color w:val="auto"/>
              </w:rPr>
            </w:pPr>
          </w:p>
        </w:tc>
      </w:tr>
      <w:tr>
        <w:trPr>
          <w:trHeight w:val="169"/>
        </w:trPr>
        <w:tc>
          <w:tcPr>
            <w:tcW w:w="180" w:type="dxa"/>
            <w:vAlign w:val="bottom"/>
            <w:tcBorders>
              <w:left w:val="single" w:sz="8" w:color="7B7C80"/>
              <w:bottom w:val="single" w:sz="8" w:color="7B7C80"/>
            </w:tcBorders>
          </w:tcPr>
          <w:p>
            <w:pPr>
              <w:spacing w:after="0"/>
              <w:rPr>
                <w:sz w:val="14"/>
                <w:szCs w:val="14"/>
                <w:color w:val="auto"/>
              </w:rPr>
            </w:pPr>
          </w:p>
        </w:tc>
        <w:tc>
          <w:tcPr>
            <w:tcW w:w="7660" w:type="dxa"/>
            <w:vAlign w:val="bottom"/>
            <w:tcBorders>
              <w:bottom w:val="single" w:sz="8" w:color="7B7C80"/>
              <w:right w:val="single" w:sz="8" w:color="7B7C80"/>
            </w:tcBorders>
          </w:tcPr>
          <w:p>
            <w:pPr>
              <w:spacing w:after="0"/>
              <w:rPr>
                <w:sz w:val="14"/>
                <w:szCs w:val="14"/>
                <w:color w:val="auto"/>
              </w:rPr>
            </w:pPr>
          </w:p>
        </w:tc>
        <w:tc>
          <w:tcPr>
            <w:tcW w:w="260" w:type="dxa"/>
            <w:vAlign w:val="bottom"/>
            <w:tcBorders>
              <w:bottom w:val="single" w:sz="8" w:color="7B7C80"/>
            </w:tcBorders>
          </w:tcPr>
          <w:p>
            <w:pPr>
              <w:spacing w:after="0"/>
              <w:rPr>
                <w:sz w:val="14"/>
                <w:szCs w:val="14"/>
                <w:color w:val="auto"/>
              </w:rPr>
            </w:pPr>
          </w:p>
        </w:tc>
        <w:tc>
          <w:tcPr>
            <w:tcW w:w="20" w:type="dxa"/>
            <w:vAlign w:val="bottom"/>
            <w:tcBorders>
              <w:bottom w:val="single" w:sz="8" w:color="7B7C80"/>
            </w:tcBorders>
          </w:tcPr>
          <w:p>
            <w:pPr>
              <w:spacing w:after="0"/>
              <w:rPr>
                <w:sz w:val="14"/>
                <w:szCs w:val="14"/>
                <w:color w:val="auto"/>
              </w:rPr>
            </w:pPr>
          </w:p>
        </w:tc>
        <w:tc>
          <w:tcPr>
            <w:tcW w:w="80" w:type="dxa"/>
            <w:vAlign w:val="bottom"/>
            <w:tcBorders>
              <w:bottom w:val="single" w:sz="8" w:color="7B7C80"/>
            </w:tcBorders>
          </w:tcPr>
          <w:p>
            <w:pPr>
              <w:spacing w:after="0"/>
              <w:rPr>
                <w:sz w:val="14"/>
                <w:szCs w:val="14"/>
                <w:color w:val="auto"/>
              </w:rPr>
            </w:pPr>
          </w:p>
        </w:tc>
        <w:tc>
          <w:tcPr>
            <w:tcW w:w="1840" w:type="dxa"/>
            <w:vAlign w:val="bottom"/>
            <w:tcBorders>
              <w:bottom w:val="single" w:sz="8" w:color="7B7C80"/>
            </w:tcBorders>
            <w:gridSpan w:val="4"/>
          </w:tcPr>
          <w:p>
            <w:pPr>
              <w:ind w:left="40"/>
              <w:spacing w:after="0" w:line="169" w:lineRule="exact"/>
              <w:rPr>
                <w:sz w:val="20"/>
                <w:szCs w:val="20"/>
                <w:color w:val="auto"/>
              </w:rPr>
            </w:pPr>
            <w:r>
              <w:rPr>
                <w:rFonts w:ascii="Arial" w:cs="Arial" w:eastAsia="Arial" w:hAnsi="Arial"/>
                <w:sz w:val="15"/>
                <w:szCs w:val="15"/>
                <w:color w:val="7B7C80"/>
              </w:rPr>
              <w:t>Consumer Price Index.</w:t>
            </w:r>
          </w:p>
        </w:tc>
        <w:tc>
          <w:tcPr>
            <w:tcW w:w="160" w:type="dxa"/>
            <w:vAlign w:val="bottom"/>
            <w:tcBorders>
              <w:bottom w:val="single" w:sz="8" w:color="7B7C80"/>
            </w:tcBorders>
          </w:tcPr>
          <w:p>
            <w:pPr>
              <w:spacing w:after="0"/>
              <w:rPr>
                <w:sz w:val="14"/>
                <w:szCs w:val="14"/>
                <w:color w:val="auto"/>
              </w:rPr>
            </w:pPr>
          </w:p>
        </w:tc>
        <w:tc>
          <w:tcPr>
            <w:tcW w:w="880" w:type="dxa"/>
            <w:vAlign w:val="bottom"/>
            <w:tcBorders>
              <w:bottom w:val="single" w:sz="8" w:color="7B7C80"/>
            </w:tcBorders>
          </w:tcPr>
          <w:p>
            <w:pPr>
              <w:spacing w:after="0"/>
              <w:rPr>
                <w:sz w:val="14"/>
                <w:szCs w:val="14"/>
                <w:color w:val="auto"/>
              </w:rPr>
            </w:pPr>
          </w:p>
        </w:tc>
        <w:tc>
          <w:tcPr>
            <w:tcW w:w="260" w:type="dxa"/>
            <w:vAlign w:val="bottom"/>
            <w:tcBorders>
              <w:bottom w:val="single" w:sz="8" w:color="7B7C80"/>
            </w:tcBorders>
          </w:tcPr>
          <w:p>
            <w:pPr>
              <w:spacing w:after="0"/>
              <w:rPr>
                <w:sz w:val="14"/>
                <w:szCs w:val="14"/>
                <w:color w:val="auto"/>
              </w:rPr>
            </w:pPr>
          </w:p>
        </w:tc>
        <w:tc>
          <w:tcPr>
            <w:tcW w:w="10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494"/>
        </w:trPr>
        <w:tc>
          <w:tcPr>
            <w:tcW w:w="180" w:type="dxa"/>
            <w:vAlign w:val="bottom"/>
          </w:tcPr>
          <w:p>
            <w:pPr>
              <w:spacing w:after="0"/>
              <w:rPr>
                <w:sz w:val="20"/>
                <w:szCs w:val="20"/>
                <w:color w:val="auto"/>
              </w:rPr>
            </w:pPr>
            <w:r>
              <w:rPr>
                <w:rFonts w:ascii="Arial" w:cs="Arial" w:eastAsia="Arial" w:hAnsi="Arial"/>
                <w:sz w:val="15"/>
                <w:szCs w:val="15"/>
                <w:color w:val="009CCC"/>
                <w:w w:val="95"/>
              </w:rPr>
              <w:t>48</w:t>
            </w:r>
          </w:p>
        </w:tc>
        <w:tc>
          <w:tcPr>
            <w:tcW w:w="7660" w:type="dxa"/>
            <w:vAlign w:val="bottom"/>
          </w:tcPr>
          <w:p>
            <w:pPr>
              <w:ind w:left="300"/>
              <w:spacing w:after="0"/>
              <w:rPr>
                <w:sz w:val="20"/>
                <w:szCs w:val="20"/>
                <w:color w:val="auto"/>
              </w:rPr>
            </w:pPr>
            <w:r>
              <w:rPr>
                <w:rFonts w:ascii="Arial" w:cs="Arial" w:eastAsia="Arial" w:hAnsi="Arial"/>
                <w:sz w:val="15"/>
                <w:szCs w:val="15"/>
                <w:color w:val="7B7C80"/>
              </w:rPr>
              <w:t>2018 Proxy Statement</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8"/>
        </w:trPr>
        <w:tc>
          <w:tcPr>
            <w:tcW w:w="180" w:type="dxa"/>
            <w:vAlign w:val="bottom"/>
            <w:tcBorders>
              <w:bottom w:val="single" w:sz="8" w:color="808080"/>
            </w:tcBorders>
          </w:tcPr>
          <w:p>
            <w:pPr>
              <w:spacing w:after="0"/>
              <w:rPr>
                <w:sz w:val="24"/>
                <w:szCs w:val="24"/>
                <w:color w:val="auto"/>
              </w:rPr>
            </w:pPr>
          </w:p>
        </w:tc>
        <w:tc>
          <w:tcPr>
            <w:tcW w:w="7660" w:type="dxa"/>
            <w:vAlign w:val="bottom"/>
            <w:tcBorders>
              <w:bottom w:val="single" w:sz="8" w:color="808080"/>
            </w:tcBorders>
          </w:tcPr>
          <w:p>
            <w:pPr>
              <w:spacing w:after="0"/>
              <w:rPr>
                <w:sz w:val="24"/>
                <w:szCs w:val="24"/>
                <w:color w:val="auto"/>
              </w:rPr>
            </w:pPr>
          </w:p>
        </w:tc>
        <w:tc>
          <w:tcPr>
            <w:tcW w:w="26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80" w:type="dxa"/>
            <w:vAlign w:val="bottom"/>
            <w:tcBorders>
              <w:bottom w:val="single" w:sz="8" w:color="808080"/>
            </w:tcBorders>
          </w:tcPr>
          <w:p>
            <w:pPr>
              <w:spacing w:after="0"/>
              <w:rPr>
                <w:sz w:val="24"/>
                <w:szCs w:val="24"/>
                <w:color w:val="auto"/>
              </w:rPr>
            </w:pPr>
          </w:p>
        </w:tc>
        <w:tc>
          <w:tcPr>
            <w:tcW w:w="740" w:type="dxa"/>
            <w:vAlign w:val="bottom"/>
            <w:tcBorders>
              <w:bottom w:val="single" w:sz="8" w:color="808080"/>
            </w:tcBorders>
          </w:tcPr>
          <w:p>
            <w:pPr>
              <w:spacing w:after="0"/>
              <w:rPr>
                <w:sz w:val="24"/>
                <w:szCs w:val="24"/>
                <w:color w:val="auto"/>
              </w:rPr>
            </w:pPr>
          </w:p>
        </w:tc>
        <w:tc>
          <w:tcPr>
            <w:tcW w:w="120" w:type="dxa"/>
            <w:vAlign w:val="bottom"/>
            <w:tcBorders>
              <w:bottom w:val="single" w:sz="8" w:color="808080"/>
            </w:tcBorders>
          </w:tcPr>
          <w:p>
            <w:pPr>
              <w:spacing w:after="0"/>
              <w:rPr>
                <w:sz w:val="24"/>
                <w:szCs w:val="24"/>
                <w:color w:val="auto"/>
              </w:rPr>
            </w:pPr>
          </w:p>
        </w:tc>
        <w:tc>
          <w:tcPr>
            <w:tcW w:w="380" w:type="dxa"/>
            <w:vAlign w:val="bottom"/>
            <w:tcBorders>
              <w:bottom w:val="single" w:sz="8" w:color="808080"/>
            </w:tcBorders>
          </w:tcPr>
          <w:p>
            <w:pPr>
              <w:spacing w:after="0"/>
              <w:rPr>
                <w:sz w:val="24"/>
                <w:szCs w:val="24"/>
                <w:color w:val="auto"/>
              </w:rPr>
            </w:pPr>
          </w:p>
        </w:tc>
        <w:tc>
          <w:tcPr>
            <w:tcW w:w="600" w:type="dxa"/>
            <w:vAlign w:val="bottom"/>
            <w:tcBorders>
              <w:bottom w:val="single" w:sz="8" w:color="808080"/>
            </w:tcBorders>
          </w:tcPr>
          <w:p>
            <w:pPr>
              <w:spacing w:after="0"/>
              <w:rPr>
                <w:sz w:val="24"/>
                <w:szCs w:val="24"/>
                <w:color w:val="auto"/>
              </w:rPr>
            </w:pPr>
          </w:p>
        </w:tc>
        <w:tc>
          <w:tcPr>
            <w:tcW w:w="160" w:type="dxa"/>
            <w:vAlign w:val="bottom"/>
            <w:tcBorders>
              <w:bottom w:val="single" w:sz="8" w:color="808080"/>
            </w:tcBorders>
          </w:tcPr>
          <w:p>
            <w:pPr>
              <w:spacing w:after="0"/>
              <w:rPr>
                <w:sz w:val="24"/>
                <w:szCs w:val="24"/>
                <w:color w:val="auto"/>
              </w:rPr>
            </w:pPr>
          </w:p>
        </w:tc>
        <w:tc>
          <w:tcPr>
            <w:tcW w:w="880" w:type="dxa"/>
            <w:vAlign w:val="bottom"/>
            <w:tcBorders>
              <w:bottom w:val="single" w:sz="8" w:color="808080"/>
            </w:tcBorders>
          </w:tcPr>
          <w:p>
            <w:pPr>
              <w:spacing w:after="0"/>
              <w:rPr>
                <w:sz w:val="24"/>
                <w:szCs w:val="24"/>
                <w:color w:val="auto"/>
              </w:rPr>
            </w:pPr>
          </w:p>
        </w:tc>
        <w:tc>
          <w:tcPr>
            <w:tcW w:w="260" w:type="dxa"/>
            <w:vAlign w:val="bottom"/>
            <w:tcBorders>
              <w:bottom w:val="single" w:sz="8" w:color="808080"/>
            </w:tcBorders>
          </w:tcPr>
          <w:p>
            <w:pPr>
              <w:spacing w:after="0"/>
              <w:rPr>
                <w:sz w:val="24"/>
                <w:szCs w:val="24"/>
                <w:color w:val="auto"/>
              </w:rPr>
            </w:pPr>
          </w:p>
        </w:tc>
        <w:tc>
          <w:tcPr>
            <w:tcW w:w="10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3195320</wp:posOffset>
            </wp:positionH>
            <wp:positionV relativeFrom="paragraph">
              <wp:posOffset>-416560</wp:posOffset>
            </wp:positionV>
            <wp:extent cx="960120" cy="28384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51" w:name="page52"/>
    <w:bookmarkEnd w:id="51"/>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Pension Distributions</w:t>
      </w:r>
    </w:p>
    <w:p>
      <w:pPr>
        <w:spacing w:after="0" w:line="201" w:lineRule="exact"/>
        <w:rPr>
          <w:sz w:val="20"/>
          <w:szCs w:val="20"/>
          <w:color w:val="auto"/>
        </w:rPr>
      </w:pPr>
    </w:p>
    <w:p>
      <w:pPr>
        <w:spacing w:after="0" w:line="247" w:lineRule="auto"/>
        <w:rPr>
          <w:sz w:val="20"/>
          <w:szCs w:val="20"/>
          <w:color w:val="auto"/>
        </w:rPr>
      </w:pPr>
      <w:r>
        <w:rPr>
          <w:rFonts w:ascii="Arial" w:cs="Arial" w:eastAsia="Arial" w:hAnsi="Arial"/>
          <w:sz w:val="15"/>
          <w:szCs w:val="15"/>
          <w:color w:val="7B7C80"/>
        </w:rPr>
        <w:t>Participants receive an annuity under the traditional benefit formula in the DB Plan. The qualified cash balance benefit formula in the DB Plan allows for benefits as an annuity or lump sum.</w:t>
      </w:r>
    </w:p>
    <w:p>
      <w:pPr>
        <w:spacing w:after="0" w:line="172" w:lineRule="exact"/>
        <w:rPr>
          <w:sz w:val="20"/>
          <w:szCs w:val="20"/>
          <w:color w:val="auto"/>
        </w:rPr>
      </w:pPr>
    </w:p>
    <w:p>
      <w:pPr>
        <w:ind w:right="20"/>
        <w:spacing w:after="0" w:line="247" w:lineRule="auto"/>
        <w:rPr>
          <w:sz w:val="20"/>
          <w:szCs w:val="20"/>
          <w:color w:val="auto"/>
        </w:rPr>
      </w:pPr>
      <w:r>
        <w:rPr>
          <w:rFonts w:ascii="Arial" w:cs="Arial" w:eastAsia="Arial" w:hAnsi="Arial"/>
          <w:sz w:val="15"/>
          <w:szCs w:val="15"/>
          <w:color w:val="7B7C80"/>
        </w:rPr>
        <w:t>NQDB benefits may be paid as a lump sum at termination/retirement, or as an annuity. Distributions may also be allowed at death or a change of control. For participants in the plan prior to January 1, 2010, a mandatory payment occurs at age 65, and they may elect for payments on a specified date between age 60 and 65.</w:t>
      </w:r>
    </w:p>
    <w:p>
      <w:pPr>
        <w:spacing w:after="0" w:line="154"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Pension Benefits</w:t>
      </w:r>
    </w:p>
    <w:p>
      <w:pPr>
        <w:spacing w:after="0" w:line="178" w:lineRule="exact"/>
        <w:rPr>
          <w:sz w:val="20"/>
          <w:szCs w:val="20"/>
          <w:color w:val="auto"/>
        </w:rPr>
      </w:pPr>
    </w:p>
    <w:tbl>
      <w:tblPr>
        <w:tblLayout w:type="fixed"/>
        <w:tblInd w:w="1360" w:type="dxa"/>
        <w:tblCellMar>
          <w:top w:w="0" w:type="dxa"/>
          <w:left w:w="0" w:type="dxa"/>
          <w:bottom w:w="0" w:type="dxa"/>
          <w:right w:w="0" w:type="dxa"/>
        </w:tblCellMar>
      </w:tblPr>
      <w:tr>
        <w:trPr>
          <w:trHeight w:val="139"/>
        </w:trPr>
        <w:tc>
          <w:tcPr>
            <w:tcW w:w="4420" w:type="dxa"/>
            <w:vAlign w:val="bottom"/>
            <w:tcBorders>
              <w:top w:val="single" w:sz="8" w:color="009CCC"/>
            </w:tcBorders>
          </w:tcPr>
          <w:p>
            <w:pPr>
              <w:spacing w:after="0"/>
              <w:rPr>
                <w:sz w:val="12"/>
                <w:szCs w:val="12"/>
                <w:color w:val="auto"/>
              </w:rPr>
            </w:pPr>
          </w:p>
        </w:tc>
        <w:tc>
          <w:tcPr>
            <w:tcW w:w="1480" w:type="dxa"/>
            <w:vAlign w:val="bottom"/>
            <w:tcBorders>
              <w:top w:val="single" w:sz="8" w:color="009CCC"/>
            </w:tcBorders>
          </w:tcPr>
          <w:p>
            <w:pPr>
              <w:spacing w:after="0"/>
              <w:rPr>
                <w:sz w:val="12"/>
                <w:szCs w:val="12"/>
                <w:color w:val="auto"/>
              </w:rPr>
            </w:pPr>
          </w:p>
        </w:tc>
        <w:tc>
          <w:tcPr>
            <w:tcW w:w="840" w:type="dxa"/>
            <w:vAlign w:val="bottom"/>
            <w:tcBorders>
              <w:top w:val="single" w:sz="8" w:color="009CCC"/>
            </w:tcBorders>
          </w:tcPr>
          <w:p>
            <w:pPr>
              <w:spacing w:after="0"/>
              <w:rPr>
                <w:sz w:val="12"/>
                <w:szCs w:val="12"/>
                <w:color w:val="auto"/>
              </w:rPr>
            </w:pPr>
          </w:p>
        </w:tc>
        <w:tc>
          <w:tcPr>
            <w:tcW w:w="240" w:type="dxa"/>
            <w:vAlign w:val="bottom"/>
            <w:tcBorders>
              <w:top w:val="single" w:sz="8" w:color="009CCC"/>
            </w:tcBorders>
          </w:tcPr>
          <w:p>
            <w:pPr>
              <w:spacing w:after="0"/>
              <w:rPr>
                <w:sz w:val="12"/>
                <w:szCs w:val="12"/>
                <w:color w:val="auto"/>
              </w:rPr>
            </w:pPr>
          </w:p>
        </w:tc>
        <w:tc>
          <w:tcPr>
            <w:tcW w:w="760" w:type="dxa"/>
            <w:vAlign w:val="bottom"/>
            <w:tcBorders>
              <w:top w:val="single" w:sz="8" w:color="009CCC"/>
            </w:tcBorders>
          </w:tcPr>
          <w:p>
            <w:pPr>
              <w:jc w:val="right"/>
              <w:ind w:right="31"/>
              <w:spacing w:after="0"/>
              <w:rPr>
                <w:sz w:val="20"/>
                <w:szCs w:val="20"/>
                <w:color w:val="auto"/>
              </w:rPr>
            </w:pPr>
            <w:r>
              <w:rPr>
                <w:rFonts w:ascii="Arial" w:cs="Arial" w:eastAsia="Arial" w:hAnsi="Arial"/>
                <w:sz w:val="12"/>
                <w:szCs w:val="12"/>
                <w:b w:val="1"/>
                <w:bCs w:val="1"/>
                <w:color w:val="009CCC"/>
              </w:rPr>
              <w:t>Present</w:t>
            </w:r>
          </w:p>
        </w:tc>
        <w:tc>
          <w:tcPr>
            <w:tcW w:w="840" w:type="dxa"/>
            <w:vAlign w:val="bottom"/>
            <w:tcBorders>
              <w:top w:val="single" w:sz="8" w:color="009CCC"/>
            </w:tcBorders>
          </w:tcPr>
          <w:p>
            <w:pPr>
              <w:spacing w:after="0"/>
              <w:rPr>
                <w:sz w:val="12"/>
                <w:szCs w:val="12"/>
                <w:color w:val="auto"/>
              </w:rPr>
            </w:pPr>
          </w:p>
        </w:tc>
      </w:tr>
      <w:tr>
        <w:trPr>
          <w:trHeight w:val="137"/>
        </w:trPr>
        <w:tc>
          <w:tcPr>
            <w:tcW w:w="4420" w:type="dxa"/>
            <w:vAlign w:val="bottom"/>
          </w:tcPr>
          <w:p>
            <w:pPr>
              <w:spacing w:after="0"/>
              <w:rPr>
                <w:sz w:val="11"/>
                <w:szCs w:val="11"/>
                <w:color w:val="auto"/>
              </w:rPr>
            </w:pPr>
          </w:p>
        </w:tc>
        <w:tc>
          <w:tcPr>
            <w:tcW w:w="14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760" w:type="dxa"/>
            <w:vAlign w:val="bottom"/>
          </w:tcPr>
          <w:p>
            <w:pPr>
              <w:jc w:val="right"/>
              <w:ind w:right="31"/>
              <w:spacing w:after="0"/>
              <w:rPr>
                <w:sz w:val="20"/>
                <w:szCs w:val="20"/>
                <w:color w:val="auto"/>
              </w:rPr>
            </w:pPr>
            <w:r>
              <w:rPr>
                <w:rFonts w:ascii="Arial" w:cs="Arial" w:eastAsia="Arial" w:hAnsi="Arial"/>
                <w:sz w:val="12"/>
                <w:szCs w:val="12"/>
                <w:b w:val="1"/>
                <w:bCs w:val="1"/>
                <w:color w:val="009CCC"/>
              </w:rPr>
              <w:t>Value of</w:t>
            </w:r>
          </w:p>
        </w:tc>
        <w:tc>
          <w:tcPr>
            <w:tcW w:w="840" w:type="dxa"/>
            <w:vAlign w:val="bottom"/>
          </w:tcPr>
          <w:p>
            <w:pPr>
              <w:spacing w:after="0"/>
              <w:rPr>
                <w:sz w:val="11"/>
                <w:szCs w:val="11"/>
                <w:color w:val="auto"/>
              </w:rPr>
            </w:pPr>
          </w:p>
        </w:tc>
      </w:tr>
      <w:tr>
        <w:trPr>
          <w:trHeight w:val="137"/>
        </w:trPr>
        <w:tc>
          <w:tcPr>
            <w:tcW w:w="4420" w:type="dxa"/>
            <w:vAlign w:val="bottom"/>
          </w:tcPr>
          <w:p>
            <w:pPr>
              <w:spacing w:after="0"/>
              <w:rPr>
                <w:sz w:val="11"/>
                <w:szCs w:val="11"/>
                <w:color w:val="auto"/>
              </w:rPr>
            </w:pPr>
          </w:p>
        </w:tc>
        <w:tc>
          <w:tcPr>
            <w:tcW w:w="14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0" w:type="dxa"/>
            <w:vAlign w:val="bottom"/>
            <w:gridSpan w:val="2"/>
          </w:tcPr>
          <w:p>
            <w:pPr>
              <w:ind w:left="140"/>
              <w:spacing w:after="0"/>
              <w:rPr>
                <w:sz w:val="20"/>
                <w:szCs w:val="20"/>
                <w:color w:val="auto"/>
              </w:rPr>
            </w:pPr>
            <w:r>
              <w:rPr>
                <w:rFonts w:ascii="Arial" w:cs="Arial" w:eastAsia="Arial" w:hAnsi="Arial"/>
                <w:sz w:val="12"/>
                <w:szCs w:val="12"/>
                <w:b w:val="1"/>
                <w:bCs w:val="1"/>
                <w:color w:val="009CCC"/>
              </w:rPr>
              <w:t>Accumulated</w:t>
            </w:r>
          </w:p>
        </w:tc>
        <w:tc>
          <w:tcPr>
            <w:tcW w:w="840" w:type="dxa"/>
            <w:vAlign w:val="bottom"/>
          </w:tcPr>
          <w:p>
            <w:pPr>
              <w:spacing w:after="0"/>
              <w:rPr>
                <w:sz w:val="11"/>
                <w:szCs w:val="11"/>
                <w:color w:val="auto"/>
              </w:rPr>
            </w:pPr>
          </w:p>
        </w:tc>
      </w:tr>
      <w:tr>
        <w:trPr>
          <w:trHeight w:val="137"/>
        </w:trPr>
        <w:tc>
          <w:tcPr>
            <w:tcW w:w="4420" w:type="dxa"/>
            <w:vAlign w:val="bottom"/>
          </w:tcPr>
          <w:p>
            <w:pPr>
              <w:spacing w:after="0"/>
              <w:rPr>
                <w:sz w:val="11"/>
                <w:szCs w:val="11"/>
                <w:color w:val="auto"/>
              </w:rPr>
            </w:pPr>
          </w:p>
        </w:tc>
        <w:tc>
          <w:tcPr>
            <w:tcW w:w="1480" w:type="dxa"/>
            <w:vAlign w:val="bottom"/>
          </w:tcPr>
          <w:p>
            <w:pPr>
              <w:spacing w:after="0"/>
              <w:rPr>
                <w:sz w:val="11"/>
                <w:szCs w:val="11"/>
                <w:color w:val="auto"/>
              </w:rPr>
            </w:pPr>
          </w:p>
        </w:tc>
        <w:tc>
          <w:tcPr>
            <w:tcW w:w="840" w:type="dxa"/>
            <w:vAlign w:val="bottom"/>
          </w:tcPr>
          <w:p>
            <w:pPr>
              <w:jc w:val="right"/>
              <w:ind w:right="51"/>
              <w:spacing w:after="0"/>
              <w:rPr>
                <w:sz w:val="20"/>
                <w:szCs w:val="20"/>
                <w:color w:val="auto"/>
              </w:rPr>
            </w:pPr>
            <w:r>
              <w:rPr>
                <w:rFonts w:ascii="Arial" w:cs="Arial" w:eastAsia="Arial" w:hAnsi="Arial"/>
                <w:sz w:val="12"/>
                <w:szCs w:val="12"/>
                <w:b w:val="1"/>
                <w:bCs w:val="1"/>
                <w:color w:val="009CCC"/>
              </w:rPr>
              <w:t>Number of</w:t>
            </w:r>
          </w:p>
        </w:tc>
        <w:tc>
          <w:tcPr>
            <w:tcW w:w="240" w:type="dxa"/>
            <w:vAlign w:val="bottom"/>
          </w:tcPr>
          <w:p>
            <w:pPr>
              <w:spacing w:after="0"/>
              <w:rPr>
                <w:sz w:val="11"/>
                <w:szCs w:val="11"/>
                <w:color w:val="auto"/>
              </w:rPr>
            </w:pPr>
          </w:p>
        </w:tc>
        <w:tc>
          <w:tcPr>
            <w:tcW w:w="760" w:type="dxa"/>
            <w:vAlign w:val="bottom"/>
          </w:tcPr>
          <w:p>
            <w:pPr>
              <w:jc w:val="right"/>
              <w:ind w:right="31"/>
              <w:spacing w:after="0"/>
              <w:rPr>
                <w:sz w:val="20"/>
                <w:szCs w:val="20"/>
                <w:color w:val="auto"/>
              </w:rPr>
            </w:pPr>
            <w:r>
              <w:rPr>
                <w:rFonts w:ascii="Arial" w:cs="Arial" w:eastAsia="Arial" w:hAnsi="Arial"/>
                <w:sz w:val="12"/>
                <w:szCs w:val="12"/>
                <w:b w:val="1"/>
                <w:bCs w:val="1"/>
                <w:color w:val="009CCC"/>
              </w:rPr>
              <w:t>Benefit at</w:t>
            </w:r>
          </w:p>
        </w:tc>
        <w:tc>
          <w:tcPr>
            <w:tcW w:w="840" w:type="dxa"/>
            <w:vAlign w:val="bottom"/>
          </w:tcPr>
          <w:p>
            <w:pPr>
              <w:spacing w:after="0"/>
              <w:rPr>
                <w:sz w:val="11"/>
                <w:szCs w:val="11"/>
                <w:color w:val="auto"/>
              </w:rPr>
            </w:pPr>
          </w:p>
        </w:tc>
      </w:tr>
      <w:tr>
        <w:trPr>
          <w:trHeight w:val="147"/>
        </w:trPr>
        <w:tc>
          <w:tcPr>
            <w:tcW w:w="4420" w:type="dxa"/>
            <w:vAlign w:val="bottom"/>
          </w:tcPr>
          <w:p>
            <w:pPr>
              <w:spacing w:after="0"/>
              <w:rPr>
                <w:sz w:val="12"/>
                <w:szCs w:val="12"/>
                <w:color w:val="auto"/>
              </w:rPr>
            </w:pPr>
          </w:p>
        </w:tc>
        <w:tc>
          <w:tcPr>
            <w:tcW w:w="1480" w:type="dxa"/>
            <w:vAlign w:val="bottom"/>
          </w:tcPr>
          <w:p>
            <w:pPr>
              <w:spacing w:after="0"/>
              <w:rPr>
                <w:sz w:val="12"/>
                <w:szCs w:val="12"/>
                <w:color w:val="auto"/>
              </w:rPr>
            </w:pPr>
          </w:p>
        </w:tc>
        <w:tc>
          <w:tcPr>
            <w:tcW w:w="840" w:type="dxa"/>
            <w:vAlign w:val="bottom"/>
          </w:tcPr>
          <w:p>
            <w:pPr>
              <w:jc w:val="right"/>
              <w:ind w:right="51"/>
              <w:spacing w:after="0"/>
              <w:rPr>
                <w:sz w:val="20"/>
                <w:szCs w:val="20"/>
                <w:color w:val="auto"/>
              </w:rPr>
            </w:pPr>
            <w:r>
              <w:rPr>
                <w:rFonts w:ascii="Arial" w:cs="Arial" w:eastAsia="Arial" w:hAnsi="Arial"/>
                <w:sz w:val="12"/>
                <w:szCs w:val="12"/>
                <w:b w:val="1"/>
                <w:bCs w:val="1"/>
                <w:color w:val="009CCC"/>
              </w:rPr>
              <w:t>Years</w:t>
            </w:r>
          </w:p>
        </w:tc>
        <w:tc>
          <w:tcPr>
            <w:tcW w:w="240" w:type="dxa"/>
            <w:vAlign w:val="bottom"/>
          </w:tcPr>
          <w:p>
            <w:pPr>
              <w:spacing w:after="0"/>
              <w:rPr>
                <w:sz w:val="12"/>
                <w:szCs w:val="12"/>
                <w:color w:val="auto"/>
              </w:rPr>
            </w:pPr>
          </w:p>
        </w:tc>
        <w:tc>
          <w:tcPr>
            <w:tcW w:w="760" w:type="dxa"/>
            <w:vAlign w:val="bottom"/>
          </w:tcPr>
          <w:p>
            <w:pPr>
              <w:jc w:val="right"/>
              <w:ind w:right="31"/>
              <w:spacing w:after="0"/>
              <w:rPr>
                <w:sz w:val="20"/>
                <w:szCs w:val="20"/>
                <w:color w:val="auto"/>
              </w:rPr>
            </w:pPr>
            <w:r>
              <w:rPr>
                <w:rFonts w:ascii="Arial" w:cs="Arial" w:eastAsia="Arial" w:hAnsi="Arial"/>
                <w:sz w:val="12"/>
                <w:szCs w:val="12"/>
                <w:b w:val="1"/>
                <w:bCs w:val="1"/>
                <w:color w:val="009CCC"/>
              </w:rPr>
              <w:t>Normal</w:t>
            </w:r>
          </w:p>
        </w:tc>
        <w:tc>
          <w:tcPr>
            <w:tcW w:w="840" w:type="dxa"/>
            <w:vAlign w:val="bottom"/>
          </w:tcPr>
          <w:p>
            <w:pPr>
              <w:jc w:val="right"/>
              <w:spacing w:after="0"/>
              <w:rPr>
                <w:sz w:val="20"/>
                <w:szCs w:val="20"/>
                <w:color w:val="auto"/>
              </w:rPr>
            </w:pPr>
            <w:r>
              <w:rPr>
                <w:rFonts w:ascii="Arial" w:cs="Arial" w:eastAsia="Arial" w:hAnsi="Arial"/>
                <w:sz w:val="12"/>
                <w:szCs w:val="12"/>
                <w:b w:val="1"/>
                <w:bCs w:val="1"/>
                <w:color w:val="009CCC"/>
              </w:rPr>
              <w:t>Payments</w:t>
            </w:r>
          </w:p>
        </w:tc>
      </w:tr>
      <w:tr>
        <w:trPr>
          <w:trHeight w:val="137"/>
        </w:trPr>
        <w:tc>
          <w:tcPr>
            <w:tcW w:w="4420" w:type="dxa"/>
            <w:vAlign w:val="bottom"/>
          </w:tcPr>
          <w:p>
            <w:pPr>
              <w:spacing w:after="0"/>
              <w:rPr>
                <w:sz w:val="20"/>
                <w:szCs w:val="20"/>
                <w:color w:val="auto"/>
              </w:rPr>
            </w:pPr>
            <w:r>
              <w:rPr>
                <w:rFonts w:ascii="Arial" w:cs="Arial" w:eastAsia="Arial" w:hAnsi="Arial"/>
                <w:sz w:val="12"/>
                <w:szCs w:val="12"/>
                <w:b w:val="1"/>
                <w:bCs w:val="1"/>
                <w:color w:val="009CCC"/>
              </w:rPr>
              <w:t>Named Executive</w:t>
            </w:r>
          </w:p>
        </w:tc>
        <w:tc>
          <w:tcPr>
            <w:tcW w:w="1480" w:type="dxa"/>
            <w:vAlign w:val="bottom"/>
          </w:tcPr>
          <w:p>
            <w:pPr>
              <w:spacing w:after="0"/>
              <w:rPr>
                <w:sz w:val="11"/>
                <w:szCs w:val="11"/>
                <w:color w:val="auto"/>
              </w:rPr>
            </w:pPr>
          </w:p>
        </w:tc>
        <w:tc>
          <w:tcPr>
            <w:tcW w:w="840" w:type="dxa"/>
            <w:vAlign w:val="bottom"/>
          </w:tcPr>
          <w:p>
            <w:pPr>
              <w:jc w:val="right"/>
              <w:ind w:right="51"/>
              <w:spacing w:after="0"/>
              <w:rPr>
                <w:sz w:val="20"/>
                <w:szCs w:val="20"/>
                <w:color w:val="auto"/>
              </w:rPr>
            </w:pPr>
            <w:r>
              <w:rPr>
                <w:rFonts w:ascii="Arial" w:cs="Arial" w:eastAsia="Arial" w:hAnsi="Arial"/>
                <w:sz w:val="12"/>
                <w:szCs w:val="12"/>
                <w:b w:val="1"/>
                <w:bCs w:val="1"/>
                <w:color w:val="009CCC"/>
              </w:rPr>
              <w:t>Credited</w:t>
            </w:r>
          </w:p>
        </w:tc>
        <w:tc>
          <w:tcPr>
            <w:tcW w:w="240" w:type="dxa"/>
            <w:vAlign w:val="bottom"/>
          </w:tcPr>
          <w:p>
            <w:pPr>
              <w:spacing w:after="0"/>
              <w:rPr>
                <w:sz w:val="11"/>
                <w:szCs w:val="11"/>
                <w:color w:val="auto"/>
              </w:rPr>
            </w:pPr>
          </w:p>
        </w:tc>
        <w:tc>
          <w:tcPr>
            <w:tcW w:w="760" w:type="dxa"/>
            <w:vAlign w:val="bottom"/>
          </w:tcPr>
          <w:p>
            <w:pPr>
              <w:jc w:val="right"/>
              <w:ind w:right="31"/>
              <w:spacing w:after="0"/>
              <w:rPr>
                <w:sz w:val="20"/>
                <w:szCs w:val="20"/>
                <w:color w:val="auto"/>
              </w:rPr>
            </w:pPr>
            <w:r>
              <w:rPr>
                <w:rFonts w:ascii="Arial" w:cs="Arial" w:eastAsia="Arial" w:hAnsi="Arial"/>
                <w:sz w:val="12"/>
                <w:szCs w:val="12"/>
                <w:b w:val="1"/>
                <w:bCs w:val="1"/>
                <w:color w:val="009CCC"/>
              </w:rPr>
              <w:t>Retirement</w:t>
            </w:r>
          </w:p>
        </w:tc>
        <w:tc>
          <w:tcPr>
            <w:tcW w:w="840" w:type="dxa"/>
            <w:vAlign w:val="bottom"/>
          </w:tcPr>
          <w:p>
            <w:pPr>
              <w:jc w:val="right"/>
              <w:spacing w:after="0"/>
              <w:rPr>
                <w:sz w:val="20"/>
                <w:szCs w:val="20"/>
                <w:color w:val="auto"/>
              </w:rPr>
            </w:pPr>
            <w:r>
              <w:rPr>
                <w:rFonts w:ascii="Arial" w:cs="Arial" w:eastAsia="Arial" w:hAnsi="Arial"/>
                <w:sz w:val="12"/>
                <w:szCs w:val="12"/>
                <w:b w:val="1"/>
                <w:bCs w:val="1"/>
                <w:color w:val="009CCC"/>
              </w:rPr>
              <w:t>During Last</w:t>
            </w:r>
          </w:p>
        </w:tc>
      </w:tr>
      <w:tr>
        <w:trPr>
          <w:trHeight w:val="160"/>
        </w:trPr>
        <w:tc>
          <w:tcPr>
            <w:tcW w:w="442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Officer</w:t>
            </w:r>
          </w:p>
        </w:tc>
        <w:tc>
          <w:tcPr>
            <w:tcW w:w="1480" w:type="dxa"/>
            <w:vAlign w:val="bottom"/>
            <w:tcBorders>
              <w:bottom w:val="single" w:sz="8" w:color="7B7C80"/>
            </w:tcBorders>
          </w:tcPr>
          <w:p>
            <w:pPr>
              <w:ind w:left="740"/>
              <w:spacing w:after="0"/>
              <w:rPr>
                <w:sz w:val="20"/>
                <w:szCs w:val="20"/>
                <w:color w:val="auto"/>
              </w:rPr>
            </w:pPr>
            <w:r>
              <w:rPr>
                <w:rFonts w:ascii="Arial" w:cs="Arial" w:eastAsia="Arial" w:hAnsi="Arial"/>
                <w:sz w:val="12"/>
                <w:szCs w:val="12"/>
                <w:b w:val="1"/>
                <w:bCs w:val="1"/>
                <w:color w:val="009CCC"/>
              </w:rPr>
              <w:t>Plan Name</w:t>
            </w:r>
          </w:p>
        </w:tc>
        <w:tc>
          <w:tcPr>
            <w:tcW w:w="840" w:type="dxa"/>
            <w:vAlign w:val="bottom"/>
            <w:tcBorders>
              <w:bottom w:val="single" w:sz="8" w:color="7B7C80"/>
            </w:tcBorders>
          </w:tcPr>
          <w:p>
            <w:pPr>
              <w:jc w:val="right"/>
              <w:ind w:right="51"/>
              <w:spacing w:after="0" w:line="160" w:lineRule="exact"/>
              <w:rPr>
                <w:sz w:val="20"/>
                <w:szCs w:val="20"/>
                <w:color w:val="auto"/>
              </w:rPr>
            </w:pPr>
            <w:r>
              <w:rPr>
                <w:rFonts w:ascii="Arial" w:cs="Arial" w:eastAsia="Arial" w:hAnsi="Arial"/>
                <w:sz w:val="12"/>
                <w:szCs w:val="12"/>
                <w:b w:val="1"/>
                <w:bCs w:val="1"/>
                <w:color w:val="009CCC"/>
              </w:rPr>
              <w:t>Service</w:t>
            </w:r>
            <w:r>
              <w:rPr>
                <w:rFonts w:ascii="Arial" w:cs="Arial" w:eastAsia="Arial" w:hAnsi="Arial"/>
                <w:sz w:val="18"/>
                <w:szCs w:val="18"/>
                <w:b w:val="1"/>
                <w:bCs w:val="1"/>
                <w:color w:val="009CCC"/>
                <w:vertAlign w:val="superscript"/>
              </w:rPr>
              <w:t>(1)</w:t>
            </w:r>
          </w:p>
        </w:tc>
        <w:tc>
          <w:tcPr>
            <w:tcW w:w="240" w:type="dxa"/>
            <w:vAlign w:val="bottom"/>
            <w:tcBorders>
              <w:bottom w:val="single" w:sz="8" w:color="7B7C80"/>
            </w:tcBorders>
          </w:tcPr>
          <w:p>
            <w:pPr>
              <w:spacing w:after="0"/>
              <w:rPr>
                <w:sz w:val="13"/>
                <w:szCs w:val="13"/>
                <w:color w:val="auto"/>
              </w:rPr>
            </w:pPr>
          </w:p>
        </w:tc>
        <w:tc>
          <w:tcPr>
            <w:tcW w:w="760" w:type="dxa"/>
            <w:vAlign w:val="bottom"/>
            <w:tcBorders>
              <w:bottom w:val="single" w:sz="8" w:color="7B7C80"/>
            </w:tcBorders>
          </w:tcPr>
          <w:p>
            <w:pPr>
              <w:jc w:val="right"/>
              <w:ind w:right="31"/>
              <w:spacing w:after="0" w:line="160" w:lineRule="exact"/>
              <w:rPr>
                <w:sz w:val="20"/>
                <w:szCs w:val="20"/>
                <w:color w:val="auto"/>
              </w:rPr>
            </w:pPr>
            <w:r>
              <w:rPr>
                <w:rFonts w:ascii="Arial" w:cs="Arial" w:eastAsia="Arial" w:hAnsi="Arial"/>
                <w:sz w:val="18"/>
                <w:szCs w:val="18"/>
                <w:b w:val="1"/>
                <w:bCs w:val="1"/>
                <w:color w:val="009CCC"/>
                <w:vertAlign w:val="subscript"/>
              </w:rPr>
              <w:t>Age</w:t>
            </w:r>
            <w:r>
              <w:rPr>
                <w:rFonts w:ascii="Arial" w:cs="Arial" w:eastAsia="Arial" w:hAnsi="Arial"/>
                <w:sz w:val="8"/>
                <w:szCs w:val="8"/>
                <w:b w:val="1"/>
                <w:bCs w:val="1"/>
                <w:color w:val="009CCC"/>
              </w:rPr>
              <w:t>(2)</w:t>
            </w:r>
          </w:p>
        </w:tc>
        <w:tc>
          <w:tcPr>
            <w:tcW w:w="84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Fiscal Year</w:t>
            </w:r>
          </w:p>
        </w:tc>
      </w:tr>
      <w:tr>
        <w:trPr>
          <w:trHeight w:val="163"/>
        </w:trPr>
        <w:tc>
          <w:tcPr>
            <w:tcW w:w="4420" w:type="dxa"/>
            <w:vAlign w:val="bottom"/>
            <w:shd w:val="clear" w:color="auto" w:fill="E7E6E7"/>
          </w:tcPr>
          <w:p>
            <w:pPr>
              <w:spacing w:after="0" w:line="164" w:lineRule="exact"/>
              <w:rPr>
                <w:sz w:val="20"/>
                <w:szCs w:val="20"/>
                <w:color w:val="auto"/>
              </w:rPr>
            </w:pPr>
            <w:r>
              <w:rPr>
                <w:rFonts w:ascii="Arial" w:cs="Arial" w:eastAsia="Arial" w:hAnsi="Arial"/>
                <w:sz w:val="15"/>
                <w:szCs w:val="15"/>
                <w:color w:val="7B7C80"/>
              </w:rPr>
              <w:t>Houston</w:t>
            </w:r>
          </w:p>
        </w:tc>
        <w:tc>
          <w:tcPr>
            <w:tcW w:w="1480" w:type="dxa"/>
            <w:vAlign w:val="bottom"/>
            <w:shd w:val="clear" w:color="auto" w:fill="E7E6E7"/>
          </w:tcPr>
          <w:p>
            <w:pPr>
              <w:ind w:left="200"/>
              <w:spacing w:after="0" w:line="164" w:lineRule="exact"/>
              <w:rPr>
                <w:sz w:val="20"/>
                <w:szCs w:val="20"/>
                <w:color w:val="auto"/>
              </w:rPr>
            </w:pPr>
            <w:r>
              <w:rPr>
                <w:rFonts w:ascii="Arial" w:cs="Arial" w:eastAsia="Arial" w:hAnsi="Arial"/>
                <w:sz w:val="15"/>
                <w:szCs w:val="15"/>
                <w:color w:val="7B7C80"/>
              </w:rPr>
              <w:t>Qualified Pension</w:t>
            </w:r>
          </w:p>
        </w:tc>
        <w:tc>
          <w:tcPr>
            <w:tcW w:w="840" w:type="dxa"/>
            <w:vAlign w:val="bottom"/>
            <w:shd w:val="clear" w:color="auto" w:fill="E7E6E7"/>
          </w:tcPr>
          <w:p>
            <w:pPr>
              <w:jc w:val="right"/>
              <w:ind w:right="51"/>
              <w:spacing w:after="0" w:line="164" w:lineRule="exact"/>
              <w:rPr>
                <w:sz w:val="20"/>
                <w:szCs w:val="20"/>
                <w:color w:val="auto"/>
              </w:rPr>
            </w:pPr>
            <w:r>
              <w:rPr>
                <w:rFonts w:ascii="Arial" w:cs="Arial" w:eastAsia="Arial" w:hAnsi="Arial"/>
                <w:sz w:val="15"/>
                <w:szCs w:val="15"/>
                <w:color w:val="7B7C80"/>
              </w:rPr>
              <w:t>33</w:t>
            </w:r>
          </w:p>
        </w:tc>
        <w:tc>
          <w:tcPr>
            <w:tcW w:w="240" w:type="dxa"/>
            <w:vAlign w:val="bottom"/>
            <w:shd w:val="clear" w:color="auto" w:fill="E7E6E7"/>
          </w:tcPr>
          <w:p>
            <w:pPr>
              <w:ind w:left="160"/>
              <w:spacing w:after="0" w:line="164" w:lineRule="exact"/>
              <w:rPr>
                <w:sz w:val="20"/>
                <w:szCs w:val="20"/>
                <w:color w:val="auto"/>
              </w:rPr>
            </w:pPr>
            <w:r>
              <w:rPr>
                <w:rFonts w:ascii="Arial" w:cs="Arial" w:eastAsia="Arial" w:hAnsi="Arial"/>
                <w:sz w:val="15"/>
                <w:szCs w:val="15"/>
                <w:color w:val="7B7C80"/>
                <w:w w:val="71"/>
              </w:rPr>
              <w:t>$</w:t>
            </w:r>
          </w:p>
        </w:tc>
        <w:tc>
          <w:tcPr>
            <w:tcW w:w="760" w:type="dxa"/>
            <w:vAlign w:val="bottom"/>
            <w:shd w:val="clear" w:color="auto" w:fill="E7E6E7"/>
          </w:tcPr>
          <w:p>
            <w:pPr>
              <w:jc w:val="right"/>
              <w:ind w:right="31"/>
              <w:spacing w:after="0" w:line="164" w:lineRule="exact"/>
              <w:rPr>
                <w:sz w:val="20"/>
                <w:szCs w:val="20"/>
                <w:color w:val="auto"/>
              </w:rPr>
            </w:pPr>
            <w:r>
              <w:rPr>
                <w:rFonts w:ascii="Arial" w:cs="Arial" w:eastAsia="Arial" w:hAnsi="Arial"/>
                <w:sz w:val="15"/>
                <w:szCs w:val="15"/>
                <w:color w:val="7B7C80"/>
                <w:w w:val="95"/>
              </w:rPr>
              <w:t>1,104,743</w:t>
            </w:r>
          </w:p>
        </w:tc>
        <w:tc>
          <w:tcPr>
            <w:tcW w:w="840" w:type="dxa"/>
            <w:vAlign w:val="bottom"/>
            <w:shd w:val="clear" w:color="auto" w:fill="E7E6E7"/>
          </w:tcPr>
          <w:p>
            <w:pPr>
              <w:jc w:val="right"/>
              <w:spacing w:after="0" w:line="164" w:lineRule="exact"/>
              <w:rPr>
                <w:sz w:val="20"/>
                <w:szCs w:val="20"/>
                <w:color w:val="auto"/>
              </w:rPr>
            </w:pPr>
            <w:r>
              <w:rPr>
                <w:rFonts w:ascii="Arial" w:cs="Arial" w:eastAsia="Arial" w:hAnsi="Arial"/>
                <w:sz w:val="15"/>
                <w:szCs w:val="15"/>
                <w:color w:val="7B7C80"/>
              </w:rPr>
              <w:t>$0</w:t>
            </w:r>
          </w:p>
        </w:tc>
      </w:tr>
      <w:tr>
        <w:trPr>
          <w:trHeight w:val="172"/>
        </w:trPr>
        <w:tc>
          <w:tcPr>
            <w:tcW w:w="4420" w:type="dxa"/>
            <w:vAlign w:val="bottom"/>
            <w:tcBorders>
              <w:bottom w:val="single" w:sz="8" w:color="7B7C80"/>
            </w:tcBorders>
            <w:shd w:val="clear" w:color="auto" w:fill="E7E6E7"/>
          </w:tcPr>
          <w:p>
            <w:pPr>
              <w:spacing w:after="0"/>
              <w:rPr>
                <w:sz w:val="14"/>
                <w:szCs w:val="14"/>
                <w:color w:val="auto"/>
              </w:rPr>
            </w:pPr>
          </w:p>
        </w:tc>
        <w:tc>
          <w:tcPr>
            <w:tcW w:w="1480" w:type="dxa"/>
            <w:vAlign w:val="bottom"/>
            <w:tcBorders>
              <w:bottom w:val="single" w:sz="8" w:color="7B7C80"/>
            </w:tcBorders>
            <w:shd w:val="clear" w:color="auto" w:fill="E7E6E7"/>
          </w:tcPr>
          <w:p>
            <w:pPr>
              <w:ind w:left="200"/>
              <w:spacing w:after="0"/>
              <w:rPr>
                <w:sz w:val="20"/>
                <w:szCs w:val="20"/>
                <w:color w:val="auto"/>
              </w:rPr>
            </w:pPr>
            <w:r>
              <w:rPr>
                <w:rFonts w:ascii="Arial" w:cs="Arial" w:eastAsia="Arial" w:hAnsi="Arial"/>
                <w:sz w:val="15"/>
                <w:szCs w:val="15"/>
                <w:color w:val="7B7C80"/>
              </w:rPr>
              <w:t>NQDB</w:t>
            </w:r>
          </w:p>
        </w:tc>
        <w:tc>
          <w:tcPr>
            <w:tcW w:w="840" w:type="dxa"/>
            <w:vAlign w:val="bottom"/>
            <w:tcBorders>
              <w:bottom w:val="single" w:sz="8" w:color="7B7C80"/>
            </w:tcBorders>
            <w:shd w:val="clear" w:color="auto" w:fill="E7E6E7"/>
          </w:tcPr>
          <w:p>
            <w:pPr>
              <w:spacing w:after="0"/>
              <w:rPr>
                <w:sz w:val="14"/>
                <w:szCs w:val="14"/>
                <w:color w:val="auto"/>
              </w:rPr>
            </w:pPr>
          </w:p>
        </w:tc>
        <w:tc>
          <w:tcPr>
            <w:tcW w:w="240" w:type="dxa"/>
            <w:vAlign w:val="bottom"/>
            <w:tcBorders>
              <w:bottom w:val="single" w:sz="8" w:color="7B7C80"/>
            </w:tcBorders>
            <w:shd w:val="clear" w:color="auto" w:fill="E7E6E7"/>
          </w:tcPr>
          <w:p>
            <w:pPr>
              <w:ind w:left="160"/>
              <w:spacing w:after="0"/>
              <w:rPr>
                <w:sz w:val="20"/>
                <w:szCs w:val="20"/>
                <w:color w:val="auto"/>
              </w:rPr>
            </w:pPr>
            <w:r>
              <w:rPr>
                <w:rFonts w:ascii="Arial" w:cs="Arial" w:eastAsia="Arial" w:hAnsi="Arial"/>
                <w:sz w:val="15"/>
                <w:szCs w:val="15"/>
                <w:color w:val="7B7C80"/>
                <w:w w:val="71"/>
              </w:rPr>
              <w:t>$</w:t>
            </w:r>
          </w:p>
        </w:tc>
        <w:tc>
          <w:tcPr>
            <w:tcW w:w="760" w:type="dxa"/>
            <w:vAlign w:val="bottom"/>
            <w:tcBorders>
              <w:bottom w:val="single" w:sz="8" w:color="7B7C80"/>
            </w:tcBorders>
            <w:shd w:val="clear" w:color="auto" w:fill="E7E6E7"/>
          </w:tcPr>
          <w:p>
            <w:pPr>
              <w:jc w:val="right"/>
              <w:ind w:right="31"/>
              <w:spacing w:after="0"/>
              <w:rPr>
                <w:sz w:val="20"/>
                <w:szCs w:val="20"/>
                <w:color w:val="auto"/>
              </w:rPr>
            </w:pPr>
            <w:r>
              <w:rPr>
                <w:rFonts w:ascii="Arial" w:cs="Arial" w:eastAsia="Arial" w:hAnsi="Arial"/>
                <w:sz w:val="15"/>
                <w:szCs w:val="15"/>
                <w:color w:val="7B7C80"/>
                <w:w w:val="95"/>
              </w:rPr>
              <w:t>6,477,115</w:t>
            </w:r>
          </w:p>
        </w:tc>
        <w:tc>
          <w:tcPr>
            <w:tcW w:w="8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5"/>
                <w:szCs w:val="15"/>
                <w:color w:val="7B7C80"/>
              </w:rPr>
              <w:t>$0</w:t>
            </w:r>
          </w:p>
        </w:tc>
      </w:tr>
      <w:tr>
        <w:trPr>
          <w:trHeight w:val="166"/>
        </w:trPr>
        <w:tc>
          <w:tcPr>
            <w:tcW w:w="4420" w:type="dxa"/>
            <w:vAlign w:val="bottom"/>
          </w:tcPr>
          <w:p>
            <w:pPr>
              <w:spacing w:after="0" w:line="166" w:lineRule="exact"/>
              <w:rPr>
                <w:sz w:val="20"/>
                <w:szCs w:val="20"/>
                <w:color w:val="auto"/>
              </w:rPr>
            </w:pPr>
            <w:r>
              <w:rPr>
                <w:rFonts w:ascii="Arial" w:cs="Arial" w:eastAsia="Arial" w:hAnsi="Arial"/>
                <w:sz w:val="15"/>
                <w:szCs w:val="15"/>
                <w:color w:val="7B7C80"/>
              </w:rPr>
              <w:t>Strable</w:t>
            </w:r>
          </w:p>
        </w:tc>
        <w:tc>
          <w:tcPr>
            <w:tcW w:w="1480" w:type="dxa"/>
            <w:vAlign w:val="bottom"/>
          </w:tcPr>
          <w:p>
            <w:pPr>
              <w:ind w:left="200"/>
              <w:spacing w:after="0" w:line="166" w:lineRule="exact"/>
              <w:rPr>
                <w:sz w:val="20"/>
                <w:szCs w:val="20"/>
                <w:color w:val="auto"/>
              </w:rPr>
            </w:pPr>
            <w:r>
              <w:rPr>
                <w:rFonts w:ascii="Arial" w:cs="Arial" w:eastAsia="Arial" w:hAnsi="Arial"/>
                <w:sz w:val="15"/>
                <w:szCs w:val="15"/>
                <w:color w:val="7B7C80"/>
              </w:rPr>
              <w:t>Qualified Pension</w:t>
            </w:r>
          </w:p>
        </w:tc>
        <w:tc>
          <w:tcPr>
            <w:tcW w:w="840" w:type="dxa"/>
            <w:vAlign w:val="bottom"/>
          </w:tcPr>
          <w:p>
            <w:pPr>
              <w:jc w:val="right"/>
              <w:ind w:right="51"/>
              <w:spacing w:after="0" w:line="166" w:lineRule="exact"/>
              <w:rPr>
                <w:sz w:val="20"/>
                <w:szCs w:val="20"/>
                <w:color w:val="auto"/>
              </w:rPr>
            </w:pPr>
            <w:r>
              <w:rPr>
                <w:rFonts w:ascii="Arial" w:cs="Arial" w:eastAsia="Arial" w:hAnsi="Arial"/>
                <w:sz w:val="15"/>
                <w:szCs w:val="15"/>
                <w:color w:val="7B7C80"/>
              </w:rPr>
              <w:t>26</w:t>
            </w:r>
          </w:p>
        </w:tc>
        <w:tc>
          <w:tcPr>
            <w:tcW w:w="240" w:type="dxa"/>
            <w:vAlign w:val="bottom"/>
          </w:tcPr>
          <w:p>
            <w:pPr>
              <w:ind w:left="160"/>
              <w:spacing w:after="0" w:line="166" w:lineRule="exact"/>
              <w:rPr>
                <w:sz w:val="20"/>
                <w:szCs w:val="20"/>
                <w:color w:val="auto"/>
              </w:rPr>
            </w:pPr>
            <w:r>
              <w:rPr>
                <w:rFonts w:ascii="Arial" w:cs="Arial" w:eastAsia="Arial" w:hAnsi="Arial"/>
                <w:sz w:val="15"/>
                <w:szCs w:val="15"/>
                <w:color w:val="7B7C80"/>
                <w:w w:val="71"/>
              </w:rPr>
              <w:t>$</w:t>
            </w:r>
          </w:p>
        </w:tc>
        <w:tc>
          <w:tcPr>
            <w:tcW w:w="760" w:type="dxa"/>
            <w:vAlign w:val="bottom"/>
          </w:tcPr>
          <w:p>
            <w:pPr>
              <w:jc w:val="right"/>
              <w:ind w:right="31"/>
              <w:spacing w:after="0" w:line="166" w:lineRule="exact"/>
              <w:rPr>
                <w:sz w:val="20"/>
                <w:szCs w:val="20"/>
                <w:color w:val="auto"/>
              </w:rPr>
            </w:pPr>
            <w:r>
              <w:rPr>
                <w:rFonts w:ascii="Arial" w:cs="Arial" w:eastAsia="Arial" w:hAnsi="Arial"/>
                <w:sz w:val="15"/>
                <w:szCs w:val="15"/>
                <w:color w:val="7B7C80"/>
              </w:rPr>
              <w:t>713,753</w:t>
            </w:r>
          </w:p>
        </w:tc>
        <w:tc>
          <w:tcPr>
            <w:tcW w:w="840" w:type="dxa"/>
            <w:vAlign w:val="bottom"/>
          </w:tcPr>
          <w:p>
            <w:pPr>
              <w:jc w:val="right"/>
              <w:spacing w:after="0" w:line="166" w:lineRule="exact"/>
              <w:rPr>
                <w:sz w:val="20"/>
                <w:szCs w:val="20"/>
                <w:color w:val="auto"/>
              </w:rPr>
            </w:pPr>
            <w:r>
              <w:rPr>
                <w:rFonts w:ascii="Arial" w:cs="Arial" w:eastAsia="Arial" w:hAnsi="Arial"/>
                <w:sz w:val="15"/>
                <w:szCs w:val="15"/>
                <w:color w:val="7B7C80"/>
              </w:rPr>
              <w:t>$0</w:t>
            </w:r>
          </w:p>
        </w:tc>
      </w:tr>
      <w:tr>
        <w:trPr>
          <w:trHeight w:val="180"/>
        </w:trPr>
        <w:tc>
          <w:tcPr>
            <w:tcW w:w="4420" w:type="dxa"/>
            <w:vAlign w:val="bottom"/>
            <w:tcBorders>
              <w:bottom w:val="single" w:sz="8" w:color="7B7C80"/>
            </w:tcBorders>
          </w:tcPr>
          <w:p>
            <w:pPr>
              <w:spacing w:after="0"/>
              <w:rPr>
                <w:sz w:val="15"/>
                <w:szCs w:val="15"/>
                <w:color w:val="auto"/>
              </w:rPr>
            </w:pPr>
          </w:p>
        </w:tc>
        <w:tc>
          <w:tcPr>
            <w:tcW w:w="1480" w:type="dxa"/>
            <w:vAlign w:val="bottom"/>
            <w:tcBorders>
              <w:bottom w:val="single" w:sz="8" w:color="7B7C80"/>
            </w:tcBorders>
          </w:tcPr>
          <w:p>
            <w:pPr>
              <w:ind w:left="200"/>
              <w:spacing w:after="0"/>
              <w:rPr>
                <w:sz w:val="20"/>
                <w:szCs w:val="20"/>
                <w:color w:val="auto"/>
              </w:rPr>
            </w:pPr>
            <w:r>
              <w:rPr>
                <w:rFonts w:ascii="Arial" w:cs="Arial" w:eastAsia="Arial" w:hAnsi="Arial"/>
                <w:sz w:val="15"/>
                <w:szCs w:val="15"/>
                <w:color w:val="7B7C80"/>
              </w:rPr>
              <w:t>NQDB</w:t>
            </w:r>
          </w:p>
        </w:tc>
        <w:tc>
          <w:tcPr>
            <w:tcW w:w="840" w:type="dxa"/>
            <w:vAlign w:val="bottom"/>
            <w:tcBorders>
              <w:bottom w:val="single" w:sz="8" w:color="7B7C80"/>
            </w:tcBorders>
          </w:tcPr>
          <w:p>
            <w:pPr>
              <w:spacing w:after="0"/>
              <w:rPr>
                <w:sz w:val="15"/>
                <w:szCs w:val="15"/>
                <w:color w:val="auto"/>
              </w:rPr>
            </w:pPr>
          </w:p>
        </w:tc>
        <w:tc>
          <w:tcPr>
            <w:tcW w:w="240" w:type="dxa"/>
            <w:vAlign w:val="bottom"/>
            <w:tcBorders>
              <w:bottom w:val="single" w:sz="8" w:color="7B7C80"/>
            </w:tcBorders>
          </w:tcPr>
          <w:p>
            <w:pPr>
              <w:ind w:left="160"/>
              <w:spacing w:after="0"/>
              <w:rPr>
                <w:sz w:val="20"/>
                <w:szCs w:val="20"/>
                <w:color w:val="auto"/>
              </w:rPr>
            </w:pPr>
            <w:r>
              <w:rPr>
                <w:rFonts w:ascii="Arial" w:cs="Arial" w:eastAsia="Arial" w:hAnsi="Arial"/>
                <w:sz w:val="15"/>
                <w:szCs w:val="15"/>
                <w:color w:val="7B7C80"/>
                <w:w w:val="71"/>
              </w:rPr>
              <w:t>$</w:t>
            </w:r>
          </w:p>
        </w:tc>
        <w:tc>
          <w:tcPr>
            <w:tcW w:w="760" w:type="dxa"/>
            <w:vAlign w:val="bottom"/>
            <w:tcBorders>
              <w:bottom w:val="single" w:sz="8" w:color="7B7C80"/>
            </w:tcBorders>
          </w:tcPr>
          <w:p>
            <w:pPr>
              <w:jc w:val="right"/>
              <w:ind w:right="31"/>
              <w:spacing w:after="0"/>
              <w:rPr>
                <w:sz w:val="20"/>
                <w:szCs w:val="20"/>
                <w:color w:val="auto"/>
              </w:rPr>
            </w:pPr>
            <w:r>
              <w:rPr>
                <w:rFonts w:ascii="Arial" w:cs="Arial" w:eastAsia="Arial" w:hAnsi="Arial"/>
                <w:sz w:val="15"/>
                <w:szCs w:val="15"/>
                <w:color w:val="7B7C80"/>
                <w:w w:val="95"/>
              </w:rPr>
              <w:t>1,494,187</w:t>
            </w:r>
          </w:p>
        </w:tc>
        <w:tc>
          <w:tcPr>
            <w:tcW w:w="84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$0</w:t>
            </w:r>
          </w:p>
        </w:tc>
      </w:tr>
      <w:tr>
        <w:trPr>
          <w:trHeight w:val="164"/>
        </w:trPr>
        <w:tc>
          <w:tcPr>
            <w:tcW w:w="4420" w:type="dxa"/>
            <w:vAlign w:val="bottom"/>
            <w:shd w:val="clear" w:color="auto" w:fill="E7E6E7"/>
          </w:tcPr>
          <w:p>
            <w:pPr>
              <w:spacing w:after="0" w:line="164" w:lineRule="exact"/>
              <w:rPr>
                <w:sz w:val="20"/>
                <w:szCs w:val="20"/>
                <w:color w:val="auto"/>
              </w:rPr>
            </w:pPr>
            <w:r>
              <w:rPr>
                <w:rFonts w:ascii="Arial" w:cs="Arial" w:eastAsia="Arial" w:hAnsi="Arial"/>
                <w:sz w:val="15"/>
                <w:szCs w:val="15"/>
                <w:color w:val="7B7C80"/>
              </w:rPr>
              <w:t>Everett</w:t>
            </w:r>
          </w:p>
        </w:tc>
        <w:tc>
          <w:tcPr>
            <w:tcW w:w="1480" w:type="dxa"/>
            <w:vAlign w:val="bottom"/>
            <w:shd w:val="clear" w:color="auto" w:fill="E7E6E7"/>
          </w:tcPr>
          <w:p>
            <w:pPr>
              <w:ind w:left="200"/>
              <w:spacing w:after="0" w:line="164" w:lineRule="exact"/>
              <w:rPr>
                <w:sz w:val="20"/>
                <w:szCs w:val="20"/>
                <w:color w:val="auto"/>
              </w:rPr>
            </w:pPr>
            <w:r>
              <w:rPr>
                <w:rFonts w:ascii="Arial" w:cs="Arial" w:eastAsia="Arial" w:hAnsi="Arial"/>
                <w:sz w:val="15"/>
                <w:szCs w:val="15"/>
                <w:color w:val="7B7C80"/>
              </w:rPr>
              <w:t>Qualified Pension</w:t>
            </w:r>
          </w:p>
        </w:tc>
        <w:tc>
          <w:tcPr>
            <w:tcW w:w="840" w:type="dxa"/>
            <w:vAlign w:val="bottom"/>
            <w:shd w:val="clear" w:color="auto" w:fill="E7E6E7"/>
          </w:tcPr>
          <w:p>
            <w:pPr>
              <w:jc w:val="right"/>
              <w:ind w:right="51"/>
              <w:spacing w:after="0" w:line="164" w:lineRule="exact"/>
              <w:rPr>
                <w:sz w:val="20"/>
                <w:szCs w:val="20"/>
                <w:color w:val="auto"/>
              </w:rPr>
            </w:pPr>
            <w:r>
              <w:rPr>
                <w:rFonts w:ascii="Arial" w:cs="Arial" w:eastAsia="Arial" w:hAnsi="Arial"/>
                <w:sz w:val="15"/>
                <w:szCs w:val="15"/>
                <w:color w:val="7B7C80"/>
              </w:rPr>
              <w:t>26</w:t>
            </w:r>
          </w:p>
        </w:tc>
        <w:tc>
          <w:tcPr>
            <w:tcW w:w="240" w:type="dxa"/>
            <w:vAlign w:val="bottom"/>
            <w:shd w:val="clear" w:color="auto" w:fill="E7E6E7"/>
          </w:tcPr>
          <w:p>
            <w:pPr>
              <w:ind w:left="160"/>
              <w:spacing w:after="0" w:line="164" w:lineRule="exact"/>
              <w:rPr>
                <w:sz w:val="20"/>
                <w:szCs w:val="20"/>
                <w:color w:val="auto"/>
              </w:rPr>
            </w:pPr>
            <w:r>
              <w:rPr>
                <w:rFonts w:ascii="Arial" w:cs="Arial" w:eastAsia="Arial" w:hAnsi="Arial"/>
                <w:sz w:val="15"/>
                <w:szCs w:val="15"/>
                <w:color w:val="7B7C80"/>
                <w:w w:val="71"/>
              </w:rPr>
              <w:t>$</w:t>
            </w:r>
          </w:p>
        </w:tc>
        <w:tc>
          <w:tcPr>
            <w:tcW w:w="760" w:type="dxa"/>
            <w:vAlign w:val="bottom"/>
            <w:shd w:val="clear" w:color="auto" w:fill="E7E6E7"/>
          </w:tcPr>
          <w:p>
            <w:pPr>
              <w:jc w:val="right"/>
              <w:ind w:right="31"/>
              <w:spacing w:after="0" w:line="164" w:lineRule="exact"/>
              <w:rPr>
                <w:sz w:val="20"/>
                <w:szCs w:val="20"/>
                <w:color w:val="auto"/>
              </w:rPr>
            </w:pPr>
            <w:r>
              <w:rPr>
                <w:rFonts w:ascii="Arial" w:cs="Arial" w:eastAsia="Arial" w:hAnsi="Arial"/>
                <w:sz w:val="15"/>
                <w:szCs w:val="15"/>
                <w:color w:val="7B7C80"/>
                <w:w w:val="95"/>
              </w:rPr>
              <w:t>1,178,140</w:t>
            </w:r>
          </w:p>
        </w:tc>
        <w:tc>
          <w:tcPr>
            <w:tcW w:w="840" w:type="dxa"/>
            <w:vAlign w:val="bottom"/>
            <w:shd w:val="clear" w:color="auto" w:fill="E7E6E7"/>
          </w:tcPr>
          <w:p>
            <w:pPr>
              <w:jc w:val="right"/>
              <w:spacing w:after="0" w:line="164" w:lineRule="exact"/>
              <w:rPr>
                <w:sz w:val="20"/>
                <w:szCs w:val="20"/>
                <w:color w:val="auto"/>
              </w:rPr>
            </w:pPr>
            <w:r>
              <w:rPr>
                <w:rFonts w:ascii="Arial" w:cs="Arial" w:eastAsia="Arial" w:hAnsi="Arial"/>
                <w:sz w:val="15"/>
                <w:szCs w:val="15"/>
                <w:color w:val="7B7C80"/>
              </w:rPr>
              <w:t>$0</w:t>
            </w:r>
          </w:p>
        </w:tc>
      </w:tr>
      <w:tr>
        <w:trPr>
          <w:trHeight w:val="172"/>
        </w:trPr>
        <w:tc>
          <w:tcPr>
            <w:tcW w:w="4420" w:type="dxa"/>
            <w:vAlign w:val="bottom"/>
            <w:tcBorders>
              <w:bottom w:val="single" w:sz="8" w:color="7B7C80"/>
            </w:tcBorders>
            <w:shd w:val="clear" w:color="auto" w:fill="E7E6E7"/>
          </w:tcPr>
          <w:p>
            <w:pPr>
              <w:spacing w:after="0"/>
              <w:rPr>
                <w:sz w:val="14"/>
                <w:szCs w:val="14"/>
                <w:color w:val="auto"/>
              </w:rPr>
            </w:pPr>
          </w:p>
        </w:tc>
        <w:tc>
          <w:tcPr>
            <w:tcW w:w="1480" w:type="dxa"/>
            <w:vAlign w:val="bottom"/>
            <w:tcBorders>
              <w:bottom w:val="single" w:sz="8" w:color="7B7C80"/>
            </w:tcBorders>
            <w:shd w:val="clear" w:color="auto" w:fill="E7E6E7"/>
          </w:tcPr>
          <w:p>
            <w:pPr>
              <w:ind w:left="200"/>
              <w:spacing w:after="0"/>
              <w:rPr>
                <w:sz w:val="20"/>
                <w:szCs w:val="20"/>
                <w:color w:val="auto"/>
              </w:rPr>
            </w:pPr>
            <w:r>
              <w:rPr>
                <w:rFonts w:ascii="Arial" w:cs="Arial" w:eastAsia="Arial" w:hAnsi="Arial"/>
                <w:sz w:val="15"/>
                <w:szCs w:val="15"/>
                <w:color w:val="7B7C80"/>
              </w:rPr>
              <w:t>NQDB</w:t>
            </w:r>
          </w:p>
        </w:tc>
        <w:tc>
          <w:tcPr>
            <w:tcW w:w="840" w:type="dxa"/>
            <w:vAlign w:val="bottom"/>
            <w:tcBorders>
              <w:bottom w:val="single" w:sz="8" w:color="7B7C80"/>
            </w:tcBorders>
            <w:shd w:val="clear" w:color="auto" w:fill="E7E6E7"/>
          </w:tcPr>
          <w:p>
            <w:pPr>
              <w:spacing w:after="0"/>
              <w:rPr>
                <w:sz w:val="14"/>
                <w:szCs w:val="14"/>
                <w:color w:val="auto"/>
              </w:rPr>
            </w:pPr>
          </w:p>
        </w:tc>
        <w:tc>
          <w:tcPr>
            <w:tcW w:w="240" w:type="dxa"/>
            <w:vAlign w:val="bottom"/>
            <w:tcBorders>
              <w:bottom w:val="single" w:sz="8" w:color="7B7C80"/>
            </w:tcBorders>
            <w:shd w:val="clear" w:color="auto" w:fill="E7E6E7"/>
          </w:tcPr>
          <w:p>
            <w:pPr>
              <w:ind w:left="160"/>
              <w:spacing w:after="0"/>
              <w:rPr>
                <w:sz w:val="20"/>
                <w:szCs w:val="20"/>
                <w:color w:val="auto"/>
              </w:rPr>
            </w:pPr>
            <w:r>
              <w:rPr>
                <w:rFonts w:ascii="Arial" w:cs="Arial" w:eastAsia="Arial" w:hAnsi="Arial"/>
                <w:sz w:val="15"/>
                <w:szCs w:val="15"/>
                <w:color w:val="7B7C80"/>
                <w:w w:val="71"/>
              </w:rPr>
              <w:t>$</w:t>
            </w:r>
          </w:p>
        </w:tc>
        <w:tc>
          <w:tcPr>
            <w:tcW w:w="760" w:type="dxa"/>
            <w:vAlign w:val="bottom"/>
            <w:tcBorders>
              <w:bottom w:val="single" w:sz="8" w:color="7B7C80"/>
            </w:tcBorders>
            <w:shd w:val="clear" w:color="auto" w:fill="E7E6E7"/>
          </w:tcPr>
          <w:p>
            <w:pPr>
              <w:jc w:val="right"/>
              <w:ind w:right="31"/>
              <w:spacing w:after="0"/>
              <w:rPr>
                <w:sz w:val="20"/>
                <w:szCs w:val="20"/>
                <w:color w:val="auto"/>
              </w:rPr>
            </w:pPr>
            <w:r>
              <w:rPr>
                <w:rFonts w:ascii="Arial" w:cs="Arial" w:eastAsia="Arial" w:hAnsi="Arial"/>
                <w:sz w:val="15"/>
                <w:szCs w:val="15"/>
                <w:color w:val="7B7C80"/>
                <w:w w:val="95"/>
              </w:rPr>
              <w:t>1,683,167</w:t>
            </w:r>
          </w:p>
        </w:tc>
        <w:tc>
          <w:tcPr>
            <w:tcW w:w="8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5"/>
                <w:szCs w:val="15"/>
                <w:color w:val="7B7C80"/>
              </w:rPr>
              <w:t>$0</w:t>
            </w:r>
          </w:p>
        </w:tc>
      </w:tr>
      <w:tr>
        <w:trPr>
          <w:trHeight w:val="200"/>
        </w:trPr>
        <w:tc>
          <w:tcPr>
            <w:tcW w:w="4420" w:type="dxa"/>
            <w:vAlign w:val="bottom"/>
          </w:tcPr>
          <w:p>
            <w:pPr>
              <w:spacing w:after="0" w:line="200" w:lineRule="exact"/>
              <w:rPr>
                <w:sz w:val="20"/>
                <w:szCs w:val="20"/>
                <w:color w:val="auto"/>
              </w:rPr>
            </w:pPr>
            <w:r>
              <w:rPr>
                <w:rFonts w:ascii="Arial" w:cs="Arial" w:eastAsia="Arial" w:hAnsi="Arial"/>
                <w:sz w:val="14"/>
                <w:szCs w:val="14"/>
                <w:color w:val="7B7C80"/>
              </w:rPr>
              <w:t>Lillis</w:t>
            </w:r>
            <w:r>
              <w:rPr>
                <w:rFonts w:ascii="Arial" w:cs="Arial" w:eastAsia="Arial" w:hAnsi="Arial"/>
                <w:sz w:val="23"/>
                <w:szCs w:val="23"/>
                <w:color w:val="7B7C80"/>
                <w:vertAlign w:val="superscript"/>
              </w:rPr>
              <w:t>(3)</w:t>
            </w:r>
          </w:p>
        </w:tc>
        <w:tc>
          <w:tcPr>
            <w:tcW w:w="1480" w:type="dxa"/>
            <w:vAlign w:val="bottom"/>
          </w:tcPr>
          <w:p>
            <w:pPr>
              <w:ind w:left="200"/>
              <w:spacing w:after="0"/>
              <w:rPr>
                <w:sz w:val="20"/>
                <w:szCs w:val="20"/>
                <w:color w:val="auto"/>
              </w:rPr>
            </w:pPr>
            <w:r>
              <w:rPr>
                <w:rFonts w:ascii="Arial" w:cs="Arial" w:eastAsia="Arial" w:hAnsi="Arial"/>
                <w:sz w:val="15"/>
                <w:szCs w:val="15"/>
                <w:color w:val="7B7C80"/>
              </w:rPr>
              <w:t>Qualified Pension</w:t>
            </w:r>
          </w:p>
        </w:tc>
        <w:tc>
          <w:tcPr>
            <w:tcW w:w="840" w:type="dxa"/>
            <w:vAlign w:val="bottom"/>
          </w:tcPr>
          <w:p>
            <w:pPr>
              <w:jc w:val="right"/>
              <w:ind w:right="51"/>
              <w:spacing w:after="0"/>
              <w:rPr>
                <w:sz w:val="20"/>
                <w:szCs w:val="20"/>
                <w:color w:val="auto"/>
              </w:rPr>
            </w:pPr>
            <w:r>
              <w:rPr>
                <w:rFonts w:ascii="Arial" w:cs="Arial" w:eastAsia="Arial" w:hAnsi="Arial"/>
                <w:sz w:val="15"/>
                <w:szCs w:val="15"/>
                <w:color w:val="7B7C80"/>
              </w:rPr>
              <w:t>35</w:t>
            </w:r>
          </w:p>
        </w:tc>
        <w:tc>
          <w:tcPr>
            <w:tcW w:w="240" w:type="dxa"/>
            <w:vAlign w:val="bottom"/>
          </w:tcPr>
          <w:p>
            <w:pPr>
              <w:ind w:left="160"/>
              <w:spacing w:after="0"/>
              <w:rPr>
                <w:sz w:val="20"/>
                <w:szCs w:val="20"/>
                <w:color w:val="auto"/>
              </w:rPr>
            </w:pPr>
            <w:r>
              <w:rPr>
                <w:rFonts w:ascii="Arial" w:cs="Arial" w:eastAsia="Arial" w:hAnsi="Arial"/>
                <w:sz w:val="15"/>
                <w:szCs w:val="15"/>
                <w:color w:val="7B7C80"/>
                <w:w w:val="71"/>
              </w:rPr>
              <w:t>$</w:t>
            </w:r>
          </w:p>
        </w:tc>
        <w:tc>
          <w:tcPr>
            <w:tcW w:w="760" w:type="dxa"/>
            <w:vAlign w:val="bottom"/>
          </w:tcPr>
          <w:p>
            <w:pPr>
              <w:jc w:val="right"/>
              <w:ind w:right="31"/>
              <w:spacing w:after="0"/>
              <w:rPr>
                <w:sz w:val="20"/>
                <w:szCs w:val="20"/>
                <w:color w:val="auto"/>
              </w:rPr>
            </w:pPr>
            <w:r>
              <w:rPr>
                <w:rFonts w:ascii="Arial" w:cs="Arial" w:eastAsia="Arial" w:hAnsi="Arial"/>
                <w:sz w:val="15"/>
                <w:szCs w:val="15"/>
                <w:color w:val="7B7C80"/>
                <w:w w:val="95"/>
              </w:rPr>
              <w:t>2,402,823</w:t>
            </w:r>
          </w:p>
        </w:tc>
        <w:tc>
          <w:tcPr>
            <w:tcW w:w="840" w:type="dxa"/>
            <w:vAlign w:val="bottom"/>
          </w:tcPr>
          <w:p>
            <w:pPr>
              <w:jc w:val="right"/>
              <w:spacing w:after="0"/>
              <w:rPr>
                <w:sz w:val="20"/>
                <w:szCs w:val="20"/>
                <w:color w:val="auto"/>
              </w:rPr>
            </w:pPr>
            <w:r>
              <w:rPr>
                <w:rFonts w:ascii="Arial" w:cs="Arial" w:eastAsia="Arial" w:hAnsi="Arial"/>
                <w:sz w:val="15"/>
                <w:szCs w:val="15"/>
                <w:color w:val="7B7C80"/>
              </w:rPr>
              <w:t>$67,375</w:t>
            </w:r>
          </w:p>
        </w:tc>
      </w:tr>
      <w:tr>
        <w:trPr>
          <w:trHeight w:val="180"/>
        </w:trPr>
        <w:tc>
          <w:tcPr>
            <w:tcW w:w="4420" w:type="dxa"/>
            <w:vAlign w:val="bottom"/>
            <w:tcBorders>
              <w:bottom w:val="single" w:sz="8" w:color="7B7C80"/>
            </w:tcBorders>
          </w:tcPr>
          <w:p>
            <w:pPr>
              <w:spacing w:after="0"/>
              <w:rPr>
                <w:sz w:val="15"/>
                <w:szCs w:val="15"/>
                <w:color w:val="auto"/>
              </w:rPr>
            </w:pPr>
          </w:p>
        </w:tc>
        <w:tc>
          <w:tcPr>
            <w:tcW w:w="1480" w:type="dxa"/>
            <w:vAlign w:val="bottom"/>
            <w:tcBorders>
              <w:bottom w:val="single" w:sz="8" w:color="7B7C80"/>
            </w:tcBorders>
          </w:tcPr>
          <w:p>
            <w:pPr>
              <w:ind w:left="200"/>
              <w:spacing w:after="0"/>
              <w:rPr>
                <w:sz w:val="20"/>
                <w:szCs w:val="20"/>
                <w:color w:val="auto"/>
              </w:rPr>
            </w:pPr>
            <w:r>
              <w:rPr>
                <w:rFonts w:ascii="Arial" w:cs="Arial" w:eastAsia="Arial" w:hAnsi="Arial"/>
                <w:sz w:val="15"/>
                <w:szCs w:val="15"/>
                <w:color w:val="7B7C80"/>
              </w:rPr>
              <w:t>NQDB</w:t>
            </w:r>
          </w:p>
        </w:tc>
        <w:tc>
          <w:tcPr>
            <w:tcW w:w="840" w:type="dxa"/>
            <w:vAlign w:val="bottom"/>
            <w:tcBorders>
              <w:bottom w:val="single" w:sz="8" w:color="7B7C80"/>
            </w:tcBorders>
          </w:tcPr>
          <w:p>
            <w:pPr>
              <w:spacing w:after="0"/>
              <w:rPr>
                <w:sz w:val="15"/>
                <w:szCs w:val="15"/>
                <w:color w:val="auto"/>
              </w:rPr>
            </w:pPr>
          </w:p>
        </w:tc>
        <w:tc>
          <w:tcPr>
            <w:tcW w:w="240" w:type="dxa"/>
            <w:vAlign w:val="bottom"/>
            <w:tcBorders>
              <w:bottom w:val="single" w:sz="8" w:color="7B7C80"/>
            </w:tcBorders>
          </w:tcPr>
          <w:p>
            <w:pPr>
              <w:ind w:left="160"/>
              <w:spacing w:after="0"/>
              <w:rPr>
                <w:sz w:val="20"/>
                <w:szCs w:val="20"/>
                <w:color w:val="auto"/>
              </w:rPr>
            </w:pPr>
            <w:r>
              <w:rPr>
                <w:rFonts w:ascii="Arial" w:cs="Arial" w:eastAsia="Arial" w:hAnsi="Arial"/>
                <w:sz w:val="15"/>
                <w:szCs w:val="15"/>
                <w:color w:val="7B7C80"/>
                <w:w w:val="71"/>
              </w:rPr>
              <w:t>$</w:t>
            </w:r>
          </w:p>
        </w:tc>
        <w:tc>
          <w:tcPr>
            <w:tcW w:w="760" w:type="dxa"/>
            <w:vAlign w:val="bottom"/>
            <w:tcBorders>
              <w:bottom w:val="single" w:sz="8" w:color="7B7C80"/>
            </w:tcBorders>
          </w:tcPr>
          <w:p>
            <w:pPr>
              <w:jc w:val="right"/>
              <w:ind w:right="31"/>
              <w:spacing w:after="0"/>
              <w:rPr>
                <w:sz w:val="20"/>
                <w:szCs w:val="20"/>
                <w:color w:val="auto"/>
              </w:rPr>
            </w:pPr>
            <w:r>
              <w:rPr>
                <w:rFonts w:ascii="Arial" w:cs="Arial" w:eastAsia="Arial" w:hAnsi="Arial"/>
                <w:sz w:val="15"/>
                <w:szCs w:val="15"/>
                <w:color w:val="7B7C80"/>
              </w:rPr>
              <w:t>0</w:t>
            </w:r>
          </w:p>
        </w:tc>
        <w:tc>
          <w:tcPr>
            <w:tcW w:w="84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$5,557,462</w:t>
            </w:r>
          </w:p>
        </w:tc>
      </w:tr>
      <w:tr>
        <w:trPr>
          <w:trHeight w:val="164"/>
        </w:trPr>
        <w:tc>
          <w:tcPr>
            <w:tcW w:w="4420" w:type="dxa"/>
            <w:vAlign w:val="bottom"/>
            <w:shd w:val="clear" w:color="auto" w:fill="E7E6E7"/>
          </w:tcPr>
          <w:p>
            <w:pPr>
              <w:spacing w:after="0" w:line="164" w:lineRule="exact"/>
              <w:rPr>
                <w:sz w:val="20"/>
                <w:szCs w:val="20"/>
                <w:color w:val="auto"/>
              </w:rPr>
            </w:pPr>
            <w:r>
              <w:rPr>
                <w:rFonts w:ascii="Arial" w:cs="Arial" w:eastAsia="Arial" w:hAnsi="Arial"/>
                <w:sz w:val="15"/>
                <w:szCs w:val="15"/>
                <w:color w:val="7B7C80"/>
              </w:rPr>
              <w:t>McCaughan</w:t>
            </w:r>
          </w:p>
        </w:tc>
        <w:tc>
          <w:tcPr>
            <w:tcW w:w="1480" w:type="dxa"/>
            <w:vAlign w:val="bottom"/>
            <w:shd w:val="clear" w:color="auto" w:fill="E7E6E7"/>
          </w:tcPr>
          <w:p>
            <w:pPr>
              <w:ind w:left="200"/>
              <w:spacing w:after="0" w:line="164" w:lineRule="exact"/>
              <w:rPr>
                <w:sz w:val="20"/>
                <w:szCs w:val="20"/>
                <w:color w:val="auto"/>
              </w:rPr>
            </w:pPr>
            <w:r>
              <w:rPr>
                <w:rFonts w:ascii="Arial" w:cs="Arial" w:eastAsia="Arial" w:hAnsi="Arial"/>
                <w:sz w:val="15"/>
                <w:szCs w:val="15"/>
                <w:color w:val="7B7C80"/>
              </w:rPr>
              <w:t>Qualified Pension</w:t>
            </w:r>
          </w:p>
        </w:tc>
        <w:tc>
          <w:tcPr>
            <w:tcW w:w="840" w:type="dxa"/>
            <w:vAlign w:val="bottom"/>
            <w:shd w:val="clear" w:color="auto" w:fill="E7E6E7"/>
          </w:tcPr>
          <w:p>
            <w:pPr>
              <w:jc w:val="right"/>
              <w:ind w:right="51"/>
              <w:spacing w:after="0" w:line="164" w:lineRule="exact"/>
              <w:rPr>
                <w:sz w:val="20"/>
                <w:szCs w:val="20"/>
                <w:color w:val="auto"/>
              </w:rPr>
            </w:pPr>
            <w:r>
              <w:rPr>
                <w:rFonts w:ascii="Arial" w:cs="Arial" w:eastAsia="Arial" w:hAnsi="Arial"/>
                <w:sz w:val="15"/>
                <w:szCs w:val="15"/>
                <w:color w:val="7B7C80"/>
              </w:rPr>
              <w:t>7</w:t>
            </w:r>
          </w:p>
        </w:tc>
        <w:tc>
          <w:tcPr>
            <w:tcW w:w="240" w:type="dxa"/>
            <w:vAlign w:val="bottom"/>
            <w:shd w:val="clear" w:color="auto" w:fill="E7E6E7"/>
          </w:tcPr>
          <w:p>
            <w:pPr>
              <w:ind w:left="160"/>
              <w:spacing w:after="0" w:line="164" w:lineRule="exact"/>
              <w:rPr>
                <w:sz w:val="20"/>
                <w:szCs w:val="20"/>
                <w:color w:val="auto"/>
              </w:rPr>
            </w:pPr>
            <w:r>
              <w:rPr>
                <w:rFonts w:ascii="Arial" w:cs="Arial" w:eastAsia="Arial" w:hAnsi="Arial"/>
                <w:sz w:val="15"/>
                <w:szCs w:val="15"/>
                <w:color w:val="7B7C80"/>
                <w:w w:val="71"/>
              </w:rPr>
              <w:t>$</w:t>
            </w:r>
          </w:p>
        </w:tc>
        <w:tc>
          <w:tcPr>
            <w:tcW w:w="760" w:type="dxa"/>
            <w:vAlign w:val="bottom"/>
            <w:shd w:val="clear" w:color="auto" w:fill="E7E6E7"/>
          </w:tcPr>
          <w:p>
            <w:pPr>
              <w:jc w:val="right"/>
              <w:ind w:right="31"/>
              <w:spacing w:after="0" w:line="164" w:lineRule="exact"/>
              <w:rPr>
                <w:sz w:val="20"/>
                <w:szCs w:val="20"/>
                <w:color w:val="auto"/>
              </w:rPr>
            </w:pPr>
            <w:r>
              <w:rPr>
                <w:rFonts w:ascii="Arial" w:cs="Arial" w:eastAsia="Arial" w:hAnsi="Arial"/>
                <w:sz w:val="15"/>
                <w:szCs w:val="15"/>
                <w:color w:val="7B7C80"/>
              </w:rPr>
              <w:t>222,713</w:t>
            </w:r>
          </w:p>
        </w:tc>
        <w:tc>
          <w:tcPr>
            <w:tcW w:w="840" w:type="dxa"/>
            <w:vAlign w:val="bottom"/>
            <w:shd w:val="clear" w:color="auto" w:fill="E7E6E7"/>
          </w:tcPr>
          <w:p>
            <w:pPr>
              <w:jc w:val="right"/>
              <w:spacing w:after="0" w:line="164" w:lineRule="exact"/>
              <w:rPr>
                <w:sz w:val="20"/>
                <w:szCs w:val="20"/>
                <w:color w:val="auto"/>
              </w:rPr>
            </w:pPr>
            <w:r>
              <w:rPr>
                <w:rFonts w:ascii="Arial" w:cs="Arial" w:eastAsia="Arial" w:hAnsi="Arial"/>
                <w:sz w:val="15"/>
                <w:szCs w:val="15"/>
                <w:color w:val="7B7C80"/>
              </w:rPr>
              <w:t>$0</w:t>
            </w:r>
          </w:p>
        </w:tc>
      </w:tr>
      <w:tr>
        <w:trPr>
          <w:trHeight w:val="172"/>
        </w:trPr>
        <w:tc>
          <w:tcPr>
            <w:tcW w:w="4420" w:type="dxa"/>
            <w:vAlign w:val="bottom"/>
            <w:tcBorders>
              <w:bottom w:val="single" w:sz="8" w:color="7B7C80"/>
            </w:tcBorders>
            <w:shd w:val="clear" w:color="auto" w:fill="E7E6E7"/>
          </w:tcPr>
          <w:p>
            <w:pPr>
              <w:spacing w:after="0"/>
              <w:rPr>
                <w:sz w:val="14"/>
                <w:szCs w:val="14"/>
                <w:color w:val="auto"/>
              </w:rPr>
            </w:pPr>
          </w:p>
        </w:tc>
        <w:tc>
          <w:tcPr>
            <w:tcW w:w="1480" w:type="dxa"/>
            <w:vAlign w:val="bottom"/>
            <w:tcBorders>
              <w:bottom w:val="single" w:sz="8" w:color="7B7C80"/>
            </w:tcBorders>
            <w:shd w:val="clear" w:color="auto" w:fill="E7E6E7"/>
          </w:tcPr>
          <w:p>
            <w:pPr>
              <w:ind w:left="200"/>
              <w:spacing w:after="0"/>
              <w:rPr>
                <w:sz w:val="20"/>
                <w:szCs w:val="20"/>
                <w:color w:val="auto"/>
              </w:rPr>
            </w:pPr>
            <w:r>
              <w:rPr>
                <w:rFonts w:ascii="Arial" w:cs="Arial" w:eastAsia="Arial" w:hAnsi="Arial"/>
                <w:sz w:val="15"/>
                <w:szCs w:val="15"/>
                <w:color w:val="7B7C80"/>
              </w:rPr>
              <w:t>NQDB</w:t>
            </w:r>
          </w:p>
        </w:tc>
        <w:tc>
          <w:tcPr>
            <w:tcW w:w="840" w:type="dxa"/>
            <w:vAlign w:val="bottom"/>
            <w:tcBorders>
              <w:bottom w:val="single" w:sz="8" w:color="7B7C80"/>
            </w:tcBorders>
            <w:shd w:val="clear" w:color="auto" w:fill="E7E6E7"/>
          </w:tcPr>
          <w:p>
            <w:pPr>
              <w:spacing w:after="0"/>
              <w:rPr>
                <w:sz w:val="14"/>
                <w:szCs w:val="14"/>
                <w:color w:val="auto"/>
              </w:rPr>
            </w:pPr>
          </w:p>
        </w:tc>
        <w:tc>
          <w:tcPr>
            <w:tcW w:w="240" w:type="dxa"/>
            <w:vAlign w:val="bottom"/>
            <w:tcBorders>
              <w:bottom w:val="single" w:sz="8" w:color="7B7C80"/>
            </w:tcBorders>
            <w:shd w:val="clear" w:color="auto" w:fill="E7E6E7"/>
          </w:tcPr>
          <w:p>
            <w:pPr>
              <w:ind w:left="160"/>
              <w:spacing w:after="0"/>
              <w:rPr>
                <w:sz w:val="20"/>
                <w:szCs w:val="20"/>
                <w:color w:val="auto"/>
              </w:rPr>
            </w:pPr>
            <w:r>
              <w:rPr>
                <w:rFonts w:ascii="Arial" w:cs="Arial" w:eastAsia="Arial" w:hAnsi="Arial"/>
                <w:sz w:val="15"/>
                <w:szCs w:val="15"/>
                <w:color w:val="7B7C80"/>
                <w:w w:val="71"/>
              </w:rPr>
              <w:t>$</w:t>
            </w:r>
          </w:p>
        </w:tc>
        <w:tc>
          <w:tcPr>
            <w:tcW w:w="760" w:type="dxa"/>
            <w:vAlign w:val="bottom"/>
            <w:tcBorders>
              <w:bottom w:val="single" w:sz="8" w:color="7B7C80"/>
            </w:tcBorders>
            <w:shd w:val="clear" w:color="auto" w:fill="E7E6E7"/>
          </w:tcPr>
          <w:p>
            <w:pPr>
              <w:jc w:val="right"/>
              <w:ind w:right="31"/>
              <w:spacing w:after="0"/>
              <w:rPr>
                <w:sz w:val="20"/>
                <w:szCs w:val="20"/>
                <w:color w:val="auto"/>
              </w:rPr>
            </w:pPr>
            <w:r>
              <w:rPr>
                <w:rFonts w:ascii="Arial" w:cs="Arial" w:eastAsia="Arial" w:hAnsi="Arial"/>
                <w:sz w:val="15"/>
                <w:szCs w:val="15"/>
                <w:color w:val="7B7C80"/>
                <w:w w:val="95"/>
              </w:rPr>
              <w:t>1,840,190</w:t>
            </w:r>
          </w:p>
        </w:tc>
        <w:tc>
          <w:tcPr>
            <w:tcW w:w="8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5"/>
                <w:szCs w:val="15"/>
                <w:color w:val="7B7C80"/>
              </w:rPr>
              <w:t>$0</w:t>
            </w:r>
          </w:p>
        </w:tc>
      </w:tr>
      <w:tr>
        <w:trPr>
          <w:trHeight w:val="166"/>
        </w:trPr>
        <w:tc>
          <w:tcPr>
            <w:tcW w:w="4420" w:type="dxa"/>
            <w:vAlign w:val="bottom"/>
          </w:tcPr>
          <w:p>
            <w:pPr>
              <w:spacing w:after="0" w:line="166" w:lineRule="exact"/>
              <w:rPr>
                <w:sz w:val="20"/>
                <w:szCs w:val="20"/>
                <w:color w:val="auto"/>
              </w:rPr>
            </w:pPr>
            <w:r>
              <w:rPr>
                <w:rFonts w:ascii="Arial" w:cs="Arial" w:eastAsia="Arial" w:hAnsi="Arial"/>
                <w:sz w:val="15"/>
                <w:szCs w:val="15"/>
                <w:color w:val="7B7C80"/>
              </w:rPr>
              <w:t>Valdés</w:t>
            </w:r>
          </w:p>
        </w:tc>
        <w:tc>
          <w:tcPr>
            <w:tcW w:w="1480" w:type="dxa"/>
            <w:vAlign w:val="bottom"/>
          </w:tcPr>
          <w:p>
            <w:pPr>
              <w:ind w:left="200"/>
              <w:spacing w:after="0" w:line="166" w:lineRule="exact"/>
              <w:rPr>
                <w:sz w:val="20"/>
                <w:szCs w:val="20"/>
                <w:color w:val="auto"/>
              </w:rPr>
            </w:pPr>
            <w:r>
              <w:rPr>
                <w:rFonts w:ascii="Arial" w:cs="Arial" w:eastAsia="Arial" w:hAnsi="Arial"/>
                <w:sz w:val="15"/>
                <w:szCs w:val="15"/>
                <w:color w:val="7B7C80"/>
              </w:rPr>
              <w:t>Qualified Pension</w:t>
            </w:r>
          </w:p>
        </w:tc>
        <w:tc>
          <w:tcPr>
            <w:tcW w:w="840" w:type="dxa"/>
            <w:vAlign w:val="bottom"/>
          </w:tcPr>
          <w:p>
            <w:pPr>
              <w:jc w:val="right"/>
              <w:ind w:right="51"/>
              <w:spacing w:after="0" w:line="166" w:lineRule="exact"/>
              <w:rPr>
                <w:sz w:val="20"/>
                <w:szCs w:val="20"/>
                <w:color w:val="auto"/>
              </w:rPr>
            </w:pPr>
            <w:r>
              <w:rPr>
                <w:rFonts w:ascii="Arial" w:cs="Arial" w:eastAsia="Arial" w:hAnsi="Arial"/>
                <w:sz w:val="15"/>
                <w:szCs w:val="15"/>
                <w:color w:val="7B7C80"/>
              </w:rPr>
              <w:t>7</w:t>
            </w:r>
          </w:p>
        </w:tc>
        <w:tc>
          <w:tcPr>
            <w:tcW w:w="240" w:type="dxa"/>
            <w:vAlign w:val="bottom"/>
          </w:tcPr>
          <w:p>
            <w:pPr>
              <w:ind w:left="160"/>
              <w:spacing w:after="0" w:line="166" w:lineRule="exact"/>
              <w:rPr>
                <w:sz w:val="20"/>
                <w:szCs w:val="20"/>
                <w:color w:val="auto"/>
              </w:rPr>
            </w:pPr>
            <w:r>
              <w:rPr>
                <w:rFonts w:ascii="Arial" w:cs="Arial" w:eastAsia="Arial" w:hAnsi="Arial"/>
                <w:sz w:val="15"/>
                <w:szCs w:val="15"/>
                <w:color w:val="7B7C80"/>
                <w:w w:val="71"/>
              </w:rPr>
              <w:t>$</w:t>
            </w:r>
          </w:p>
        </w:tc>
        <w:tc>
          <w:tcPr>
            <w:tcW w:w="760" w:type="dxa"/>
            <w:vAlign w:val="bottom"/>
          </w:tcPr>
          <w:p>
            <w:pPr>
              <w:jc w:val="right"/>
              <w:ind w:right="31"/>
              <w:spacing w:after="0" w:line="166" w:lineRule="exact"/>
              <w:rPr>
                <w:sz w:val="20"/>
                <w:szCs w:val="20"/>
                <w:color w:val="auto"/>
              </w:rPr>
            </w:pPr>
            <w:r>
              <w:rPr>
                <w:rFonts w:ascii="Arial" w:cs="Arial" w:eastAsia="Arial" w:hAnsi="Arial"/>
                <w:sz w:val="15"/>
                <w:szCs w:val="15"/>
                <w:color w:val="7B7C80"/>
              </w:rPr>
              <w:t>209,757</w:t>
            </w:r>
          </w:p>
        </w:tc>
        <w:tc>
          <w:tcPr>
            <w:tcW w:w="840" w:type="dxa"/>
            <w:vAlign w:val="bottom"/>
          </w:tcPr>
          <w:p>
            <w:pPr>
              <w:jc w:val="right"/>
              <w:spacing w:after="0" w:line="166" w:lineRule="exact"/>
              <w:rPr>
                <w:sz w:val="20"/>
                <w:szCs w:val="20"/>
                <w:color w:val="auto"/>
              </w:rPr>
            </w:pPr>
            <w:r>
              <w:rPr>
                <w:rFonts w:ascii="Arial" w:cs="Arial" w:eastAsia="Arial" w:hAnsi="Arial"/>
                <w:sz w:val="15"/>
                <w:szCs w:val="15"/>
                <w:color w:val="7B7C80"/>
              </w:rPr>
              <w:t>$0</w:t>
            </w:r>
          </w:p>
        </w:tc>
      </w:tr>
      <w:tr>
        <w:trPr>
          <w:trHeight w:val="184"/>
        </w:trPr>
        <w:tc>
          <w:tcPr>
            <w:tcW w:w="4420" w:type="dxa"/>
            <w:vAlign w:val="bottom"/>
            <w:tcBorders>
              <w:bottom w:val="single" w:sz="8" w:color="009CCC"/>
            </w:tcBorders>
          </w:tcPr>
          <w:p>
            <w:pPr>
              <w:spacing w:after="0"/>
              <w:rPr>
                <w:sz w:val="15"/>
                <w:szCs w:val="15"/>
                <w:color w:val="auto"/>
              </w:rPr>
            </w:pPr>
          </w:p>
        </w:tc>
        <w:tc>
          <w:tcPr>
            <w:tcW w:w="1480" w:type="dxa"/>
            <w:vAlign w:val="bottom"/>
            <w:tcBorders>
              <w:bottom w:val="single" w:sz="8" w:color="009CCC"/>
            </w:tcBorders>
          </w:tcPr>
          <w:p>
            <w:pPr>
              <w:ind w:left="200"/>
              <w:spacing w:after="0"/>
              <w:rPr>
                <w:sz w:val="20"/>
                <w:szCs w:val="20"/>
                <w:color w:val="auto"/>
              </w:rPr>
            </w:pPr>
            <w:r>
              <w:rPr>
                <w:rFonts w:ascii="Arial" w:cs="Arial" w:eastAsia="Arial" w:hAnsi="Arial"/>
                <w:sz w:val="15"/>
                <w:szCs w:val="15"/>
                <w:color w:val="7B7C80"/>
              </w:rPr>
              <w:t>NQDB</w:t>
            </w:r>
          </w:p>
        </w:tc>
        <w:tc>
          <w:tcPr>
            <w:tcW w:w="840" w:type="dxa"/>
            <w:vAlign w:val="bottom"/>
            <w:tcBorders>
              <w:bottom w:val="single" w:sz="8" w:color="009CCC"/>
            </w:tcBorders>
          </w:tcPr>
          <w:p>
            <w:pPr>
              <w:spacing w:after="0"/>
              <w:rPr>
                <w:sz w:val="15"/>
                <w:szCs w:val="15"/>
                <w:color w:val="auto"/>
              </w:rPr>
            </w:pPr>
          </w:p>
        </w:tc>
        <w:tc>
          <w:tcPr>
            <w:tcW w:w="240" w:type="dxa"/>
            <w:vAlign w:val="bottom"/>
            <w:tcBorders>
              <w:bottom w:val="single" w:sz="8" w:color="009CCC"/>
            </w:tcBorders>
          </w:tcPr>
          <w:p>
            <w:pPr>
              <w:ind w:left="160"/>
              <w:spacing w:after="0"/>
              <w:rPr>
                <w:sz w:val="20"/>
                <w:szCs w:val="20"/>
                <w:color w:val="auto"/>
              </w:rPr>
            </w:pPr>
            <w:r>
              <w:rPr>
                <w:rFonts w:ascii="Arial" w:cs="Arial" w:eastAsia="Arial" w:hAnsi="Arial"/>
                <w:sz w:val="15"/>
                <w:szCs w:val="15"/>
                <w:color w:val="7B7C80"/>
                <w:w w:val="71"/>
              </w:rPr>
              <w:t>$</w:t>
            </w:r>
          </w:p>
        </w:tc>
        <w:tc>
          <w:tcPr>
            <w:tcW w:w="760" w:type="dxa"/>
            <w:vAlign w:val="bottom"/>
            <w:tcBorders>
              <w:bottom w:val="single" w:sz="8" w:color="009CCC"/>
            </w:tcBorders>
          </w:tcPr>
          <w:p>
            <w:pPr>
              <w:jc w:val="right"/>
              <w:ind w:right="31"/>
              <w:spacing w:after="0"/>
              <w:rPr>
                <w:sz w:val="20"/>
                <w:szCs w:val="20"/>
                <w:color w:val="auto"/>
              </w:rPr>
            </w:pPr>
            <w:r>
              <w:rPr>
                <w:rFonts w:ascii="Arial" w:cs="Arial" w:eastAsia="Arial" w:hAnsi="Arial"/>
                <w:sz w:val="15"/>
                <w:szCs w:val="15"/>
                <w:color w:val="7B7C80"/>
              </w:rPr>
              <w:t>480,031</w:t>
            </w:r>
          </w:p>
        </w:tc>
        <w:tc>
          <w:tcPr>
            <w:tcW w:w="840" w:type="dxa"/>
            <w:vAlign w:val="bottom"/>
            <w:tcBorders>
              <w:bottom w:val="single" w:sz="8" w:color="009CCC"/>
            </w:tcBorders>
          </w:tcPr>
          <w:p>
            <w:pPr>
              <w:jc w:val="right"/>
              <w:spacing w:after="0"/>
              <w:rPr>
                <w:sz w:val="20"/>
                <w:szCs w:val="20"/>
                <w:color w:val="auto"/>
              </w:rPr>
            </w:pPr>
            <w:r>
              <w:rPr>
                <w:rFonts w:ascii="Arial" w:cs="Arial" w:eastAsia="Arial" w:hAnsi="Arial"/>
                <w:sz w:val="15"/>
                <w:szCs w:val="15"/>
                <w:color w:val="7B7C80"/>
              </w:rPr>
              <w:t>$0</w:t>
            </w:r>
          </w:p>
        </w:tc>
      </w:tr>
    </w:tbl>
    <w:p>
      <w:pPr>
        <w:spacing w:after="0" w:line="187" w:lineRule="exact"/>
        <w:rPr>
          <w:sz w:val="20"/>
          <w:szCs w:val="20"/>
          <w:color w:val="auto"/>
        </w:rPr>
      </w:pPr>
    </w:p>
    <w:p>
      <w:pPr>
        <w:ind w:left="1820" w:hanging="455"/>
        <w:spacing w:after="0"/>
        <w:tabs>
          <w:tab w:leader="none" w:pos="1820" w:val="left"/>
        </w:tabs>
        <w:numPr>
          <w:ilvl w:val="2"/>
          <w:numId w:val="57"/>
        </w:numPr>
        <w:rPr>
          <w:rFonts w:ascii="Arial" w:cs="Arial" w:eastAsia="Arial" w:hAnsi="Arial"/>
          <w:sz w:val="12"/>
          <w:szCs w:val="12"/>
          <w:color w:val="7B7C80"/>
        </w:rPr>
      </w:pPr>
      <w:r>
        <w:rPr>
          <w:rFonts w:ascii="Arial" w:cs="Arial" w:eastAsia="Arial" w:hAnsi="Arial"/>
          <w:sz w:val="12"/>
          <w:szCs w:val="12"/>
          <w:color w:val="7B7C80"/>
        </w:rPr>
        <w:t>As of December 31, 2017.</w:t>
      </w:r>
    </w:p>
    <w:p>
      <w:pPr>
        <w:spacing w:after="0" w:line="136" w:lineRule="exact"/>
        <w:rPr>
          <w:rFonts w:ascii="Arial" w:cs="Arial" w:eastAsia="Arial" w:hAnsi="Arial"/>
          <w:sz w:val="12"/>
          <w:szCs w:val="12"/>
          <w:color w:val="7B7C80"/>
        </w:rPr>
      </w:pPr>
    </w:p>
    <w:p>
      <w:pPr>
        <w:ind w:left="1820" w:hanging="455"/>
        <w:spacing w:after="0"/>
        <w:tabs>
          <w:tab w:leader="none" w:pos="1820" w:val="left"/>
        </w:tabs>
        <w:numPr>
          <w:ilvl w:val="2"/>
          <w:numId w:val="57"/>
        </w:numPr>
        <w:rPr>
          <w:rFonts w:ascii="Arial" w:cs="Arial" w:eastAsia="Arial" w:hAnsi="Arial"/>
          <w:sz w:val="12"/>
          <w:szCs w:val="12"/>
          <w:color w:val="7B7C80"/>
        </w:rPr>
      </w:pPr>
      <w:r>
        <w:rPr>
          <w:rFonts w:ascii="Arial" w:cs="Arial" w:eastAsia="Arial" w:hAnsi="Arial"/>
          <w:sz w:val="12"/>
          <w:szCs w:val="12"/>
          <w:color w:val="7B7C80"/>
        </w:rPr>
        <w:t>Benefit calculations have been made using the following assumptions:</w:t>
      </w:r>
    </w:p>
    <w:p>
      <w:pPr>
        <w:spacing w:after="0" w:line="182" w:lineRule="exact"/>
        <w:rPr>
          <w:rFonts w:ascii="Arial" w:cs="Arial" w:eastAsia="Arial" w:hAnsi="Arial"/>
          <w:sz w:val="12"/>
          <w:szCs w:val="12"/>
          <w:color w:val="7B7C80"/>
        </w:rPr>
      </w:pPr>
    </w:p>
    <w:p>
      <w:pPr>
        <w:jc w:val="both"/>
        <w:ind w:left="900" w:hanging="450"/>
        <w:spacing w:after="0" w:line="237" w:lineRule="auto"/>
        <w:tabs>
          <w:tab w:leader="none" w:pos="900" w:val="left"/>
        </w:tabs>
        <w:numPr>
          <w:ilvl w:val="0"/>
          <w:numId w:val="57"/>
        </w:numPr>
        <w:rPr>
          <w:rFonts w:ascii="Arial" w:cs="Arial" w:eastAsia="Arial" w:hAnsi="Arial"/>
          <w:sz w:val="15"/>
          <w:szCs w:val="15"/>
          <w:color w:val="7B7C80"/>
        </w:rPr>
      </w:pPr>
      <w:r>
        <w:rPr>
          <w:rFonts w:ascii="Arial" w:cs="Arial" w:eastAsia="Arial" w:hAnsi="Arial"/>
          <w:sz w:val="12"/>
          <w:szCs w:val="12"/>
          <w:color w:val="7B7C80"/>
        </w:rPr>
        <w:t>Annuity Basis Discount Rate (for Traditional Benefit): 4.15% for December 31, 2016 and 3.60% for December 31, 2017 benefits. Traditional benefits under the qualified DB Plan must be paid as annuity. Under the NQDB Plan, Named Executive Officers may elect whether benefits will be paid as annuity or in a single sum payment. Ms. Strable has elected her NQDB benefit to be paid as an annuity;</w:t>
      </w:r>
    </w:p>
    <w:p>
      <w:pPr>
        <w:spacing w:after="0" w:line="152" w:lineRule="exact"/>
        <w:rPr>
          <w:rFonts w:ascii="Arial" w:cs="Arial" w:eastAsia="Arial" w:hAnsi="Arial"/>
          <w:sz w:val="15"/>
          <w:szCs w:val="15"/>
          <w:color w:val="7B7C80"/>
        </w:rPr>
      </w:pPr>
    </w:p>
    <w:p>
      <w:pPr>
        <w:ind w:left="900" w:hanging="450"/>
        <w:spacing w:after="0"/>
        <w:tabs>
          <w:tab w:leader="none" w:pos="900" w:val="left"/>
        </w:tabs>
        <w:numPr>
          <w:ilvl w:val="0"/>
          <w:numId w:val="57"/>
        </w:numPr>
        <w:rPr>
          <w:rFonts w:ascii="Arial" w:cs="Arial" w:eastAsia="Arial" w:hAnsi="Arial"/>
          <w:sz w:val="15"/>
          <w:szCs w:val="15"/>
          <w:color w:val="7B7C80"/>
        </w:rPr>
      </w:pPr>
      <w:r>
        <w:rPr>
          <w:rFonts w:ascii="Arial" w:cs="Arial" w:eastAsia="Arial" w:hAnsi="Arial"/>
          <w:sz w:val="12"/>
          <w:szCs w:val="12"/>
          <w:color w:val="7B7C80"/>
        </w:rPr>
        <w:t>Lump Sum Basis Discount Rate (for Traditional Benefit): for those Named Executive Officers who have elected to receive their traditional NQDB benefits in a single lump sum payment</w:t>
      </w:r>
    </w:p>
    <w:p>
      <w:pPr>
        <w:ind w:left="900"/>
        <w:spacing w:after="0" w:line="293" w:lineRule="auto"/>
        <w:rPr>
          <w:rFonts w:ascii="Arial" w:cs="Arial" w:eastAsia="Arial" w:hAnsi="Arial"/>
          <w:sz w:val="15"/>
          <w:szCs w:val="15"/>
          <w:color w:val="7B7C80"/>
        </w:rPr>
      </w:pPr>
      <w:r>
        <w:rPr>
          <w:rFonts w:ascii="Arial" w:cs="Arial" w:eastAsia="Arial" w:hAnsi="Arial"/>
          <w:sz w:val="12"/>
          <w:szCs w:val="12"/>
          <w:color w:val="7B7C80"/>
        </w:rPr>
        <w:t>(Messrs. Houston, Lillis and Valdés and Ms. Everett) the present value of their December 31, 2017 Traditional NQDB benefits have been determined using a discount rate of: 5.70% for expected lump sums in 2019 or later; 6.30% for lump sum payments expected to be made in 2018.</w:t>
      </w:r>
    </w:p>
    <w:p>
      <w:pPr>
        <w:spacing w:after="0" w:line="141" w:lineRule="exact"/>
        <w:rPr>
          <w:rFonts w:ascii="Arial" w:cs="Arial" w:eastAsia="Arial" w:hAnsi="Arial"/>
          <w:sz w:val="15"/>
          <w:szCs w:val="15"/>
          <w:color w:val="7B7C80"/>
        </w:rPr>
      </w:pPr>
    </w:p>
    <w:p>
      <w:pPr>
        <w:ind w:left="900" w:hanging="450"/>
        <w:spacing w:after="0"/>
        <w:tabs>
          <w:tab w:leader="none" w:pos="900" w:val="left"/>
        </w:tabs>
        <w:numPr>
          <w:ilvl w:val="0"/>
          <w:numId w:val="57"/>
        </w:numPr>
        <w:rPr>
          <w:rFonts w:ascii="Arial" w:cs="Arial" w:eastAsia="Arial" w:hAnsi="Arial"/>
          <w:sz w:val="15"/>
          <w:szCs w:val="15"/>
          <w:color w:val="7B7C80"/>
        </w:rPr>
      </w:pPr>
      <w:r>
        <w:rPr>
          <w:rFonts w:ascii="Arial" w:cs="Arial" w:eastAsia="Arial" w:hAnsi="Arial"/>
          <w:sz w:val="12"/>
          <w:szCs w:val="12"/>
          <w:color w:val="7B7C80"/>
        </w:rPr>
        <w:t>Annuity Mortality: RP-2006 Rates (baseline from SOA RP-2014)</w:t>
      </w:r>
    </w:p>
    <w:p>
      <w:pPr>
        <w:spacing w:after="0" w:line="357" w:lineRule="exact"/>
        <w:rPr>
          <w:rFonts w:ascii="Arial" w:cs="Arial" w:eastAsia="Arial" w:hAnsi="Arial"/>
          <w:sz w:val="15"/>
          <w:szCs w:val="15"/>
          <w:color w:val="7B7C80"/>
        </w:rPr>
      </w:pPr>
    </w:p>
    <w:p>
      <w:pPr>
        <w:ind w:left="1360" w:hanging="452"/>
        <w:spacing w:after="0" w:line="237" w:lineRule="auto"/>
        <w:tabs>
          <w:tab w:leader="none" w:pos="1360" w:val="left"/>
        </w:tabs>
        <w:numPr>
          <w:ilvl w:val="1"/>
          <w:numId w:val="57"/>
        </w:numPr>
        <w:rPr>
          <w:rFonts w:ascii="Arial" w:cs="Arial" w:eastAsia="Arial" w:hAnsi="Arial"/>
          <w:sz w:val="15"/>
          <w:szCs w:val="15"/>
          <w:color w:val="7B7C80"/>
        </w:rPr>
      </w:pPr>
      <w:r>
        <w:rPr>
          <w:rFonts w:ascii="Arial" w:cs="Arial" w:eastAsia="Arial" w:hAnsi="Arial"/>
          <w:sz w:val="12"/>
          <w:szCs w:val="12"/>
          <w:color w:val="7B7C80"/>
        </w:rPr>
        <w:t>Improvement: For December 2016, RPEC-2014-v2016 model using historical data through 2014 (graduated data through 2012). For December 31, 2017, RPEC-2014-v2017 model using historical data through 2015 (graduated data through 2013).</w:t>
      </w:r>
    </w:p>
    <w:p>
      <w:pPr>
        <w:spacing w:after="0" w:line="182" w:lineRule="exact"/>
        <w:rPr>
          <w:rFonts w:ascii="Arial" w:cs="Arial" w:eastAsia="Arial" w:hAnsi="Arial"/>
          <w:sz w:val="15"/>
          <w:szCs w:val="15"/>
          <w:color w:val="7B7C80"/>
        </w:rPr>
      </w:pPr>
    </w:p>
    <w:p>
      <w:pPr>
        <w:ind w:left="1360" w:hanging="452"/>
        <w:spacing w:after="0"/>
        <w:tabs>
          <w:tab w:leader="none" w:pos="1360" w:val="left"/>
        </w:tabs>
        <w:numPr>
          <w:ilvl w:val="1"/>
          <w:numId w:val="57"/>
        </w:numPr>
        <w:rPr>
          <w:rFonts w:ascii="Arial" w:cs="Arial" w:eastAsia="Arial" w:hAnsi="Arial"/>
          <w:sz w:val="15"/>
          <w:szCs w:val="15"/>
          <w:color w:val="7B7C80"/>
        </w:rPr>
      </w:pPr>
      <w:r>
        <w:rPr>
          <w:rFonts w:ascii="Arial" w:cs="Arial" w:eastAsia="Arial" w:hAnsi="Arial"/>
          <w:sz w:val="12"/>
          <w:szCs w:val="12"/>
          <w:color w:val="7B7C80"/>
        </w:rPr>
        <w:t>Convergence: 7-year to SSA 2010-2088 improvement scale (SSA Trustees Report 2014).;</w:t>
      </w:r>
    </w:p>
    <w:p>
      <w:pPr>
        <w:spacing w:after="0" w:line="354" w:lineRule="exact"/>
        <w:rPr>
          <w:rFonts w:ascii="Arial" w:cs="Arial" w:eastAsia="Arial" w:hAnsi="Arial"/>
          <w:sz w:val="15"/>
          <w:szCs w:val="15"/>
          <w:color w:val="7B7C80"/>
        </w:rPr>
      </w:pPr>
    </w:p>
    <w:p>
      <w:pPr>
        <w:ind w:left="900" w:hanging="450"/>
        <w:spacing w:after="0"/>
        <w:tabs>
          <w:tab w:leader="none" w:pos="900" w:val="left"/>
        </w:tabs>
        <w:numPr>
          <w:ilvl w:val="0"/>
          <w:numId w:val="57"/>
        </w:numPr>
        <w:rPr>
          <w:rFonts w:ascii="Arial" w:cs="Arial" w:eastAsia="Arial" w:hAnsi="Arial"/>
          <w:sz w:val="15"/>
          <w:szCs w:val="15"/>
          <w:color w:val="7B7C80"/>
        </w:rPr>
      </w:pPr>
      <w:r>
        <w:rPr>
          <w:rFonts w:ascii="Arial" w:cs="Arial" w:eastAsia="Arial" w:hAnsi="Arial"/>
          <w:sz w:val="12"/>
          <w:szCs w:val="12"/>
          <w:color w:val="7B7C80"/>
        </w:rPr>
        <w:t>Lump Sum Mortality: 1994 GAR Projected to 2008 Unisex, Scale AA;</w:t>
      </w:r>
    </w:p>
    <w:p>
      <w:pPr>
        <w:spacing w:after="0" w:line="171" w:lineRule="exact"/>
        <w:rPr>
          <w:rFonts w:ascii="Arial" w:cs="Arial" w:eastAsia="Arial" w:hAnsi="Arial"/>
          <w:sz w:val="15"/>
          <w:szCs w:val="15"/>
          <w:color w:val="7B7C80"/>
        </w:rPr>
      </w:pPr>
    </w:p>
    <w:p>
      <w:pPr>
        <w:ind w:left="900" w:hanging="450"/>
        <w:spacing w:after="0"/>
        <w:tabs>
          <w:tab w:leader="none" w:pos="900" w:val="left"/>
        </w:tabs>
        <w:numPr>
          <w:ilvl w:val="0"/>
          <w:numId w:val="57"/>
        </w:numPr>
        <w:rPr>
          <w:rFonts w:ascii="Arial" w:cs="Arial" w:eastAsia="Arial" w:hAnsi="Arial"/>
          <w:sz w:val="15"/>
          <w:szCs w:val="15"/>
          <w:color w:val="7B7C80"/>
        </w:rPr>
      </w:pPr>
      <w:r>
        <w:rPr>
          <w:rFonts w:ascii="Arial" w:cs="Arial" w:eastAsia="Arial" w:hAnsi="Arial"/>
          <w:sz w:val="12"/>
          <w:szCs w:val="12"/>
          <w:color w:val="7B7C80"/>
        </w:rPr>
        <w:t>Cost of living increase: 1.5% for December 31, 2016 benefits and December 31, 2017 benefits;</w:t>
      </w:r>
    </w:p>
    <w:p>
      <w:pPr>
        <w:spacing w:after="0" w:line="185" w:lineRule="exact"/>
        <w:rPr>
          <w:rFonts w:ascii="Arial" w:cs="Arial" w:eastAsia="Arial" w:hAnsi="Arial"/>
          <w:sz w:val="15"/>
          <w:szCs w:val="15"/>
          <w:color w:val="7B7C80"/>
        </w:rPr>
      </w:pPr>
    </w:p>
    <w:p>
      <w:pPr>
        <w:ind w:left="900" w:right="20" w:hanging="450"/>
        <w:spacing w:after="0" w:line="237" w:lineRule="auto"/>
        <w:tabs>
          <w:tab w:leader="none" w:pos="900" w:val="left"/>
        </w:tabs>
        <w:numPr>
          <w:ilvl w:val="0"/>
          <w:numId w:val="57"/>
        </w:numPr>
        <w:rPr>
          <w:rFonts w:ascii="Arial" w:cs="Arial" w:eastAsia="Arial" w:hAnsi="Arial"/>
          <w:sz w:val="15"/>
          <w:szCs w:val="15"/>
          <w:color w:val="7B7C80"/>
        </w:rPr>
      </w:pPr>
      <w:r>
        <w:rPr>
          <w:rFonts w:ascii="Arial" w:cs="Arial" w:eastAsia="Arial" w:hAnsi="Arial"/>
          <w:sz w:val="12"/>
          <w:szCs w:val="12"/>
          <w:color w:val="7B7C80"/>
        </w:rPr>
        <w:t>Retirement age of 65 for Mr. Houston and Mses. Strable and Everett, who will have reduced benefits prior to that point. Retirement age of 65 for Mr. Valdés frozen traditional benefit plus current cash balance account. Current cash balance account for Mr. McCaughan;</w:t>
      </w:r>
    </w:p>
    <w:p>
      <w:pPr>
        <w:spacing w:after="0" w:line="174" w:lineRule="exact"/>
        <w:rPr>
          <w:rFonts w:ascii="Arial" w:cs="Arial" w:eastAsia="Arial" w:hAnsi="Arial"/>
          <w:sz w:val="15"/>
          <w:szCs w:val="15"/>
          <w:color w:val="7B7C80"/>
        </w:rPr>
      </w:pPr>
    </w:p>
    <w:p>
      <w:pPr>
        <w:ind w:left="900" w:right="20" w:hanging="450"/>
        <w:spacing w:after="0" w:line="237" w:lineRule="auto"/>
        <w:tabs>
          <w:tab w:leader="none" w:pos="900" w:val="left"/>
        </w:tabs>
        <w:numPr>
          <w:ilvl w:val="0"/>
          <w:numId w:val="57"/>
        </w:numPr>
        <w:rPr>
          <w:rFonts w:ascii="Arial" w:cs="Arial" w:eastAsia="Arial" w:hAnsi="Arial"/>
          <w:sz w:val="15"/>
          <w:szCs w:val="15"/>
          <w:color w:val="7B7C80"/>
        </w:rPr>
      </w:pPr>
      <w:r>
        <w:rPr>
          <w:rFonts w:ascii="Arial" w:cs="Arial" w:eastAsia="Arial" w:hAnsi="Arial"/>
          <w:sz w:val="12"/>
          <w:szCs w:val="12"/>
          <w:color w:val="7B7C80"/>
        </w:rPr>
        <w:t>The present value of the cash balance benefit is the current account balance projected with the cash balance interest crediting rate to age 65 and then discounted back to the current age using the annuity basis discount rate with no mortality (Mr. McCaughan's and Mr. Valdés' cash balance account); and</w:t>
      </w:r>
    </w:p>
    <w:p>
      <w:pPr>
        <w:spacing w:after="0" w:line="148" w:lineRule="exact"/>
        <w:rPr>
          <w:rFonts w:ascii="Arial" w:cs="Arial" w:eastAsia="Arial" w:hAnsi="Arial"/>
          <w:sz w:val="15"/>
          <w:szCs w:val="15"/>
          <w:color w:val="7B7C80"/>
        </w:rPr>
      </w:pPr>
    </w:p>
    <w:p>
      <w:pPr>
        <w:ind w:left="900" w:hanging="450"/>
        <w:spacing w:after="0"/>
        <w:tabs>
          <w:tab w:leader="none" w:pos="900" w:val="left"/>
        </w:tabs>
        <w:numPr>
          <w:ilvl w:val="0"/>
          <w:numId w:val="57"/>
        </w:numPr>
        <w:rPr>
          <w:rFonts w:ascii="Arial" w:cs="Arial" w:eastAsia="Arial" w:hAnsi="Arial"/>
          <w:sz w:val="15"/>
          <w:szCs w:val="15"/>
          <w:color w:val="7B7C80"/>
        </w:rPr>
      </w:pPr>
      <w:r>
        <w:rPr>
          <w:rFonts w:ascii="Arial" w:cs="Arial" w:eastAsia="Arial" w:hAnsi="Arial"/>
          <w:sz w:val="12"/>
          <w:szCs w:val="12"/>
          <w:color w:val="7B7C80"/>
        </w:rPr>
        <w:t>Cash balance interest crediting rate of 5.5% for December 31, 2016, and 5.0% for December 31,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107950</wp:posOffset>
            </wp:positionV>
            <wp:extent cx="960120" cy="28384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0"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49</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52" w:name="page53"/>
    <w:bookmarkEnd w:id="52"/>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4" w:lineRule="exact"/>
        <w:rPr>
          <w:sz w:val="20"/>
          <w:szCs w:val="20"/>
          <w:color w:val="auto"/>
        </w:rPr>
      </w:pPr>
    </w:p>
    <w:p>
      <w:pPr>
        <w:ind w:left="448" w:hanging="448"/>
        <w:spacing w:after="0" w:line="253" w:lineRule="auto"/>
        <w:tabs>
          <w:tab w:leader="none" w:pos="448" w:val="left"/>
        </w:tabs>
        <w:numPr>
          <w:ilvl w:val="0"/>
          <w:numId w:val="58"/>
        </w:numPr>
        <w:rPr>
          <w:rFonts w:ascii="Arial" w:cs="Arial" w:eastAsia="Arial" w:hAnsi="Arial"/>
          <w:sz w:val="12"/>
          <w:szCs w:val="12"/>
          <w:color w:val="7B7C80"/>
        </w:rPr>
      </w:pPr>
      <w:r>
        <w:rPr>
          <w:rFonts w:ascii="Arial" w:cs="Arial" w:eastAsia="Arial" w:hAnsi="Arial"/>
          <w:sz w:val="12"/>
          <w:szCs w:val="12"/>
          <w:color w:val="7B7C80"/>
        </w:rPr>
        <w:t>Mr. Lillis retired May 1, 2017, and received a single sum payment under the NQDB plan following the six month delay required for specified employees under Tax Code Section 409A. Monthly annuity payments began under the qualified pension plan June 30, 2017, and the payments during the fiscal year represent the sum of the seven payments made during 2017.</w:t>
      </w:r>
    </w:p>
    <w:p>
      <w:pPr>
        <w:spacing w:after="0" w:line="14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Non Qualified Deferred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873125</wp:posOffset>
            </wp:positionH>
            <wp:positionV relativeFrom="paragraph">
              <wp:posOffset>125730</wp:posOffset>
            </wp:positionV>
            <wp:extent cx="5332095" cy="698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5332095"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368"/>
        <w:spacing w:after="0"/>
        <w:rPr>
          <w:sz w:val="20"/>
          <w:szCs w:val="20"/>
          <w:color w:val="auto"/>
        </w:rPr>
      </w:pPr>
      <w:r>
        <w:rPr>
          <w:rFonts w:ascii="Arial" w:cs="Arial" w:eastAsia="Arial" w:hAnsi="Arial"/>
          <w:sz w:val="12"/>
          <w:szCs w:val="12"/>
          <w:b w:val="1"/>
          <w:bCs w:val="1"/>
          <w:color w:val="009CCC"/>
        </w:rPr>
        <w:t>Named Executive</w:t>
      </w:r>
    </w:p>
    <w:p>
      <w:pPr>
        <w:spacing w:after="0" w:line="9" w:lineRule="exact"/>
        <w:rPr>
          <w:sz w:val="20"/>
          <w:szCs w:val="20"/>
          <w:color w:val="auto"/>
        </w:rPr>
      </w:pPr>
    </w:p>
    <w:p>
      <w:pPr>
        <w:ind w:left="1368"/>
        <w:spacing w:after="0"/>
        <w:rPr>
          <w:sz w:val="20"/>
          <w:szCs w:val="20"/>
          <w:color w:val="auto"/>
        </w:rPr>
      </w:pPr>
      <w:r>
        <w:rPr>
          <w:rFonts w:ascii="Arial" w:cs="Arial" w:eastAsia="Arial" w:hAnsi="Arial"/>
          <w:sz w:val="12"/>
          <w:szCs w:val="12"/>
          <w:b w:val="1"/>
          <w:bCs w:val="1"/>
          <w:color w:val="009CCC"/>
        </w:rPr>
        <w:t>Officer</w:t>
      </w:r>
    </w:p>
    <w:p>
      <w:pPr>
        <w:spacing w:after="0" w:line="20" w:lineRule="exact"/>
        <w:rPr>
          <w:sz w:val="20"/>
          <w:szCs w:val="20"/>
          <w:color w:val="auto"/>
        </w:rPr>
      </w:pPr>
      <w:r>
        <w:rPr>
          <w:sz w:val="20"/>
          <w:szCs w:val="20"/>
          <w:color w:val="auto"/>
        </w:rPr>
        <w:br w:type="column"/>
      </w:r>
    </w:p>
    <w:p>
      <w:pPr>
        <w:spacing w:after="0" w:line="316"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38"/>
        </w:trPr>
        <w:tc>
          <w:tcPr>
            <w:tcW w:w="920" w:type="dxa"/>
            <w:vAlign w:val="bottom"/>
          </w:tcPr>
          <w:p>
            <w:pPr>
              <w:jc w:val="right"/>
              <w:ind w:right="59"/>
              <w:spacing w:after="0"/>
              <w:rPr>
                <w:sz w:val="20"/>
                <w:szCs w:val="20"/>
                <w:color w:val="auto"/>
              </w:rPr>
            </w:pPr>
            <w:r>
              <w:rPr>
                <w:rFonts w:ascii="Arial" w:cs="Arial" w:eastAsia="Arial" w:hAnsi="Arial"/>
                <w:sz w:val="12"/>
                <w:szCs w:val="12"/>
                <w:b w:val="1"/>
                <w:bCs w:val="1"/>
                <w:color w:val="009CCC"/>
              </w:rPr>
              <w:t>Executive</w:t>
            </w:r>
          </w:p>
        </w:tc>
        <w:tc>
          <w:tcPr>
            <w:tcW w:w="920" w:type="dxa"/>
            <w:vAlign w:val="bottom"/>
          </w:tcPr>
          <w:p>
            <w:pPr>
              <w:jc w:val="right"/>
              <w:spacing w:after="0"/>
              <w:rPr>
                <w:sz w:val="20"/>
                <w:szCs w:val="20"/>
                <w:color w:val="auto"/>
              </w:rPr>
            </w:pPr>
            <w:r>
              <w:rPr>
                <w:rFonts w:ascii="Arial" w:cs="Arial" w:eastAsia="Arial" w:hAnsi="Arial"/>
                <w:sz w:val="12"/>
                <w:szCs w:val="12"/>
                <w:b w:val="1"/>
                <w:bCs w:val="1"/>
                <w:color w:val="009CCC"/>
              </w:rPr>
              <w:t>Principal Life</w:t>
            </w:r>
          </w:p>
        </w:tc>
      </w:tr>
      <w:tr>
        <w:trPr>
          <w:trHeight w:val="137"/>
        </w:trPr>
        <w:tc>
          <w:tcPr>
            <w:tcW w:w="920" w:type="dxa"/>
            <w:vAlign w:val="bottom"/>
          </w:tcPr>
          <w:p>
            <w:pPr>
              <w:jc w:val="right"/>
              <w:ind w:right="59"/>
              <w:spacing w:after="0"/>
              <w:rPr>
                <w:sz w:val="20"/>
                <w:szCs w:val="20"/>
                <w:color w:val="auto"/>
              </w:rPr>
            </w:pPr>
            <w:r>
              <w:rPr>
                <w:rFonts w:ascii="Arial" w:cs="Arial" w:eastAsia="Arial" w:hAnsi="Arial"/>
                <w:sz w:val="12"/>
                <w:szCs w:val="12"/>
                <w:b w:val="1"/>
                <w:bCs w:val="1"/>
                <w:color w:val="009CCC"/>
                <w:w w:val="99"/>
              </w:rPr>
              <w:t>Contributions</w:t>
            </w:r>
          </w:p>
        </w:tc>
        <w:tc>
          <w:tcPr>
            <w:tcW w:w="920" w:type="dxa"/>
            <w:vAlign w:val="bottom"/>
          </w:tcPr>
          <w:p>
            <w:pPr>
              <w:jc w:val="right"/>
              <w:spacing w:after="0"/>
              <w:rPr>
                <w:sz w:val="20"/>
                <w:szCs w:val="20"/>
                <w:color w:val="auto"/>
              </w:rPr>
            </w:pPr>
            <w:r>
              <w:rPr>
                <w:rFonts w:ascii="Arial" w:cs="Arial" w:eastAsia="Arial" w:hAnsi="Arial"/>
                <w:sz w:val="12"/>
                <w:szCs w:val="12"/>
                <w:b w:val="1"/>
                <w:bCs w:val="1"/>
                <w:color w:val="009CCC"/>
              </w:rPr>
              <w:t>Contributions</w:t>
            </w:r>
          </w:p>
        </w:tc>
      </w:tr>
      <w:tr>
        <w:trPr>
          <w:trHeight w:val="135"/>
        </w:trPr>
        <w:tc>
          <w:tcPr>
            <w:tcW w:w="920" w:type="dxa"/>
            <w:vAlign w:val="bottom"/>
          </w:tcPr>
          <w:p>
            <w:pPr>
              <w:jc w:val="right"/>
              <w:ind w:right="59"/>
              <w:spacing w:after="0" w:line="135" w:lineRule="exact"/>
              <w:rPr>
                <w:sz w:val="20"/>
                <w:szCs w:val="20"/>
                <w:color w:val="auto"/>
              </w:rPr>
            </w:pPr>
            <w:r>
              <w:rPr>
                <w:rFonts w:ascii="Arial" w:cs="Arial" w:eastAsia="Arial" w:hAnsi="Arial"/>
                <w:sz w:val="12"/>
                <w:szCs w:val="12"/>
                <w:b w:val="1"/>
                <w:bCs w:val="1"/>
                <w:color w:val="009CCC"/>
              </w:rPr>
              <w:t>in Last</w:t>
            </w:r>
          </w:p>
        </w:tc>
        <w:tc>
          <w:tcPr>
            <w:tcW w:w="920" w:type="dxa"/>
            <w:vAlign w:val="bottom"/>
          </w:tcPr>
          <w:p>
            <w:pPr>
              <w:jc w:val="right"/>
              <w:spacing w:after="0" w:line="135" w:lineRule="exact"/>
              <w:rPr>
                <w:sz w:val="20"/>
                <w:szCs w:val="20"/>
                <w:color w:val="auto"/>
              </w:rPr>
            </w:pPr>
            <w:r>
              <w:rPr>
                <w:rFonts w:ascii="Arial" w:cs="Arial" w:eastAsia="Arial" w:hAnsi="Arial"/>
                <w:sz w:val="12"/>
                <w:szCs w:val="12"/>
                <w:b w:val="1"/>
                <w:bCs w:val="1"/>
                <w:color w:val="009CCC"/>
              </w:rPr>
              <w:t>in Last</w:t>
            </w:r>
          </w:p>
        </w:tc>
      </w:tr>
      <w:tr>
        <w:trPr>
          <w:trHeight w:val="173"/>
        </w:trPr>
        <w:tc>
          <w:tcPr>
            <w:tcW w:w="920" w:type="dxa"/>
            <w:vAlign w:val="bottom"/>
          </w:tcPr>
          <w:p>
            <w:pPr>
              <w:jc w:val="right"/>
              <w:ind w:right="59"/>
              <w:spacing w:after="0" w:line="173" w:lineRule="exact"/>
              <w:rPr>
                <w:sz w:val="20"/>
                <w:szCs w:val="20"/>
                <w:color w:val="auto"/>
              </w:rPr>
            </w:pPr>
            <w:r>
              <w:rPr>
                <w:rFonts w:ascii="Arial" w:cs="Arial" w:eastAsia="Arial" w:hAnsi="Arial"/>
                <w:sz w:val="12"/>
                <w:szCs w:val="12"/>
                <w:b w:val="1"/>
                <w:bCs w:val="1"/>
                <w:color w:val="009CCC"/>
              </w:rPr>
              <w:t>Fiscal year</w:t>
            </w:r>
            <w:r>
              <w:rPr>
                <w:rFonts w:ascii="Arial" w:cs="Arial" w:eastAsia="Arial" w:hAnsi="Arial"/>
                <w:sz w:val="18"/>
                <w:szCs w:val="18"/>
                <w:b w:val="1"/>
                <w:bCs w:val="1"/>
                <w:color w:val="009CCC"/>
                <w:vertAlign w:val="superscript"/>
              </w:rPr>
              <w:t>(1)</w:t>
            </w:r>
          </w:p>
        </w:tc>
        <w:tc>
          <w:tcPr>
            <w:tcW w:w="920" w:type="dxa"/>
            <w:vAlign w:val="bottom"/>
          </w:tcPr>
          <w:p>
            <w:pPr>
              <w:jc w:val="right"/>
              <w:spacing w:after="0" w:line="173" w:lineRule="exact"/>
              <w:rPr>
                <w:sz w:val="20"/>
                <w:szCs w:val="20"/>
                <w:color w:val="auto"/>
              </w:rPr>
            </w:pPr>
            <w:r>
              <w:rPr>
                <w:rFonts w:ascii="Arial" w:cs="Arial" w:eastAsia="Arial" w:hAnsi="Arial"/>
                <w:sz w:val="12"/>
                <w:szCs w:val="12"/>
                <w:b w:val="1"/>
                <w:bCs w:val="1"/>
                <w:color w:val="009CCC"/>
              </w:rPr>
              <w:t>Fiscal Year</w:t>
            </w:r>
            <w:r>
              <w:rPr>
                <w:rFonts w:ascii="Arial" w:cs="Arial" w:eastAsia="Arial" w:hAnsi="Arial"/>
                <w:sz w:val="18"/>
                <w:szCs w:val="18"/>
                <w:b w:val="1"/>
                <w:bCs w:val="1"/>
                <w:color w:val="009CCC"/>
                <w:vertAlign w:val="superscript"/>
              </w:rPr>
              <w:t>(2)</w:t>
            </w:r>
          </w:p>
        </w:tc>
      </w:tr>
    </w:tbl>
    <w:p>
      <w:pPr>
        <w:spacing w:after="0" w:line="20" w:lineRule="exact"/>
        <w:rPr>
          <w:sz w:val="20"/>
          <w:szCs w:val="20"/>
          <w:color w:val="auto"/>
        </w:rPr>
      </w:pPr>
      <w:r>
        <w:rPr>
          <w:sz w:val="20"/>
          <w:szCs w:val="20"/>
          <w:color w:val="auto"/>
        </w:rPr>
        <w:br w:type="column"/>
      </w:r>
    </w:p>
    <w:p>
      <w:pPr>
        <w:spacing w:after="0" w:line="17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38"/>
        </w:trPr>
        <w:tc>
          <w:tcPr>
            <w:tcW w:w="76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780" w:type="dxa"/>
            <w:vAlign w:val="bottom"/>
          </w:tcPr>
          <w:p>
            <w:pPr>
              <w:jc w:val="right"/>
              <w:spacing w:after="0"/>
              <w:rPr>
                <w:sz w:val="20"/>
                <w:szCs w:val="20"/>
                <w:color w:val="auto"/>
              </w:rPr>
            </w:pPr>
            <w:r>
              <w:rPr>
                <w:rFonts w:ascii="Arial" w:cs="Arial" w:eastAsia="Arial" w:hAnsi="Arial"/>
                <w:sz w:val="12"/>
                <w:szCs w:val="12"/>
                <w:b w:val="1"/>
                <w:bCs w:val="1"/>
                <w:color w:val="009CCC"/>
              </w:rPr>
              <w:t>Aggregate</w:t>
            </w:r>
          </w:p>
        </w:tc>
      </w:tr>
      <w:tr>
        <w:trPr>
          <w:trHeight w:val="147"/>
        </w:trPr>
        <w:tc>
          <w:tcPr>
            <w:tcW w:w="760" w:type="dxa"/>
            <w:vAlign w:val="bottom"/>
          </w:tcPr>
          <w:p>
            <w:pPr>
              <w:jc w:val="right"/>
              <w:ind w:right="59"/>
              <w:spacing w:after="0"/>
              <w:rPr>
                <w:sz w:val="20"/>
                <w:szCs w:val="20"/>
                <w:color w:val="auto"/>
              </w:rPr>
            </w:pPr>
            <w:r>
              <w:rPr>
                <w:rFonts w:ascii="Arial" w:cs="Arial" w:eastAsia="Arial" w:hAnsi="Arial"/>
                <w:sz w:val="12"/>
                <w:szCs w:val="12"/>
                <w:b w:val="1"/>
                <w:bCs w:val="1"/>
                <w:color w:val="009CCC"/>
              </w:rPr>
              <w:t>Aggregate</w:t>
            </w:r>
          </w:p>
        </w:tc>
        <w:tc>
          <w:tcPr>
            <w:tcW w:w="1040" w:type="dxa"/>
            <w:vAlign w:val="bottom"/>
          </w:tcPr>
          <w:p>
            <w:pPr>
              <w:spacing w:after="0"/>
              <w:rPr>
                <w:sz w:val="12"/>
                <w:szCs w:val="12"/>
                <w:color w:val="auto"/>
              </w:rPr>
            </w:pPr>
          </w:p>
        </w:tc>
        <w:tc>
          <w:tcPr>
            <w:tcW w:w="780" w:type="dxa"/>
            <w:vAlign w:val="bottom"/>
          </w:tcPr>
          <w:p>
            <w:pPr>
              <w:jc w:val="right"/>
              <w:spacing w:after="0"/>
              <w:rPr>
                <w:sz w:val="20"/>
                <w:szCs w:val="20"/>
                <w:color w:val="auto"/>
              </w:rPr>
            </w:pPr>
            <w:r>
              <w:rPr>
                <w:rFonts w:ascii="Arial" w:cs="Arial" w:eastAsia="Arial" w:hAnsi="Arial"/>
                <w:sz w:val="12"/>
                <w:szCs w:val="12"/>
                <w:b w:val="1"/>
                <w:bCs w:val="1"/>
                <w:color w:val="009CCC"/>
              </w:rPr>
              <w:t>Balance</w:t>
            </w:r>
          </w:p>
        </w:tc>
      </w:tr>
      <w:tr>
        <w:trPr>
          <w:trHeight w:val="137"/>
        </w:trPr>
        <w:tc>
          <w:tcPr>
            <w:tcW w:w="760" w:type="dxa"/>
            <w:vAlign w:val="bottom"/>
          </w:tcPr>
          <w:p>
            <w:pPr>
              <w:jc w:val="right"/>
              <w:ind w:right="59"/>
              <w:spacing w:after="0"/>
              <w:rPr>
                <w:sz w:val="20"/>
                <w:szCs w:val="20"/>
                <w:color w:val="auto"/>
              </w:rPr>
            </w:pPr>
            <w:r>
              <w:rPr>
                <w:rFonts w:ascii="Arial" w:cs="Arial" w:eastAsia="Arial" w:hAnsi="Arial"/>
                <w:sz w:val="12"/>
                <w:szCs w:val="12"/>
                <w:b w:val="1"/>
                <w:bCs w:val="1"/>
                <w:color w:val="009CCC"/>
              </w:rPr>
              <w:t>Earnings</w:t>
            </w:r>
          </w:p>
        </w:tc>
        <w:tc>
          <w:tcPr>
            <w:tcW w:w="1040" w:type="dxa"/>
            <w:vAlign w:val="bottom"/>
          </w:tcPr>
          <w:p>
            <w:pPr>
              <w:jc w:val="right"/>
              <w:ind w:right="99"/>
              <w:spacing w:after="0"/>
              <w:rPr>
                <w:sz w:val="20"/>
                <w:szCs w:val="20"/>
                <w:color w:val="auto"/>
              </w:rPr>
            </w:pPr>
            <w:r>
              <w:rPr>
                <w:rFonts w:ascii="Arial" w:cs="Arial" w:eastAsia="Arial" w:hAnsi="Arial"/>
                <w:sz w:val="12"/>
                <w:szCs w:val="12"/>
                <w:b w:val="1"/>
                <w:bCs w:val="1"/>
                <w:color w:val="009CCC"/>
              </w:rPr>
              <w:t>Aggregate</w:t>
            </w:r>
          </w:p>
        </w:tc>
        <w:tc>
          <w:tcPr>
            <w:tcW w:w="780" w:type="dxa"/>
            <w:vAlign w:val="bottom"/>
          </w:tcPr>
          <w:p>
            <w:pPr>
              <w:jc w:val="right"/>
              <w:spacing w:after="0"/>
              <w:rPr>
                <w:sz w:val="20"/>
                <w:szCs w:val="20"/>
                <w:color w:val="auto"/>
              </w:rPr>
            </w:pPr>
            <w:r>
              <w:rPr>
                <w:rFonts w:ascii="Arial" w:cs="Arial" w:eastAsia="Arial" w:hAnsi="Arial"/>
                <w:sz w:val="12"/>
                <w:szCs w:val="12"/>
                <w:b w:val="1"/>
                <w:bCs w:val="1"/>
                <w:color w:val="009CCC"/>
              </w:rPr>
              <w:t>at Last</w:t>
            </w:r>
          </w:p>
        </w:tc>
      </w:tr>
      <w:tr>
        <w:trPr>
          <w:trHeight w:val="137"/>
        </w:trPr>
        <w:tc>
          <w:tcPr>
            <w:tcW w:w="760" w:type="dxa"/>
            <w:vAlign w:val="bottom"/>
          </w:tcPr>
          <w:p>
            <w:pPr>
              <w:jc w:val="right"/>
              <w:ind w:right="59"/>
              <w:spacing w:after="0"/>
              <w:rPr>
                <w:sz w:val="20"/>
                <w:szCs w:val="20"/>
                <w:color w:val="auto"/>
              </w:rPr>
            </w:pPr>
            <w:r>
              <w:rPr>
                <w:rFonts w:ascii="Arial" w:cs="Arial" w:eastAsia="Arial" w:hAnsi="Arial"/>
                <w:sz w:val="12"/>
                <w:szCs w:val="12"/>
                <w:b w:val="1"/>
                <w:bCs w:val="1"/>
                <w:color w:val="009CCC"/>
              </w:rPr>
              <w:t>in Last</w:t>
            </w:r>
          </w:p>
        </w:tc>
        <w:tc>
          <w:tcPr>
            <w:tcW w:w="1040" w:type="dxa"/>
            <w:vAlign w:val="bottom"/>
          </w:tcPr>
          <w:p>
            <w:pPr>
              <w:jc w:val="right"/>
              <w:ind w:right="99"/>
              <w:spacing w:after="0"/>
              <w:rPr>
                <w:sz w:val="20"/>
                <w:szCs w:val="20"/>
                <w:color w:val="auto"/>
              </w:rPr>
            </w:pPr>
            <w:r>
              <w:rPr>
                <w:rFonts w:ascii="Arial" w:cs="Arial" w:eastAsia="Arial" w:hAnsi="Arial"/>
                <w:sz w:val="12"/>
                <w:szCs w:val="12"/>
                <w:b w:val="1"/>
                <w:bCs w:val="1"/>
                <w:color w:val="009CCC"/>
              </w:rPr>
              <w:t>Withdrawals /</w:t>
            </w:r>
          </w:p>
        </w:tc>
        <w:tc>
          <w:tcPr>
            <w:tcW w:w="780" w:type="dxa"/>
            <w:vAlign w:val="bottom"/>
          </w:tcPr>
          <w:p>
            <w:pPr>
              <w:jc w:val="right"/>
              <w:spacing w:after="0"/>
              <w:rPr>
                <w:sz w:val="20"/>
                <w:szCs w:val="20"/>
                <w:color w:val="auto"/>
              </w:rPr>
            </w:pPr>
            <w:r>
              <w:rPr>
                <w:rFonts w:ascii="Arial" w:cs="Arial" w:eastAsia="Arial" w:hAnsi="Arial"/>
                <w:sz w:val="12"/>
                <w:szCs w:val="12"/>
                <w:b w:val="1"/>
                <w:bCs w:val="1"/>
                <w:color w:val="009CCC"/>
              </w:rPr>
              <w:t>Fiscal Year</w:t>
            </w:r>
          </w:p>
        </w:tc>
      </w:tr>
      <w:tr>
        <w:trPr>
          <w:trHeight w:val="160"/>
        </w:trPr>
        <w:tc>
          <w:tcPr>
            <w:tcW w:w="760" w:type="dxa"/>
            <w:vAlign w:val="bottom"/>
          </w:tcPr>
          <w:p>
            <w:pPr>
              <w:jc w:val="right"/>
              <w:ind w:right="59"/>
              <w:spacing w:after="0"/>
              <w:rPr>
                <w:sz w:val="20"/>
                <w:szCs w:val="20"/>
                <w:color w:val="auto"/>
              </w:rPr>
            </w:pPr>
            <w:r>
              <w:rPr>
                <w:rFonts w:ascii="Arial" w:cs="Arial" w:eastAsia="Arial" w:hAnsi="Arial"/>
                <w:sz w:val="12"/>
                <w:szCs w:val="12"/>
                <w:b w:val="1"/>
                <w:bCs w:val="1"/>
                <w:color w:val="009CCC"/>
                <w:w w:val="97"/>
              </w:rPr>
              <w:t>Fiscal Year</w:t>
            </w:r>
          </w:p>
        </w:tc>
        <w:tc>
          <w:tcPr>
            <w:tcW w:w="1040" w:type="dxa"/>
            <w:vAlign w:val="bottom"/>
          </w:tcPr>
          <w:p>
            <w:pPr>
              <w:jc w:val="right"/>
              <w:ind w:right="99"/>
              <w:spacing w:after="0"/>
              <w:rPr>
                <w:sz w:val="20"/>
                <w:szCs w:val="20"/>
                <w:color w:val="auto"/>
              </w:rPr>
            </w:pPr>
            <w:r>
              <w:rPr>
                <w:rFonts w:ascii="Arial" w:cs="Arial" w:eastAsia="Arial" w:hAnsi="Arial"/>
                <w:sz w:val="12"/>
                <w:szCs w:val="12"/>
                <w:b w:val="1"/>
                <w:bCs w:val="1"/>
                <w:color w:val="009CCC"/>
              </w:rPr>
              <w:t>Distributions</w:t>
            </w:r>
          </w:p>
        </w:tc>
        <w:tc>
          <w:tcPr>
            <w:tcW w:w="780" w:type="dxa"/>
            <w:vAlign w:val="bottom"/>
          </w:tcPr>
          <w:p>
            <w:pPr>
              <w:jc w:val="right"/>
              <w:spacing w:after="0" w:line="160" w:lineRule="exact"/>
              <w:rPr>
                <w:sz w:val="20"/>
                <w:szCs w:val="20"/>
                <w:color w:val="auto"/>
              </w:rPr>
            </w:pPr>
            <w:r>
              <w:rPr>
                <w:rFonts w:ascii="Arial" w:cs="Arial" w:eastAsia="Arial" w:hAnsi="Arial"/>
                <w:sz w:val="18"/>
                <w:szCs w:val="18"/>
                <w:b w:val="1"/>
                <w:bCs w:val="1"/>
                <w:color w:val="009CCC"/>
                <w:vertAlign w:val="subscript"/>
              </w:rPr>
              <w:t>End</w:t>
            </w:r>
            <w:r>
              <w:rPr>
                <w:rFonts w:ascii="Arial" w:cs="Arial" w:eastAsia="Arial" w:hAnsi="Arial"/>
                <w:sz w:val="8"/>
                <w:szCs w:val="8"/>
                <w:b w:val="1"/>
                <w:bCs w:val="1"/>
                <w:color w:val="009CCC"/>
              </w:rPr>
              <w:t>(4)</w:t>
            </w:r>
          </w:p>
        </w:tc>
      </w:tr>
    </w:tbl>
    <w:p>
      <w:pPr>
        <w:spacing w:after="0" w:line="1" w:lineRule="exact"/>
        <w:rPr>
          <w:sz w:val="20"/>
          <w:szCs w:val="20"/>
          <w:color w:val="auto"/>
        </w:rPr>
      </w:pPr>
    </w:p>
    <w:p>
      <w:pPr>
        <w:sectPr>
          <w:pgSz w:w="11900" w:h="16838" w:orient="portrait"/>
          <w:cols w:equalWidth="0" w:num="3">
            <w:col w:w="4308" w:space="720"/>
            <w:col w:w="1840" w:space="320"/>
            <w:col w:w="4260"/>
          </w:cols>
          <w:pgMar w:left="232" w:top="142" w:right="219" w:bottom="1440" w:gutter="0" w:footer="0" w:header="0"/>
          <w:type w:val="continuous"/>
        </w:sectPr>
      </w:pPr>
    </w:p>
    <w:tbl>
      <w:tblPr>
        <w:tblLayout w:type="fixed"/>
        <w:tblInd w:w="1368" w:type="dxa"/>
        <w:tblCellMar>
          <w:top w:w="0" w:type="dxa"/>
          <w:left w:w="0" w:type="dxa"/>
          <w:bottom w:w="0" w:type="dxa"/>
          <w:right w:w="0" w:type="dxa"/>
        </w:tblCellMar>
      </w:tblPr>
      <w:tr>
        <w:trPr>
          <w:trHeight w:val="163"/>
        </w:trPr>
        <w:tc>
          <w:tcPr>
            <w:tcW w:w="2320" w:type="dxa"/>
            <w:vAlign w:val="bottom"/>
            <w:tcBorders>
              <w:top w:val="single" w:sz="8" w:color="7B7C80"/>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Houston</w:t>
            </w:r>
          </w:p>
        </w:tc>
        <w:tc>
          <w:tcPr>
            <w:tcW w:w="1600" w:type="dxa"/>
            <w:vAlign w:val="bottom"/>
            <w:tcBorders>
              <w:top w:val="single" w:sz="8" w:color="7B7C80"/>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top w:val="single" w:sz="8" w:color="7B7C80"/>
              <w:bottom w:val="single" w:sz="8" w:color="7B7C80"/>
            </w:tcBorders>
            <w:shd w:val="clear" w:color="auto" w:fill="E7E6E7"/>
          </w:tcPr>
          <w:p>
            <w:pPr>
              <w:jc w:val="right"/>
              <w:ind w:right="126"/>
              <w:spacing w:after="0" w:line="164" w:lineRule="exact"/>
              <w:rPr>
                <w:sz w:val="20"/>
                <w:szCs w:val="20"/>
                <w:color w:val="auto"/>
              </w:rPr>
            </w:pPr>
            <w:r>
              <w:rPr>
                <w:rFonts w:ascii="Arial" w:cs="Arial" w:eastAsia="Arial" w:hAnsi="Arial"/>
                <w:sz w:val="15"/>
                <w:szCs w:val="15"/>
                <w:color w:val="7B7C80"/>
                <w:w w:val="95"/>
              </w:rPr>
              <w:t>289,982</w:t>
            </w:r>
          </w:p>
        </w:tc>
        <w:tc>
          <w:tcPr>
            <w:tcW w:w="300" w:type="dxa"/>
            <w:vAlign w:val="bottom"/>
            <w:tcBorders>
              <w:top w:val="single" w:sz="8" w:color="7B7C80"/>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20" w:type="dxa"/>
            <w:vAlign w:val="bottom"/>
            <w:tcBorders>
              <w:top w:val="single" w:sz="8" w:color="7B7C80"/>
              <w:bottom w:val="single" w:sz="8" w:color="7B7C80"/>
            </w:tcBorders>
            <w:shd w:val="clear" w:color="auto" w:fill="E7E6E7"/>
          </w:tcPr>
          <w:p>
            <w:pPr>
              <w:jc w:val="right"/>
              <w:ind w:right="106"/>
              <w:spacing w:after="0" w:line="164" w:lineRule="exact"/>
              <w:rPr>
                <w:sz w:val="20"/>
                <w:szCs w:val="20"/>
                <w:color w:val="auto"/>
              </w:rPr>
            </w:pPr>
            <w:r>
              <w:rPr>
                <w:rFonts w:ascii="Arial" w:cs="Arial" w:eastAsia="Arial" w:hAnsi="Arial"/>
                <w:sz w:val="15"/>
                <w:szCs w:val="15"/>
                <w:color w:val="7B7C80"/>
                <w:w w:val="95"/>
              </w:rPr>
              <w:t>203,986</w:t>
            </w:r>
          </w:p>
        </w:tc>
        <w:tc>
          <w:tcPr>
            <w:tcW w:w="240" w:type="dxa"/>
            <w:vAlign w:val="bottom"/>
            <w:tcBorders>
              <w:top w:val="single" w:sz="8" w:color="7B7C80"/>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80" w:type="dxa"/>
            <w:vAlign w:val="bottom"/>
            <w:tcBorders>
              <w:top w:val="single" w:sz="8" w:color="7B7C80"/>
              <w:bottom w:val="single" w:sz="8" w:color="7B7C80"/>
            </w:tcBorders>
            <w:shd w:val="clear" w:color="auto" w:fill="E7E6E7"/>
          </w:tcPr>
          <w:p>
            <w:pPr>
              <w:jc w:val="right"/>
              <w:ind w:right="66"/>
              <w:spacing w:after="0" w:line="164" w:lineRule="exact"/>
              <w:rPr>
                <w:sz w:val="20"/>
                <w:szCs w:val="20"/>
                <w:color w:val="auto"/>
              </w:rPr>
            </w:pPr>
            <w:r>
              <w:rPr>
                <w:rFonts w:ascii="Arial" w:cs="Arial" w:eastAsia="Arial" w:hAnsi="Arial"/>
                <w:sz w:val="15"/>
                <w:szCs w:val="15"/>
                <w:color w:val="7B7C80"/>
                <w:w w:val="95"/>
              </w:rPr>
              <w:t>668,961</w:t>
            </w:r>
          </w:p>
        </w:tc>
        <w:tc>
          <w:tcPr>
            <w:tcW w:w="960" w:type="dxa"/>
            <w:vAlign w:val="bottom"/>
            <w:tcBorders>
              <w:top w:val="single" w:sz="8" w:color="7B7C80"/>
              <w:bottom w:val="single" w:sz="8" w:color="7B7C80"/>
            </w:tcBorders>
            <w:shd w:val="clear" w:color="auto" w:fill="E7E6E7"/>
          </w:tcPr>
          <w:p>
            <w:pPr>
              <w:jc w:val="right"/>
              <w:ind w:right="26"/>
              <w:spacing w:after="0" w:line="164" w:lineRule="exact"/>
              <w:rPr>
                <w:sz w:val="20"/>
                <w:szCs w:val="20"/>
                <w:color w:val="auto"/>
              </w:rPr>
            </w:pPr>
            <w:r>
              <w:rPr>
                <w:rFonts w:ascii="Arial" w:cs="Arial" w:eastAsia="Arial" w:hAnsi="Arial"/>
                <w:sz w:val="15"/>
                <w:szCs w:val="15"/>
                <w:color w:val="7B7C80"/>
              </w:rPr>
              <w:t>$0</w:t>
            </w:r>
          </w:p>
        </w:tc>
        <w:tc>
          <w:tcPr>
            <w:tcW w:w="180" w:type="dxa"/>
            <w:vAlign w:val="bottom"/>
            <w:tcBorders>
              <w:top w:val="single" w:sz="8" w:color="7B7C80"/>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60" w:type="dxa"/>
            <w:vAlign w:val="bottom"/>
            <w:tcBorders>
              <w:top w:val="single" w:sz="8" w:color="7B7C80"/>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w w:val="95"/>
              </w:rPr>
              <w:t>3,907,328</w:t>
            </w:r>
          </w:p>
        </w:tc>
      </w:tr>
      <w:tr>
        <w:trPr>
          <w:trHeight w:val="163"/>
        </w:trPr>
        <w:tc>
          <w:tcPr>
            <w:tcW w:w="232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Strable</w:t>
            </w:r>
          </w:p>
        </w:tc>
        <w:tc>
          <w:tcPr>
            <w:tcW w:w="16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tcPr>
          <w:p>
            <w:pPr>
              <w:jc w:val="right"/>
              <w:ind w:right="126"/>
              <w:spacing w:after="0" w:line="164" w:lineRule="exact"/>
              <w:rPr>
                <w:sz w:val="20"/>
                <w:szCs w:val="20"/>
                <w:color w:val="auto"/>
              </w:rPr>
            </w:pPr>
            <w:r>
              <w:rPr>
                <w:rFonts w:ascii="Arial" w:cs="Arial" w:eastAsia="Arial" w:hAnsi="Arial"/>
                <w:sz w:val="15"/>
                <w:szCs w:val="15"/>
                <w:color w:val="7B7C80"/>
                <w:w w:val="95"/>
              </w:rPr>
              <w:t>144,881</w:t>
            </w:r>
          </w:p>
        </w:tc>
        <w:tc>
          <w:tcPr>
            <w:tcW w:w="30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20" w:type="dxa"/>
            <w:vAlign w:val="bottom"/>
            <w:tcBorders>
              <w:bottom w:val="single" w:sz="8" w:color="7B7C80"/>
            </w:tcBorders>
          </w:tcPr>
          <w:p>
            <w:pPr>
              <w:jc w:val="right"/>
              <w:ind w:right="106"/>
              <w:spacing w:after="0" w:line="164" w:lineRule="exact"/>
              <w:rPr>
                <w:sz w:val="20"/>
                <w:szCs w:val="20"/>
                <w:color w:val="auto"/>
              </w:rPr>
            </w:pPr>
            <w:r>
              <w:rPr>
                <w:rFonts w:ascii="Arial" w:cs="Arial" w:eastAsia="Arial" w:hAnsi="Arial"/>
                <w:sz w:val="15"/>
                <w:szCs w:val="15"/>
                <w:color w:val="7B7C80"/>
              </w:rPr>
              <w:t>46,668</w:t>
            </w:r>
          </w:p>
        </w:tc>
        <w:tc>
          <w:tcPr>
            <w:tcW w:w="2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80" w:type="dxa"/>
            <w:vAlign w:val="bottom"/>
            <w:tcBorders>
              <w:bottom w:val="single" w:sz="8" w:color="7B7C80"/>
            </w:tcBorders>
          </w:tcPr>
          <w:p>
            <w:pPr>
              <w:jc w:val="right"/>
              <w:ind w:right="66"/>
              <w:spacing w:after="0" w:line="164" w:lineRule="exact"/>
              <w:rPr>
                <w:sz w:val="20"/>
                <w:szCs w:val="20"/>
                <w:color w:val="auto"/>
              </w:rPr>
            </w:pPr>
            <w:r>
              <w:rPr>
                <w:rFonts w:ascii="Arial" w:cs="Arial" w:eastAsia="Arial" w:hAnsi="Arial"/>
                <w:sz w:val="15"/>
                <w:szCs w:val="15"/>
                <w:color w:val="7B7C80"/>
                <w:w w:val="95"/>
              </w:rPr>
              <w:t>107,769</w:t>
            </w:r>
          </w:p>
        </w:tc>
        <w:tc>
          <w:tcPr>
            <w:tcW w:w="960" w:type="dxa"/>
            <w:vAlign w:val="bottom"/>
            <w:tcBorders>
              <w:bottom w:val="single" w:sz="8" w:color="7B7C80"/>
            </w:tcBorders>
          </w:tcPr>
          <w:p>
            <w:pPr>
              <w:jc w:val="right"/>
              <w:ind w:right="26"/>
              <w:spacing w:after="0" w:line="164" w:lineRule="exact"/>
              <w:rPr>
                <w:sz w:val="20"/>
                <w:szCs w:val="20"/>
                <w:color w:val="auto"/>
              </w:rPr>
            </w:pPr>
            <w:r>
              <w:rPr>
                <w:rFonts w:ascii="Arial" w:cs="Arial" w:eastAsia="Arial" w:hAnsi="Arial"/>
                <w:sz w:val="15"/>
                <w:szCs w:val="15"/>
                <w:color w:val="7B7C80"/>
              </w:rPr>
              <w:t>$0</w:t>
            </w:r>
          </w:p>
        </w:tc>
        <w:tc>
          <w:tcPr>
            <w:tcW w:w="1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w w:val="95"/>
              </w:rPr>
              <w:t>1,486,327</w:t>
            </w:r>
          </w:p>
        </w:tc>
      </w:tr>
      <w:tr>
        <w:trPr>
          <w:trHeight w:val="163"/>
        </w:trPr>
        <w:tc>
          <w:tcPr>
            <w:tcW w:w="232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Everett</w:t>
            </w:r>
          </w:p>
        </w:tc>
        <w:tc>
          <w:tcPr>
            <w:tcW w:w="16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shd w:val="clear" w:color="auto" w:fill="E7E6E7"/>
          </w:tcPr>
          <w:p>
            <w:pPr>
              <w:jc w:val="right"/>
              <w:ind w:right="126"/>
              <w:spacing w:after="0" w:line="164" w:lineRule="exact"/>
              <w:rPr>
                <w:sz w:val="20"/>
                <w:szCs w:val="20"/>
                <w:color w:val="auto"/>
              </w:rPr>
            </w:pPr>
            <w:r>
              <w:rPr>
                <w:rFonts w:ascii="Arial" w:cs="Arial" w:eastAsia="Arial" w:hAnsi="Arial"/>
                <w:sz w:val="15"/>
                <w:szCs w:val="15"/>
                <w:color w:val="7B7C80"/>
              </w:rPr>
              <w:t>66,008</w:t>
            </w:r>
          </w:p>
        </w:tc>
        <w:tc>
          <w:tcPr>
            <w:tcW w:w="3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20" w:type="dxa"/>
            <w:vAlign w:val="bottom"/>
            <w:tcBorders>
              <w:bottom w:val="single" w:sz="8" w:color="7B7C80"/>
            </w:tcBorders>
            <w:shd w:val="clear" w:color="auto" w:fill="E7E6E7"/>
          </w:tcPr>
          <w:p>
            <w:pPr>
              <w:jc w:val="right"/>
              <w:ind w:right="106"/>
              <w:spacing w:after="0" w:line="164" w:lineRule="exact"/>
              <w:rPr>
                <w:sz w:val="20"/>
                <w:szCs w:val="20"/>
                <w:color w:val="auto"/>
              </w:rPr>
            </w:pPr>
            <w:r>
              <w:rPr>
                <w:rFonts w:ascii="Arial" w:cs="Arial" w:eastAsia="Arial" w:hAnsi="Arial"/>
                <w:sz w:val="15"/>
                <w:szCs w:val="15"/>
                <w:color w:val="7B7C80"/>
              </w:rPr>
              <w:t>37,506</w:t>
            </w:r>
          </w:p>
        </w:tc>
        <w:tc>
          <w:tcPr>
            <w:tcW w:w="2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80" w:type="dxa"/>
            <w:vAlign w:val="bottom"/>
            <w:tcBorders>
              <w:bottom w:val="single" w:sz="8" w:color="7B7C80"/>
            </w:tcBorders>
            <w:shd w:val="clear" w:color="auto" w:fill="E7E6E7"/>
          </w:tcPr>
          <w:p>
            <w:pPr>
              <w:jc w:val="right"/>
              <w:ind w:right="66"/>
              <w:spacing w:after="0" w:line="164" w:lineRule="exact"/>
              <w:rPr>
                <w:sz w:val="20"/>
                <w:szCs w:val="20"/>
                <w:color w:val="auto"/>
              </w:rPr>
            </w:pPr>
            <w:r>
              <w:rPr>
                <w:rFonts w:ascii="Arial" w:cs="Arial" w:eastAsia="Arial" w:hAnsi="Arial"/>
                <w:sz w:val="15"/>
                <w:szCs w:val="15"/>
                <w:color w:val="7B7C80"/>
                <w:w w:val="95"/>
              </w:rPr>
              <w:t>402,924</w:t>
            </w:r>
          </w:p>
        </w:tc>
        <w:tc>
          <w:tcPr>
            <w:tcW w:w="960" w:type="dxa"/>
            <w:vAlign w:val="bottom"/>
            <w:tcBorders>
              <w:bottom w:val="single" w:sz="8" w:color="7B7C80"/>
            </w:tcBorders>
            <w:shd w:val="clear" w:color="auto" w:fill="E7E6E7"/>
          </w:tcPr>
          <w:p>
            <w:pPr>
              <w:jc w:val="right"/>
              <w:ind w:right="26"/>
              <w:spacing w:after="0" w:line="164" w:lineRule="exact"/>
              <w:rPr>
                <w:sz w:val="20"/>
                <w:szCs w:val="20"/>
                <w:color w:val="auto"/>
              </w:rPr>
            </w:pPr>
            <w:r>
              <w:rPr>
                <w:rFonts w:ascii="Arial" w:cs="Arial" w:eastAsia="Arial" w:hAnsi="Arial"/>
                <w:sz w:val="15"/>
                <w:szCs w:val="15"/>
                <w:color w:val="7B7C80"/>
              </w:rPr>
              <w:t>$0</w:t>
            </w:r>
          </w:p>
        </w:tc>
        <w:tc>
          <w:tcPr>
            <w:tcW w:w="1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w w:val="95"/>
              </w:rPr>
              <w:t>1,985,603</w:t>
            </w:r>
          </w:p>
        </w:tc>
      </w:tr>
      <w:tr>
        <w:trPr>
          <w:trHeight w:val="198"/>
        </w:trPr>
        <w:tc>
          <w:tcPr>
            <w:tcW w:w="2320" w:type="dxa"/>
            <w:vAlign w:val="bottom"/>
            <w:tcBorders>
              <w:bottom w:val="single" w:sz="8" w:color="7B7C80"/>
            </w:tcBorders>
          </w:tcPr>
          <w:p>
            <w:pPr>
              <w:spacing w:after="0" w:line="198" w:lineRule="exact"/>
              <w:rPr>
                <w:sz w:val="20"/>
                <w:szCs w:val="20"/>
                <w:color w:val="auto"/>
              </w:rPr>
            </w:pPr>
            <w:r>
              <w:rPr>
                <w:rFonts w:ascii="Arial" w:cs="Arial" w:eastAsia="Arial" w:hAnsi="Arial"/>
                <w:sz w:val="14"/>
                <w:szCs w:val="14"/>
                <w:color w:val="7B7C80"/>
              </w:rPr>
              <w:t>Lillis</w:t>
            </w:r>
            <w:r>
              <w:rPr>
                <w:rFonts w:ascii="Arial" w:cs="Arial" w:eastAsia="Arial" w:hAnsi="Arial"/>
                <w:sz w:val="22"/>
                <w:szCs w:val="22"/>
                <w:color w:val="7B7C80"/>
                <w:vertAlign w:val="superscript"/>
              </w:rPr>
              <w:t>(3)</w:t>
            </w:r>
          </w:p>
        </w:tc>
        <w:tc>
          <w:tcPr>
            <w:tcW w:w="160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tcPr>
          <w:p>
            <w:pPr>
              <w:jc w:val="right"/>
              <w:ind w:right="126"/>
              <w:spacing w:after="0"/>
              <w:rPr>
                <w:sz w:val="20"/>
                <w:szCs w:val="20"/>
                <w:color w:val="auto"/>
              </w:rPr>
            </w:pPr>
            <w:r>
              <w:rPr>
                <w:rFonts w:ascii="Arial" w:cs="Arial" w:eastAsia="Arial" w:hAnsi="Arial"/>
                <w:sz w:val="15"/>
                <w:szCs w:val="15"/>
                <w:color w:val="7B7C80"/>
              </w:rPr>
              <w:t>46,958</w:t>
            </w:r>
          </w:p>
        </w:tc>
        <w:tc>
          <w:tcPr>
            <w:tcW w:w="30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720" w:type="dxa"/>
            <w:vAlign w:val="bottom"/>
            <w:tcBorders>
              <w:bottom w:val="single" w:sz="8" w:color="7B7C80"/>
            </w:tcBorders>
          </w:tcPr>
          <w:p>
            <w:pPr>
              <w:jc w:val="right"/>
              <w:ind w:right="106"/>
              <w:spacing w:after="0"/>
              <w:rPr>
                <w:sz w:val="20"/>
                <w:szCs w:val="20"/>
                <w:color w:val="auto"/>
              </w:rPr>
            </w:pPr>
            <w:r>
              <w:rPr>
                <w:rFonts w:ascii="Arial" w:cs="Arial" w:eastAsia="Arial" w:hAnsi="Arial"/>
                <w:sz w:val="15"/>
                <w:szCs w:val="15"/>
                <w:color w:val="7B7C80"/>
              </w:rPr>
              <w:t>16,661</w:t>
            </w:r>
          </w:p>
        </w:tc>
        <w:tc>
          <w:tcPr>
            <w:tcW w:w="24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680" w:type="dxa"/>
            <w:vAlign w:val="bottom"/>
            <w:tcBorders>
              <w:bottom w:val="single" w:sz="8" w:color="7B7C80"/>
            </w:tcBorders>
          </w:tcPr>
          <w:p>
            <w:pPr>
              <w:jc w:val="right"/>
              <w:ind w:right="66"/>
              <w:spacing w:after="0"/>
              <w:rPr>
                <w:sz w:val="20"/>
                <w:szCs w:val="20"/>
                <w:color w:val="auto"/>
              </w:rPr>
            </w:pPr>
            <w:r>
              <w:rPr>
                <w:rFonts w:ascii="Arial" w:cs="Arial" w:eastAsia="Arial" w:hAnsi="Arial"/>
                <w:sz w:val="15"/>
                <w:szCs w:val="15"/>
                <w:color w:val="7B7C80"/>
                <w:w w:val="95"/>
              </w:rPr>
              <w:t>196,382</w:t>
            </w:r>
          </w:p>
        </w:tc>
        <w:tc>
          <w:tcPr>
            <w:tcW w:w="960" w:type="dxa"/>
            <w:vAlign w:val="bottom"/>
            <w:tcBorders>
              <w:bottom w:val="single" w:sz="8" w:color="7B7C80"/>
            </w:tcBorders>
          </w:tcPr>
          <w:p>
            <w:pPr>
              <w:jc w:val="right"/>
              <w:ind w:right="26"/>
              <w:spacing w:after="0"/>
              <w:rPr>
                <w:sz w:val="20"/>
                <w:szCs w:val="20"/>
                <w:color w:val="auto"/>
              </w:rPr>
            </w:pPr>
            <w:r>
              <w:rPr>
                <w:rFonts w:ascii="Arial" w:cs="Arial" w:eastAsia="Arial" w:hAnsi="Arial"/>
                <w:sz w:val="15"/>
                <w:szCs w:val="15"/>
                <w:color w:val="7B7C80"/>
              </w:rPr>
              <w:t>$1,216,706</w:t>
            </w:r>
          </w:p>
        </w:tc>
        <w:tc>
          <w:tcPr>
            <w:tcW w:w="18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0</w:t>
            </w:r>
          </w:p>
        </w:tc>
      </w:tr>
      <w:tr>
        <w:trPr>
          <w:trHeight w:val="163"/>
        </w:trPr>
        <w:tc>
          <w:tcPr>
            <w:tcW w:w="232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McCaughan</w:t>
            </w:r>
          </w:p>
        </w:tc>
        <w:tc>
          <w:tcPr>
            <w:tcW w:w="16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7B7C80"/>
            </w:tcBorders>
            <w:shd w:val="clear" w:color="auto" w:fill="E7E6E7"/>
          </w:tcPr>
          <w:p>
            <w:pPr>
              <w:jc w:val="right"/>
              <w:ind w:right="126"/>
              <w:spacing w:after="0" w:line="164" w:lineRule="exact"/>
              <w:rPr>
                <w:sz w:val="20"/>
                <w:szCs w:val="20"/>
                <w:color w:val="auto"/>
              </w:rPr>
            </w:pPr>
            <w:r>
              <w:rPr>
                <w:rFonts w:ascii="Arial" w:cs="Arial" w:eastAsia="Arial" w:hAnsi="Arial"/>
                <w:sz w:val="15"/>
                <w:szCs w:val="15"/>
                <w:color w:val="7B7C80"/>
              </w:rPr>
              <w:t>0</w:t>
            </w:r>
          </w:p>
        </w:tc>
        <w:tc>
          <w:tcPr>
            <w:tcW w:w="30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20" w:type="dxa"/>
            <w:vAlign w:val="bottom"/>
            <w:tcBorders>
              <w:bottom w:val="single" w:sz="8" w:color="7B7C80"/>
            </w:tcBorders>
            <w:shd w:val="clear" w:color="auto" w:fill="E7E6E7"/>
          </w:tcPr>
          <w:p>
            <w:pPr>
              <w:jc w:val="right"/>
              <w:ind w:right="106"/>
              <w:spacing w:after="0" w:line="164" w:lineRule="exact"/>
              <w:rPr>
                <w:sz w:val="20"/>
                <w:szCs w:val="20"/>
                <w:color w:val="auto"/>
              </w:rPr>
            </w:pPr>
            <w:r>
              <w:rPr>
                <w:rFonts w:ascii="Arial" w:cs="Arial" w:eastAsia="Arial" w:hAnsi="Arial"/>
                <w:sz w:val="15"/>
                <w:szCs w:val="15"/>
                <w:color w:val="7B7C80"/>
              </w:rPr>
              <w:t>0</w:t>
            </w:r>
          </w:p>
        </w:tc>
        <w:tc>
          <w:tcPr>
            <w:tcW w:w="2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80" w:type="dxa"/>
            <w:vAlign w:val="bottom"/>
            <w:tcBorders>
              <w:bottom w:val="single" w:sz="8" w:color="7B7C80"/>
            </w:tcBorders>
            <w:shd w:val="clear" w:color="auto" w:fill="E7E6E7"/>
          </w:tcPr>
          <w:p>
            <w:pPr>
              <w:jc w:val="right"/>
              <w:ind w:right="66"/>
              <w:spacing w:after="0" w:line="164" w:lineRule="exact"/>
              <w:rPr>
                <w:sz w:val="20"/>
                <w:szCs w:val="20"/>
                <w:color w:val="auto"/>
              </w:rPr>
            </w:pPr>
            <w:r>
              <w:rPr>
                <w:rFonts w:ascii="Arial" w:cs="Arial" w:eastAsia="Arial" w:hAnsi="Arial"/>
                <w:sz w:val="15"/>
                <w:szCs w:val="15"/>
                <w:color w:val="7B7C80"/>
                <w:w w:val="95"/>
              </w:rPr>
              <w:t>780,073</w:t>
            </w:r>
          </w:p>
        </w:tc>
        <w:tc>
          <w:tcPr>
            <w:tcW w:w="960" w:type="dxa"/>
            <w:vAlign w:val="bottom"/>
            <w:tcBorders>
              <w:bottom w:val="single" w:sz="8" w:color="7B7C80"/>
            </w:tcBorders>
            <w:shd w:val="clear" w:color="auto" w:fill="E7E6E7"/>
          </w:tcPr>
          <w:p>
            <w:pPr>
              <w:jc w:val="right"/>
              <w:ind w:right="26"/>
              <w:spacing w:after="0" w:line="164" w:lineRule="exact"/>
              <w:rPr>
                <w:sz w:val="20"/>
                <w:szCs w:val="20"/>
                <w:color w:val="auto"/>
              </w:rPr>
            </w:pPr>
            <w:r>
              <w:rPr>
                <w:rFonts w:ascii="Arial" w:cs="Arial" w:eastAsia="Arial" w:hAnsi="Arial"/>
                <w:sz w:val="15"/>
                <w:szCs w:val="15"/>
                <w:color w:val="7B7C80"/>
              </w:rPr>
              <w:t>$0</w:t>
            </w:r>
          </w:p>
        </w:tc>
        <w:tc>
          <w:tcPr>
            <w:tcW w:w="1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w w:val="95"/>
              </w:rPr>
              <w:t>3,617,908</w:t>
            </w:r>
          </w:p>
        </w:tc>
      </w:tr>
      <w:tr>
        <w:trPr>
          <w:trHeight w:val="166"/>
        </w:trPr>
        <w:tc>
          <w:tcPr>
            <w:tcW w:w="2320" w:type="dxa"/>
            <w:vAlign w:val="bottom"/>
            <w:tcBorders>
              <w:bottom w:val="single" w:sz="8" w:color="009CCC"/>
            </w:tcBorders>
          </w:tcPr>
          <w:p>
            <w:pPr>
              <w:spacing w:after="0" w:line="164" w:lineRule="exact"/>
              <w:rPr>
                <w:sz w:val="20"/>
                <w:szCs w:val="20"/>
                <w:color w:val="auto"/>
              </w:rPr>
            </w:pPr>
            <w:r>
              <w:rPr>
                <w:rFonts w:ascii="Arial" w:cs="Arial" w:eastAsia="Arial" w:hAnsi="Arial"/>
                <w:sz w:val="15"/>
                <w:szCs w:val="15"/>
                <w:color w:val="7B7C80"/>
              </w:rPr>
              <w:t>Valdés</w:t>
            </w:r>
          </w:p>
        </w:tc>
        <w:tc>
          <w:tcPr>
            <w:tcW w:w="160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40" w:type="dxa"/>
            <w:vAlign w:val="bottom"/>
            <w:tcBorders>
              <w:bottom w:val="single" w:sz="8" w:color="009CCC"/>
            </w:tcBorders>
          </w:tcPr>
          <w:p>
            <w:pPr>
              <w:jc w:val="right"/>
              <w:ind w:right="126"/>
              <w:spacing w:after="0" w:line="164" w:lineRule="exact"/>
              <w:rPr>
                <w:sz w:val="20"/>
                <w:szCs w:val="20"/>
                <w:color w:val="auto"/>
              </w:rPr>
            </w:pPr>
            <w:r>
              <w:rPr>
                <w:rFonts w:ascii="Arial" w:cs="Arial" w:eastAsia="Arial" w:hAnsi="Arial"/>
                <w:sz w:val="15"/>
                <w:szCs w:val="15"/>
                <w:color w:val="7B7C80"/>
              </w:rPr>
              <w:t>62,799</w:t>
            </w:r>
          </w:p>
        </w:tc>
        <w:tc>
          <w:tcPr>
            <w:tcW w:w="30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20" w:type="dxa"/>
            <w:vAlign w:val="bottom"/>
            <w:tcBorders>
              <w:bottom w:val="single" w:sz="8" w:color="009CCC"/>
            </w:tcBorders>
          </w:tcPr>
          <w:p>
            <w:pPr>
              <w:jc w:val="right"/>
              <w:ind w:right="106"/>
              <w:spacing w:after="0" w:line="164" w:lineRule="exact"/>
              <w:rPr>
                <w:sz w:val="20"/>
                <w:szCs w:val="20"/>
                <w:color w:val="auto"/>
              </w:rPr>
            </w:pPr>
            <w:r>
              <w:rPr>
                <w:rFonts w:ascii="Arial" w:cs="Arial" w:eastAsia="Arial" w:hAnsi="Arial"/>
                <w:sz w:val="15"/>
                <w:szCs w:val="15"/>
                <w:color w:val="7B7C80"/>
              </w:rPr>
              <w:t>47,087</w:t>
            </w:r>
          </w:p>
        </w:tc>
        <w:tc>
          <w:tcPr>
            <w:tcW w:w="24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80" w:type="dxa"/>
            <w:vAlign w:val="bottom"/>
            <w:tcBorders>
              <w:bottom w:val="single" w:sz="8" w:color="009CCC"/>
            </w:tcBorders>
          </w:tcPr>
          <w:p>
            <w:pPr>
              <w:jc w:val="right"/>
              <w:ind w:right="66"/>
              <w:spacing w:after="0" w:line="164" w:lineRule="exact"/>
              <w:rPr>
                <w:sz w:val="20"/>
                <w:szCs w:val="20"/>
                <w:color w:val="auto"/>
              </w:rPr>
            </w:pPr>
            <w:r>
              <w:rPr>
                <w:rFonts w:ascii="Arial" w:cs="Arial" w:eastAsia="Arial" w:hAnsi="Arial"/>
                <w:sz w:val="15"/>
                <w:szCs w:val="15"/>
                <w:color w:val="7B7C80"/>
              </w:rPr>
              <w:t>85,968</w:t>
            </w:r>
          </w:p>
        </w:tc>
        <w:tc>
          <w:tcPr>
            <w:tcW w:w="960" w:type="dxa"/>
            <w:vAlign w:val="bottom"/>
            <w:tcBorders>
              <w:bottom w:val="single" w:sz="8" w:color="009CCC"/>
            </w:tcBorders>
          </w:tcPr>
          <w:p>
            <w:pPr>
              <w:jc w:val="right"/>
              <w:ind w:right="26"/>
              <w:spacing w:after="0" w:line="164" w:lineRule="exact"/>
              <w:rPr>
                <w:sz w:val="20"/>
                <w:szCs w:val="20"/>
                <w:color w:val="auto"/>
              </w:rPr>
            </w:pPr>
            <w:r>
              <w:rPr>
                <w:rFonts w:ascii="Arial" w:cs="Arial" w:eastAsia="Arial" w:hAnsi="Arial"/>
                <w:sz w:val="15"/>
                <w:szCs w:val="15"/>
                <w:color w:val="7B7C80"/>
              </w:rPr>
              <w:t>$0</w:t>
            </w:r>
          </w:p>
        </w:tc>
        <w:tc>
          <w:tcPr>
            <w:tcW w:w="18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704,475</w:t>
            </w:r>
          </w:p>
        </w:tc>
      </w:tr>
    </w:tbl>
    <w:p>
      <w:pPr>
        <w:spacing w:after="0" w:line="187" w:lineRule="exact"/>
        <w:rPr>
          <w:sz w:val="20"/>
          <w:szCs w:val="20"/>
          <w:color w:val="auto"/>
        </w:rPr>
      </w:pPr>
    </w:p>
    <w:p>
      <w:pPr>
        <w:ind w:left="1828" w:hanging="455"/>
        <w:spacing w:after="0" w:line="253" w:lineRule="auto"/>
        <w:tabs>
          <w:tab w:leader="none" w:pos="182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The amounts shown as "Executive Contributions" have either been included in the Salary column of the Summary Compensation Table on page 41 or represent annual incentive payment deferrals earned in 2016 and credited to the Named Executive Officers' accounts during 2017.</w:t>
      </w:r>
    </w:p>
    <w:p>
      <w:pPr>
        <w:spacing w:after="0" w:line="121" w:lineRule="exact"/>
        <w:rPr>
          <w:rFonts w:ascii="Arial" w:cs="Arial" w:eastAsia="Arial" w:hAnsi="Arial"/>
          <w:sz w:val="12"/>
          <w:szCs w:val="12"/>
          <w:color w:val="7B7C80"/>
        </w:rPr>
      </w:pPr>
    </w:p>
    <w:p>
      <w:pPr>
        <w:ind w:left="1828" w:hanging="455"/>
        <w:spacing w:after="0"/>
        <w:tabs>
          <w:tab w:leader="none" w:pos="182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The amounts shown as "Principal Life Contributions" are included in the "All Other Compensation Column" of the Summary Compensation table on page 41.</w:t>
      </w:r>
    </w:p>
    <w:p>
      <w:pPr>
        <w:spacing w:after="0" w:line="136" w:lineRule="exact"/>
        <w:rPr>
          <w:rFonts w:ascii="Arial" w:cs="Arial" w:eastAsia="Arial" w:hAnsi="Arial"/>
          <w:sz w:val="12"/>
          <w:szCs w:val="12"/>
          <w:color w:val="7B7C80"/>
        </w:rPr>
      </w:pPr>
    </w:p>
    <w:p>
      <w:pPr>
        <w:ind w:left="1828" w:hanging="455"/>
        <w:spacing w:after="0"/>
        <w:tabs>
          <w:tab w:leader="none" w:pos="182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Mr. Lillis retired May 1, 2017, and received a single sum payment following the six month delay required by Tax Code Section 409A.</w:t>
      </w:r>
    </w:p>
    <w:p>
      <w:pPr>
        <w:spacing w:after="0" w:line="136" w:lineRule="exact"/>
        <w:rPr>
          <w:rFonts w:ascii="Arial" w:cs="Arial" w:eastAsia="Arial" w:hAnsi="Arial"/>
          <w:sz w:val="12"/>
          <w:szCs w:val="12"/>
          <w:color w:val="7B7C80"/>
        </w:rPr>
      </w:pPr>
    </w:p>
    <w:p>
      <w:pPr>
        <w:ind w:left="1828" w:hanging="455"/>
        <w:spacing w:after="0"/>
        <w:tabs>
          <w:tab w:leader="none" w:pos="182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The end of year 2017 aggregate balances include the following deferrals and matching contributions from years prior to 2017:</w:t>
      </w:r>
    </w:p>
    <w:p>
      <w:pPr>
        <w:spacing w:after="0" w:line="159" w:lineRule="exact"/>
        <w:rPr>
          <w:sz w:val="20"/>
          <w:szCs w:val="20"/>
          <w:color w:val="auto"/>
        </w:rPr>
      </w:pPr>
    </w:p>
    <w:tbl>
      <w:tblPr>
        <w:tblLayout w:type="fixed"/>
        <w:tblInd w:w="1708" w:type="dxa"/>
        <w:tblCellMar>
          <w:top w:w="0" w:type="dxa"/>
          <w:left w:w="0" w:type="dxa"/>
          <w:bottom w:w="0" w:type="dxa"/>
          <w:right w:w="0" w:type="dxa"/>
        </w:tblCellMar>
      </w:tblPr>
      <w:tr>
        <w:trPr>
          <w:trHeight w:val="139"/>
        </w:trPr>
        <w:tc>
          <w:tcPr>
            <w:tcW w:w="20" w:type="dxa"/>
            <w:vAlign w:val="bottom"/>
          </w:tcPr>
          <w:p>
            <w:pPr>
              <w:spacing w:after="0"/>
              <w:rPr>
                <w:sz w:val="12"/>
                <w:szCs w:val="12"/>
                <w:color w:val="auto"/>
              </w:rPr>
            </w:pPr>
          </w:p>
        </w:tc>
        <w:tc>
          <w:tcPr>
            <w:tcW w:w="3540" w:type="dxa"/>
            <w:vAlign w:val="bottom"/>
            <w:tcBorders>
              <w:top w:val="single" w:sz="8" w:color="009CCC"/>
            </w:tcBorders>
          </w:tcPr>
          <w:p>
            <w:pPr>
              <w:spacing w:after="0"/>
              <w:rPr>
                <w:sz w:val="12"/>
                <w:szCs w:val="12"/>
                <w:color w:val="auto"/>
              </w:rPr>
            </w:pPr>
          </w:p>
        </w:tc>
        <w:tc>
          <w:tcPr>
            <w:tcW w:w="2200" w:type="dxa"/>
            <w:vAlign w:val="bottom"/>
            <w:tcBorders>
              <w:top w:val="single" w:sz="8" w:color="009CCC"/>
            </w:tcBorders>
          </w:tcPr>
          <w:p>
            <w:pPr>
              <w:spacing w:after="0"/>
              <w:rPr>
                <w:sz w:val="12"/>
                <w:szCs w:val="12"/>
                <w:color w:val="auto"/>
              </w:rPr>
            </w:pPr>
          </w:p>
        </w:tc>
        <w:tc>
          <w:tcPr>
            <w:tcW w:w="640" w:type="dxa"/>
            <w:vAlign w:val="bottom"/>
            <w:tcBorders>
              <w:top w:val="single" w:sz="8" w:color="009CCC"/>
            </w:tcBorders>
          </w:tcPr>
          <w:p>
            <w:pPr>
              <w:spacing w:after="0"/>
              <w:rPr>
                <w:sz w:val="12"/>
                <w:szCs w:val="12"/>
                <w:color w:val="auto"/>
              </w:rPr>
            </w:pPr>
          </w:p>
        </w:tc>
        <w:tc>
          <w:tcPr>
            <w:tcW w:w="720" w:type="dxa"/>
            <w:vAlign w:val="bottom"/>
            <w:tcBorders>
              <w:top w:val="single" w:sz="8" w:color="009CCC"/>
            </w:tcBorders>
          </w:tcPr>
          <w:p>
            <w:pPr>
              <w:jc w:val="right"/>
              <w:ind w:right="19"/>
              <w:spacing w:after="0"/>
              <w:rPr>
                <w:sz w:val="20"/>
                <w:szCs w:val="20"/>
                <w:color w:val="auto"/>
              </w:rPr>
            </w:pPr>
            <w:r>
              <w:rPr>
                <w:rFonts w:ascii="Arial" w:cs="Arial" w:eastAsia="Arial" w:hAnsi="Arial"/>
                <w:sz w:val="12"/>
                <w:szCs w:val="12"/>
                <w:b w:val="1"/>
                <w:bCs w:val="1"/>
                <w:color w:val="009CCC"/>
              </w:rPr>
              <w:t>Principal</w:t>
            </w:r>
          </w:p>
        </w:tc>
        <w:tc>
          <w:tcPr>
            <w:tcW w:w="160" w:type="dxa"/>
            <w:vAlign w:val="bottom"/>
            <w:tcBorders>
              <w:top w:val="single" w:sz="8" w:color="009CCC"/>
            </w:tcBorders>
          </w:tcPr>
          <w:p>
            <w:pPr>
              <w:spacing w:after="0"/>
              <w:rPr>
                <w:sz w:val="12"/>
                <w:szCs w:val="12"/>
                <w:color w:val="auto"/>
              </w:rPr>
            </w:pPr>
          </w:p>
        </w:tc>
        <w:tc>
          <w:tcPr>
            <w:tcW w:w="560" w:type="dxa"/>
            <w:vAlign w:val="bottom"/>
            <w:tcBorders>
              <w:top w:val="single" w:sz="8" w:color="009CCC"/>
            </w:tcBorders>
          </w:tcPr>
          <w:p>
            <w:pPr>
              <w:spacing w:after="0"/>
              <w:rPr>
                <w:sz w:val="12"/>
                <w:szCs w:val="12"/>
                <w:color w:val="auto"/>
              </w:rPr>
            </w:pPr>
          </w:p>
        </w:tc>
      </w:tr>
      <w:tr>
        <w:trPr>
          <w:trHeight w:val="137"/>
        </w:trPr>
        <w:tc>
          <w:tcPr>
            <w:tcW w:w="20" w:type="dxa"/>
            <w:vAlign w:val="bottom"/>
          </w:tcPr>
          <w:p>
            <w:pPr>
              <w:spacing w:after="0"/>
              <w:rPr>
                <w:sz w:val="11"/>
                <w:szCs w:val="11"/>
                <w:color w:val="auto"/>
              </w:rPr>
            </w:pPr>
          </w:p>
        </w:tc>
        <w:tc>
          <w:tcPr>
            <w:tcW w:w="3540" w:type="dxa"/>
            <w:vAlign w:val="bottom"/>
          </w:tcPr>
          <w:p>
            <w:pPr>
              <w:spacing w:after="0"/>
              <w:rPr>
                <w:sz w:val="11"/>
                <w:szCs w:val="11"/>
                <w:color w:val="auto"/>
              </w:rPr>
            </w:pPr>
          </w:p>
        </w:tc>
        <w:tc>
          <w:tcPr>
            <w:tcW w:w="2840" w:type="dxa"/>
            <w:vAlign w:val="bottom"/>
            <w:gridSpan w:val="2"/>
          </w:tcPr>
          <w:p>
            <w:pPr>
              <w:jc w:val="right"/>
              <w:ind w:right="39"/>
              <w:spacing w:after="0"/>
              <w:rPr>
                <w:sz w:val="20"/>
                <w:szCs w:val="20"/>
                <w:color w:val="auto"/>
              </w:rPr>
            </w:pPr>
            <w:r>
              <w:rPr>
                <w:rFonts w:ascii="Arial" w:cs="Arial" w:eastAsia="Arial" w:hAnsi="Arial"/>
                <w:sz w:val="12"/>
                <w:szCs w:val="12"/>
                <w:b w:val="1"/>
                <w:bCs w:val="1"/>
                <w:color w:val="009CCC"/>
              </w:rPr>
              <w:t>Employee</w:t>
            </w:r>
          </w:p>
        </w:tc>
        <w:tc>
          <w:tcPr>
            <w:tcW w:w="720" w:type="dxa"/>
            <w:vAlign w:val="bottom"/>
          </w:tcPr>
          <w:p>
            <w:pPr>
              <w:jc w:val="right"/>
              <w:ind w:right="19"/>
              <w:spacing w:after="0"/>
              <w:rPr>
                <w:sz w:val="20"/>
                <w:szCs w:val="20"/>
                <w:color w:val="auto"/>
              </w:rPr>
            </w:pPr>
            <w:r>
              <w:rPr>
                <w:rFonts w:ascii="Arial" w:cs="Arial" w:eastAsia="Arial" w:hAnsi="Arial"/>
                <w:sz w:val="12"/>
                <w:szCs w:val="12"/>
                <w:b w:val="1"/>
                <w:bCs w:val="1"/>
                <w:color w:val="009CCC"/>
              </w:rPr>
              <w:t>Life</w:t>
            </w: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r>
      <w:tr>
        <w:trPr>
          <w:trHeight w:val="137"/>
        </w:trPr>
        <w:tc>
          <w:tcPr>
            <w:tcW w:w="20" w:type="dxa"/>
            <w:vAlign w:val="bottom"/>
          </w:tcPr>
          <w:p>
            <w:pPr>
              <w:spacing w:after="0"/>
              <w:rPr>
                <w:sz w:val="11"/>
                <w:szCs w:val="11"/>
                <w:color w:val="auto"/>
              </w:rPr>
            </w:pPr>
          </w:p>
        </w:tc>
        <w:tc>
          <w:tcPr>
            <w:tcW w:w="3540" w:type="dxa"/>
            <w:vAlign w:val="bottom"/>
          </w:tcPr>
          <w:p>
            <w:pPr>
              <w:spacing w:after="0"/>
              <w:rPr>
                <w:sz w:val="11"/>
                <w:szCs w:val="11"/>
                <w:color w:val="auto"/>
              </w:rPr>
            </w:pPr>
          </w:p>
        </w:tc>
        <w:tc>
          <w:tcPr>
            <w:tcW w:w="2200" w:type="dxa"/>
            <w:vAlign w:val="bottom"/>
          </w:tcPr>
          <w:p>
            <w:pPr>
              <w:spacing w:after="0"/>
              <w:rPr>
                <w:sz w:val="11"/>
                <w:szCs w:val="11"/>
                <w:color w:val="auto"/>
              </w:rPr>
            </w:pPr>
          </w:p>
        </w:tc>
        <w:tc>
          <w:tcPr>
            <w:tcW w:w="640" w:type="dxa"/>
            <w:vAlign w:val="bottom"/>
          </w:tcPr>
          <w:p>
            <w:pPr>
              <w:jc w:val="right"/>
              <w:ind w:right="39"/>
              <w:spacing w:after="0"/>
              <w:rPr>
                <w:sz w:val="20"/>
                <w:szCs w:val="20"/>
                <w:color w:val="auto"/>
              </w:rPr>
            </w:pPr>
            <w:r>
              <w:rPr>
                <w:rFonts w:ascii="Arial" w:cs="Arial" w:eastAsia="Arial" w:hAnsi="Arial"/>
                <w:sz w:val="12"/>
                <w:szCs w:val="12"/>
                <w:b w:val="1"/>
                <w:bCs w:val="1"/>
                <w:color w:val="009CCC"/>
              </w:rPr>
              <w:t>Deferral</w:t>
            </w:r>
          </w:p>
        </w:tc>
        <w:tc>
          <w:tcPr>
            <w:tcW w:w="720" w:type="dxa"/>
            <w:vAlign w:val="bottom"/>
          </w:tcPr>
          <w:p>
            <w:pPr>
              <w:jc w:val="right"/>
              <w:ind w:right="19"/>
              <w:spacing w:after="0"/>
              <w:rPr>
                <w:sz w:val="20"/>
                <w:szCs w:val="20"/>
                <w:color w:val="auto"/>
              </w:rPr>
            </w:pPr>
            <w:r>
              <w:rPr>
                <w:rFonts w:ascii="Arial" w:cs="Arial" w:eastAsia="Arial" w:hAnsi="Arial"/>
                <w:sz w:val="12"/>
                <w:szCs w:val="12"/>
                <w:b w:val="1"/>
                <w:bCs w:val="1"/>
                <w:color w:val="009CCC"/>
              </w:rPr>
              <w:t>Match</w:t>
            </w: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r>
      <w:tr>
        <w:trPr>
          <w:trHeight w:val="137"/>
        </w:trPr>
        <w:tc>
          <w:tcPr>
            <w:tcW w:w="20" w:type="dxa"/>
            <w:vAlign w:val="bottom"/>
          </w:tcPr>
          <w:p>
            <w:pPr>
              <w:spacing w:after="0"/>
              <w:rPr>
                <w:sz w:val="11"/>
                <w:szCs w:val="11"/>
                <w:color w:val="auto"/>
              </w:rPr>
            </w:pPr>
          </w:p>
        </w:tc>
        <w:tc>
          <w:tcPr>
            <w:tcW w:w="3540" w:type="dxa"/>
            <w:vAlign w:val="bottom"/>
          </w:tcPr>
          <w:p>
            <w:pPr>
              <w:spacing w:after="0"/>
              <w:rPr>
                <w:sz w:val="11"/>
                <w:szCs w:val="11"/>
                <w:color w:val="auto"/>
              </w:rPr>
            </w:pPr>
          </w:p>
        </w:tc>
        <w:tc>
          <w:tcPr>
            <w:tcW w:w="2200" w:type="dxa"/>
            <w:vAlign w:val="bottom"/>
          </w:tcPr>
          <w:p>
            <w:pPr>
              <w:spacing w:after="0"/>
              <w:rPr>
                <w:sz w:val="11"/>
                <w:szCs w:val="11"/>
                <w:color w:val="auto"/>
              </w:rPr>
            </w:pPr>
          </w:p>
        </w:tc>
        <w:tc>
          <w:tcPr>
            <w:tcW w:w="640" w:type="dxa"/>
            <w:vAlign w:val="bottom"/>
          </w:tcPr>
          <w:p>
            <w:pPr>
              <w:jc w:val="right"/>
              <w:ind w:right="39"/>
              <w:spacing w:after="0"/>
              <w:rPr>
                <w:sz w:val="20"/>
                <w:szCs w:val="20"/>
                <w:color w:val="auto"/>
              </w:rPr>
            </w:pPr>
            <w:r>
              <w:rPr>
                <w:rFonts w:ascii="Arial" w:cs="Arial" w:eastAsia="Arial" w:hAnsi="Arial"/>
                <w:sz w:val="12"/>
                <w:szCs w:val="12"/>
                <w:b w:val="1"/>
                <w:bCs w:val="1"/>
                <w:color w:val="009CCC"/>
              </w:rPr>
              <w:t>Prior to</w:t>
            </w:r>
          </w:p>
        </w:tc>
        <w:tc>
          <w:tcPr>
            <w:tcW w:w="720" w:type="dxa"/>
            <w:vAlign w:val="bottom"/>
          </w:tcPr>
          <w:p>
            <w:pPr>
              <w:jc w:val="right"/>
              <w:ind w:right="19"/>
              <w:spacing w:after="0"/>
              <w:rPr>
                <w:sz w:val="20"/>
                <w:szCs w:val="20"/>
                <w:color w:val="auto"/>
              </w:rPr>
            </w:pPr>
            <w:r>
              <w:rPr>
                <w:rFonts w:ascii="Arial" w:cs="Arial" w:eastAsia="Arial" w:hAnsi="Arial"/>
                <w:sz w:val="12"/>
                <w:szCs w:val="12"/>
                <w:b w:val="1"/>
                <w:bCs w:val="1"/>
                <w:color w:val="009CCC"/>
              </w:rPr>
              <w:t>Prior to</w:t>
            </w:r>
          </w:p>
        </w:tc>
        <w:tc>
          <w:tcPr>
            <w:tcW w:w="160" w:type="dxa"/>
            <w:vAlign w:val="bottom"/>
          </w:tcPr>
          <w:p>
            <w:pPr>
              <w:spacing w:after="0"/>
              <w:rPr>
                <w:sz w:val="11"/>
                <w:szCs w:val="11"/>
                <w:color w:val="auto"/>
              </w:rPr>
            </w:pPr>
          </w:p>
        </w:tc>
        <w:tc>
          <w:tcPr>
            <w:tcW w:w="560" w:type="dxa"/>
            <w:vAlign w:val="bottom"/>
          </w:tcPr>
          <w:p>
            <w:pPr>
              <w:spacing w:after="0"/>
              <w:rPr>
                <w:sz w:val="11"/>
                <w:szCs w:val="11"/>
                <w:color w:val="auto"/>
              </w:rPr>
            </w:pPr>
          </w:p>
        </w:tc>
      </w:tr>
      <w:tr>
        <w:trPr>
          <w:trHeight w:val="147"/>
        </w:trPr>
        <w:tc>
          <w:tcPr>
            <w:tcW w:w="3560" w:type="dxa"/>
            <w:vAlign w:val="bottom"/>
            <w:tcBorders>
              <w:bottom w:val="single" w:sz="8" w:color="7B7C80"/>
            </w:tcBorders>
            <w:gridSpan w:val="2"/>
          </w:tcPr>
          <w:p>
            <w:pPr>
              <w:spacing w:after="0"/>
              <w:rPr>
                <w:sz w:val="20"/>
                <w:szCs w:val="20"/>
                <w:color w:val="auto"/>
              </w:rPr>
            </w:pPr>
            <w:r>
              <w:rPr>
                <w:rFonts w:ascii="Arial" w:cs="Arial" w:eastAsia="Arial" w:hAnsi="Arial"/>
                <w:sz w:val="12"/>
                <w:szCs w:val="12"/>
                <w:b w:val="1"/>
                <w:bCs w:val="1"/>
                <w:color w:val="009CCC"/>
              </w:rPr>
              <w:t>Named Executive Officer</w:t>
            </w:r>
          </w:p>
        </w:tc>
        <w:tc>
          <w:tcPr>
            <w:tcW w:w="2200" w:type="dxa"/>
            <w:vAlign w:val="bottom"/>
            <w:tcBorders>
              <w:bottom w:val="single" w:sz="8" w:color="7B7C80"/>
            </w:tcBorders>
          </w:tcPr>
          <w:p>
            <w:pPr>
              <w:spacing w:after="0"/>
              <w:rPr>
                <w:sz w:val="12"/>
                <w:szCs w:val="12"/>
                <w:color w:val="auto"/>
              </w:rPr>
            </w:pPr>
          </w:p>
        </w:tc>
        <w:tc>
          <w:tcPr>
            <w:tcW w:w="640" w:type="dxa"/>
            <w:vAlign w:val="bottom"/>
            <w:tcBorders>
              <w:bottom w:val="single" w:sz="8" w:color="7B7C80"/>
            </w:tcBorders>
          </w:tcPr>
          <w:p>
            <w:pPr>
              <w:jc w:val="right"/>
              <w:ind w:right="39"/>
              <w:spacing w:after="0"/>
              <w:rPr>
                <w:sz w:val="20"/>
                <w:szCs w:val="20"/>
                <w:color w:val="auto"/>
              </w:rPr>
            </w:pPr>
            <w:r>
              <w:rPr>
                <w:rFonts w:ascii="Arial" w:cs="Arial" w:eastAsia="Arial" w:hAnsi="Arial"/>
                <w:sz w:val="12"/>
                <w:szCs w:val="12"/>
                <w:b w:val="1"/>
                <w:bCs w:val="1"/>
                <w:color w:val="009CCC"/>
              </w:rPr>
              <w:t>1/1/2017</w:t>
            </w:r>
          </w:p>
        </w:tc>
        <w:tc>
          <w:tcPr>
            <w:tcW w:w="720" w:type="dxa"/>
            <w:vAlign w:val="bottom"/>
            <w:tcBorders>
              <w:bottom w:val="single" w:sz="8" w:color="7B7C80"/>
            </w:tcBorders>
          </w:tcPr>
          <w:p>
            <w:pPr>
              <w:jc w:val="right"/>
              <w:ind w:right="19"/>
              <w:spacing w:after="0"/>
              <w:rPr>
                <w:sz w:val="20"/>
                <w:szCs w:val="20"/>
                <w:color w:val="auto"/>
              </w:rPr>
            </w:pPr>
            <w:r>
              <w:rPr>
                <w:rFonts w:ascii="Arial" w:cs="Arial" w:eastAsia="Arial" w:hAnsi="Arial"/>
                <w:sz w:val="12"/>
                <w:szCs w:val="12"/>
                <w:b w:val="1"/>
                <w:bCs w:val="1"/>
                <w:color w:val="009CCC"/>
              </w:rPr>
              <w:t>1/1/2017</w:t>
            </w:r>
          </w:p>
        </w:tc>
        <w:tc>
          <w:tcPr>
            <w:tcW w:w="160" w:type="dxa"/>
            <w:vAlign w:val="bottom"/>
            <w:tcBorders>
              <w:bottom w:val="single" w:sz="8" w:color="7B7C80"/>
            </w:tcBorders>
          </w:tcPr>
          <w:p>
            <w:pPr>
              <w:spacing w:after="0"/>
              <w:rPr>
                <w:sz w:val="12"/>
                <w:szCs w:val="12"/>
                <w:color w:val="auto"/>
              </w:rPr>
            </w:pPr>
          </w:p>
        </w:tc>
        <w:tc>
          <w:tcPr>
            <w:tcW w:w="56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129"/>
        </w:trPr>
        <w:tc>
          <w:tcPr>
            <w:tcW w:w="20" w:type="dxa"/>
            <w:vAlign w:val="bottom"/>
          </w:tcPr>
          <w:p>
            <w:pPr>
              <w:spacing w:after="0"/>
              <w:rPr>
                <w:sz w:val="11"/>
                <w:szCs w:val="11"/>
                <w:color w:val="auto"/>
              </w:rPr>
            </w:pPr>
          </w:p>
        </w:tc>
        <w:tc>
          <w:tcPr>
            <w:tcW w:w="3540" w:type="dxa"/>
            <w:vAlign w:val="bottom"/>
            <w:tcBorders>
              <w:bottom w:val="single" w:sz="8" w:color="7B7C80"/>
            </w:tcBorders>
            <w:shd w:val="clear" w:color="auto" w:fill="E7E6E7"/>
          </w:tcPr>
          <w:p>
            <w:pPr>
              <w:spacing w:after="0" w:line="129" w:lineRule="exact"/>
              <w:rPr>
                <w:sz w:val="20"/>
                <w:szCs w:val="20"/>
                <w:color w:val="auto"/>
              </w:rPr>
            </w:pPr>
            <w:r>
              <w:rPr>
                <w:rFonts w:ascii="Arial" w:cs="Arial" w:eastAsia="Arial" w:hAnsi="Arial"/>
                <w:sz w:val="12"/>
                <w:szCs w:val="12"/>
                <w:color w:val="7B7C80"/>
              </w:rPr>
              <w:t>Houston</w:t>
            </w:r>
          </w:p>
        </w:tc>
        <w:tc>
          <w:tcPr>
            <w:tcW w:w="220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w w:val="97"/>
              </w:rPr>
              <w:t>1,068,657</w:t>
            </w:r>
          </w:p>
        </w:tc>
        <w:tc>
          <w:tcPr>
            <w:tcW w:w="720" w:type="dxa"/>
            <w:vAlign w:val="bottom"/>
            <w:tcBorders>
              <w:bottom w:val="single" w:sz="8" w:color="7B7C80"/>
            </w:tcBorders>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$680,197</w:t>
            </w:r>
          </w:p>
        </w:tc>
        <w:tc>
          <w:tcPr>
            <w:tcW w:w="16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6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1,748,854</w:t>
            </w:r>
          </w:p>
        </w:tc>
      </w:tr>
      <w:tr>
        <w:trPr>
          <w:trHeight w:val="129"/>
        </w:trPr>
        <w:tc>
          <w:tcPr>
            <w:tcW w:w="3560" w:type="dxa"/>
            <w:vAlign w:val="bottom"/>
            <w:tcBorders>
              <w:bottom w:val="single" w:sz="8" w:color="7B7C80"/>
            </w:tcBorders>
            <w:gridSpan w:val="2"/>
          </w:tcPr>
          <w:p>
            <w:pPr>
              <w:spacing w:after="0" w:line="129" w:lineRule="exact"/>
              <w:rPr>
                <w:sz w:val="20"/>
                <w:szCs w:val="20"/>
                <w:color w:val="auto"/>
              </w:rPr>
            </w:pPr>
            <w:r>
              <w:rPr>
                <w:rFonts w:ascii="Arial" w:cs="Arial" w:eastAsia="Arial" w:hAnsi="Arial"/>
                <w:sz w:val="12"/>
                <w:szCs w:val="12"/>
                <w:color w:val="7B7C80"/>
              </w:rPr>
              <w:t>Strable</w:t>
            </w:r>
          </w:p>
        </w:tc>
        <w:tc>
          <w:tcPr>
            <w:tcW w:w="220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ind w:right="39"/>
              <w:spacing w:after="0" w:line="129" w:lineRule="exact"/>
              <w:rPr>
                <w:sz w:val="20"/>
                <w:szCs w:val="20"/>
                <w:color w:val="auto"/>
              </w:rPr>
            </w:pPr>
            <w:r>
              <w:rPr>
                <w:rFonts w:ascii="Arial" w:cs="Arial" w:eastAsia="Arial" w:hAnsi="Arial"/>
                <w:sz w:val="12"/>
                <w:szCs w:val="12"/>
                <w:color w:val="7B7C80"/>
              </w:rPr>
              <w:t>756,890</w:t>
            </w:r>
          </w:p>
        </w:tc>
        <w:tc>
          <w:tcPr>
            <w:tcW w:w="720" w:type="dxa"/>
            <w:vAlign w:val="bottom"/>
            <w:tcBorders>
              <w:bottom w:val="single" w:sz="8" w:color="7B7C80"/>
            </w:tcBorders>
          </w:tcPr>
          <w:p>
            <w:pPr>
              <w:jc w:val="right"/>
              <w:ind w:right="19"/>
              <w:spacing w:after="0" w:line="129" w:lineRule="exact"/>
              <w:rPr>
                <w:sz w:val="20"/>
                <w:szCs w:val="20"/>
                <w:color w:val="auto"/>
              </w:rPr>
            </w:pPr>
            <w:r>
              <w:rPr>
                <w:rFonts w:ascii="Arial" w:cs="Arial" w:eastAsia="Arial" w:hAnsi="Arial"/>
                <w:sz w:val="12"/>
                <w:szCs w:val="12"/>
                <w:color w:val="7B7C80"/>
              </w:rPr>
              <w:t>$293,676</w:t>
            </w:r>
          </w:p>
        </w:tc>
        <w:tc>
          <w:tcPr>
            <w:tcW w:w="16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56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1,050,566</w:t>
            </w:r>
          </w:p>
        </w:tc>
      </w:tr>
      <w:tr>
        <w:trPr>
          <w:trHeight w:val="129"/>
        </w:trPr>
        <w:tc>
          <w:tcPr>
            <w:tcW w:w="20" w:type="dxa"/>
            <w:vAlign w:val="bottom"/>
          </w:tcPr>
          <w:p>
            <w:pPr>
              <w:spacing w:after="0"/>
              <w:rPr>
                <w:sz w:val="11"/>
                <w:szCs w:val="11"/>
                <w:color w:val="auto"/>
              </w:rPr>
            </w:pPr>
          </w:p>
        </w:tc>
        <w:tc>
          <w:tcPr>
            <w:tcW w:w="3540" w:type="dxa"/>
            <w:vAlign w:val="bottom"/>
            <w:tcBorders>
              <w:bottom w:val="single" w:sz="8" w:color="7B7C80"/>
            </w:tcBorders>
            <w:shd w:val="clear" w:color="auto" w:fill="E7E6E7"/>
          </w:tcPr>
          <w:p>
            <w:pPr>
              <w:spacing w:after="0" w:line="129" w:lineRule="exact"/>
              <w:rPr>
                <w:sz w:val="20"/>
                <w:szCs w:val="20"/>
                <w:color w:val="auto"/>
              </w:rPr>
            </w:pPr>
            <w:r>
              <w:rPr>
                <w:rFonts w:ascii="Arial" w:cs="Arial" w:eastAsia="Arial" w:hAnsi="Arial"/>
                <w:sz w:val="12"/>
                <w:szCs w:val="12"/>
                <w:color w:val="7B7C80"/>
              </w:rPr>
              <w:t>Everett</w:t>
            </w:r>
          </w:p>
        </w:tc>
        <w:tc>
          <w:tcPr>
            <w:tcW w:w="220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652,052</w:t>
            </w:r>
          </w:p>
        </w:tc>
        <w:tc>
          <w:tcPr>
            <w:tcW w:w="720" w:type="dxa"/>
            <w:vAlign w:val="bottom"/>
            <w:tcBorders>
              <w:bottom w:val="single" w:sz="8" w:color="7B7C80"/>
            </w:tcBorders>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$278,023</w:t>
            </w:r>
          </w:p>
        </w:tc>
        <w:tc>
          <w:tcPr>
            <w:tcW w:w="16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6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930,075</w:t>
            </w:r>
          </w:p>
        </w:tc>
      </w:tr>
      <w:tr>
        <w:trPr>
          <w:trHeight w:val="129"/>
        </w:trPr>
        <w:tc>
          <w:tcPr>
            <w:tcW w:w="3560" w:type="dxa"/>
            <w:vAlign w:val="bottom"/>
            <w:tcBorders>
              <w:bottom w:val="single" w:sz="8" w:color="7B7C80"/>
            </w:tcBorders>
            <w:gridSpan w:val="2"/>
          </w:tcPr>
          <w:p>
            <w:pPr>
              <w:spacing w:after="0" w:line="129" w:lineRule="exact"/>
              <w:rPr>
                <w:sz w:val="20"/>
                <w:szCs w:val="20"/>
                <w:color w:val="auto"/>
              </w:rPr>
            </w:pPr>
            <w:r>
              <w:rPr>
                <w:rFonts w:ascii="Arial" w:cs="Arial" w:eastAsia="Arial" w:hAnsi="Arial"/>
                <w:sz w:val="12"/>
                <w:szCs w:val="12"/>
                <w:color w:val="7B7C80"/>
              </w:rPr>
              <w:t>Lillis</w:t>
            </w:r>
          </w:p>
        </w:tc>
        <w:tc>
          <w:tcPr>
            <w:tcW w:w="220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ind w:right="39"/>
              <w:spacing w:after="0" w:line="129" w:lineRule="exact"/>
              <w:rPr>
                <w:sz w:val="20"/>
                <w:szCs w:val="20"/>
                <w:color w:val="auto"/>
              </w:rPr>
            </w:pPr>
            <w:r>
              <w:rPr>
                <w:rFonts w:ascii="Arial" w:cs="Arial" w:eastAsia="Arial" w:hAnsi="Arial"/>
                <w:sz w:val="12"/>
                <w:szCs w:val="12"/>
                <w:color w:val="7B7C80"/>
              </w:rPr>
              <w:t>396,846</w:t>
            </w:r>
          </w:p>
        </w:tc>
        <w:tc>
          <w:tcPr>
            <w:tcW w:w="720" w:type="dxa"/>
            <w:vAlign w:val="bottom"/>
            <w:tcBorders>
              <w:bottom w:val="single" w:sz="8" w:color="7B7C80"/>
            </w:tcBorders>
          </w:tcPr>
          <w:p>
            <w:pPr>
              <w:jc w:val="right"/>
              <w:ind w:right="19"/>
              <w:spacing w:after="0" w:line="129" w:lineRule="exact"/>
              <w:rPr>
                <w:sz w:val="20"/>
                <w:szCs w:val="20"/>
                <w:color w:val="auto"/>
              </w:rPr>
            </w:pPr>
            <w:r>
              <w:rPr>
                <w:rFonts w:ascii="Arial" w:cs="Arial" w:eastAsia="Arial" w:hAnsi="Arial"/>
                <w:sz w:val="12"/>
                <w:szCs w:val="12"/>
                <w:color w:val="7B7C80"/>
              </w:rPr>
              <w:t>$188,526</w:t>
            </w:r>
          </w:p>
        </w:tc>
        <w:tc>
          <w:tcPr>
            <w:tcW w:w="16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w:t>
            </w:r>
          </w:p>
        </w:tc>
        <w:tc>
          <w:tcPr>
            <w:tcW w:w="56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color w:val="7B7C80"/>
              </w:rPr>
              <w:t>585,372</w:t>
            </w:r>
          </w:p>
        </w:tc>
      </w:tr>
      <w:tr>
        <w:trPr>
          <w:trHeight w:val="129"/>
        </w:trPr>
        <w:tc>
          <w:tcPr>
            <w:tcW w:w="20" w:type="dxa"/>
            <w:vAlign w:val="bottom"/>
          </w:tcPr>
          <w:p>
            <w:pPr>
              <w:spacing w:after="0"/>
              <w:rPr>
                <w:sz w:val="11"/>
                <w:szCs w:val="11"/>
                <w:color w:val="auto"/>
              </w:rPr>
            </w:pPr>
          </w:p>
        </w:tc>
        <w:tc>
          <w:tcPr>
            <w:tcW w:w="3540" w:type="dxa"/>
            <w:vAlign w:val="bottom"/>
            <w:tcBorders>
              <w:bottom w:val="single" w:sz="8" w:color="7B7C80"/>
            </w:tcBorders>
            <w:shd w:val="clear" w:color="auto" w:fill="E7E6E7"/>
          </w:tcPr>
          <w:p>
            <w:pPr>
              <w:spacing w:after="0" w:line="129" w:lineRule="exact"/>
              <w:rPr>
                <w:sz w:val="20"/>
                <w:szCs w:val="20"/>
                <w:color w:val="auto"/>
              </w:rPr>
            </w:pPr>
            <w:r>
              <w:rPr>
                <w:rFonts w:ascii="Arial" w:cs="Arial" w:eastAsia="Arial" w:hAnsi="Arial"/>
                <w:sz w:val="12"/>
                <w:szCs w:val="12"/>
                <w:color w:val="7B7C80"/>
              </w:rPr>
              <w:t>McCaughan</w:t>
            </w:r>
          </w:p>
        </w:tc>
        <w:tc>
          <w:tcPr>
            <w:tcW w:w="220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39"/>
              <w:spacing w:after="0" w:line="129" w:lineRule="exact"/>
              <w:rPr>
                <w:sz w:val="20"/>
                <w:szCs w:val="20"/>
                <w:color w:val="auto"/>
              </w:rPr>
            </w:pPr>
            <w:r>
              <w:rPr>
                <w:rFonts w:ascii="Arial" w:cs="Arial" w:eastAsia="Arial" w:hAnsi="Arial"/>
                <w:sz w:val="12"/>
                <w:szCs w:val="12"/>
                <w:color w:val="7B7C80"/>
              </w:rPr>
              <w:t>998,343</w:t>
            </w:r>
          </w:p>
        </w:tc>
        <w:tc>
          <w:tcPr>
            <w:tcW w:w="720" w:type="dxa"/>
            <w:vAlign w:val="bottom"/>
            <w:tcBorders>
              <w:bottom w:val="single" w:sz="8" w:color="7B7C80"/>
            </w:tcBorders>
            <w:shd w:val="clear" w:color="auto" w:fill="E7E6E7"/>
          </w:tcPr>
          <w:p>
            <w:pPr>
              <w:jc w:val="right"/>
              <w:ind w:right="19"/>
              <w:spacing w:after="0" w:line="129" w:lineRule="exact"/>
              <w:rPr>
                <w:sz w:val="20"/>
                <w:szCs w:val="20"/>
                <w:color w:val="auto"/>
              </w:rPr>
            </w:pPr>
            <w:r>
              <w:rPr>
                <w:rFonts w:ascii="Arial" w:cs="Arial" w:eastAsia="Arial" w:hAnsi="Arial"/>
                <w:sz w:val="12"/>
                <w:szCs w:val="12"/>
                <w:color w:val="7B7C80"/>
              </w:rPr>
              <w:t>$581,568</w:t>
            </w:r>
          </w:p>
        </w:tc>
        <w:tc>
          <w:tcPr>
            <w:tcW w:w="16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6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1,579,911</w:t>
            </w:r>
          </w:p>
        </w:tc>
      </w:tr>
      <w:tr>
        <w:trPr>
          <w:trHeight w:val="132"/>
        </w:trPr>
        <w:tc>
          <w:tcPr>
            <w:tcW w:w="3560" w:type="dxa"/>
            <w:vAlign w:val="bottom"/>
            <w:tcBorders>
              <w:bottom w:val="single" w:sz="8" w:color="009CCC"/>
            </w:tcBorders>
            <w:gridSpan w:val="2"/>
          </w:tcPr>
          <w:p>
            <w:pPr>
              <w:spacing w:after="0" w:line="129" w:lineRule="exact"/>
              <w:rPr>
                <w:sz w:val="20"/>
                <w:szCs w:val="20"/>
                <w:color w:val="auto"/>
              </w:rPr>
            </w:pPr>
            <w:r>
              <w:rPr>
                <w:rFonts w:ascii="Arial" w:cs="Arial" w:eastAsia="Arial" w:hAnsi="Arial"/>
                <w:sz w:val="12"/>
                <w:szCs w:val="12"/>
                <w:color w:val="7B7C80"/>
              </w:rPr>
              <w:t>Valdés</w:t>
            </w:r>
          </w:p>
        </w:tc>
        <w:tc>
          <w:tcPr>
            <w:tcW w:w="2200" w:type="dxa"/>
            <w:vAlign w:val="bottom"/>
            <w:tcBorders>
              <w:bottom w:val="single" w:sz="8" w:color="009CCC"/>
            </w:tcBorders>
          </w:tcPr>
          <w:p>
            <w:pPr>
              <w:jc w:val="right"/>
              <w:spacing w:after="0" w:line="129"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009CCC"/>
            </w:tcBorders>
          </w:tcPr>
          <w:p>
            <w:pPr>
              <w:jc w:val="right"/>
              <w:ind w:right="39"/>
              <w:spacing w:after="0" w:line="129" w:lineRule="exact"/>
              <w:rPr>
                <w:sz w:val="20"/>
                <w:szCs w:val="20"/>
                <w:color w:val="auto"/>
              </w:rPr>
            </w:pPr>
            <w:r>
              <w:rPr>
                <w:rFonts w:ascii="Arial" w:cs="Arial" w:eastAsia="Arial" w:hAnsi="Arial"/>
                <w:sz w:val="12"/>
                <w:szCs w:val="12"/>
                <w:color w:val="7B7C80"/>
              </w:rPr>
              <w:t>265,573</w:t>
            </w:r>
          </w:p>
        </w:tc>
        <w:tc>
          <w:tcPr>
            <w:tcW w:w="720" w:type="dxa"/>
            <w:vAlign w:val="bottom"/>
            <w:tcBorders>
              <w:bottom w:val="single" w:sz="8" w:color="009CCC"/>
            </w:tcBorders>
          </w:tcPr>
          <w:p>
            <w:pPr>
              <w:jc w:val="right"/>
              <w:ind w:right="19"/>
              <w:spacing w:after="0" w:line="129" w:lineRule="exact"/>
              <w:rPr>
                <w:sz w:val="20"/>
                <w:szCs w:val="20"/>
                <w:color w:val="auto"/>
              </w:rPr>
            </w:pPr>
            <w:r>
              <w:rPr>
                <w:rFonts w:ascii="Arial" w:cs="Arial" w:eastAsia="Arial" w:hAnsi="Arial"/>
                <w:sz w:val="12"/>
                <w:szCs w:val="12"/>
                <w:color w:val="7B7C80"/>
              </w:rPr>
              <w:t>$193,712</w:t>
            </w:r>
          </w:p>
        </w:tc>
        <w:tc>
          <w:tcPr>
            <w:tcW w:w="160" w:type="dxa"/>
            <w:vAlign w:val="bottom"/>
            <w:tcBorders>
              <w:bottom w:val="single" w:sz="8" w:color="009CCC"/>
            </w:tcBorders>
          </w:tcPr>
          <w:p>
            <w:pPr>
              <w:jc w:val="right"/>
              <w:spacing w:after="0" w:line="129" w:lineRule="exact"/>
              <w:rPr>
                <w:sz w:val="20"/>
                <w:szCs w:val="20"/>
                <w:color w:val="auto"/>
              </w:rPr>
            </w:pPr>
            <w:r>
              <w:rPr>
                <w:rFonts w:ascii="Arial" w:cs="Arial" w:eastAsia="Arial" w:hAnsi="Arial"/>
                <w:sz w:val="12"/>
                <w:szCs w:val="12"/>
                <w:color w:val="7B7C80"/>
              </w:rPr>
              <w:t>$</w:t>
            </w:r>
          </w:p>
        </w:tc>
        <w:tc>
          <w:tcPr>
            <w:tcW w:w="560" w:type="dxa"/>
            <w:vAlign w:val="bottom"/>
            <w:tcBorders>
              <w:bottom w:val="single" w:sz="8" w:color="009CCC"/>
            </w:tcBorders>
          </w:tcPr>
          <w:p>
            <w:pPr>
              <w:jc w:val="right"/>
              <w:spacing w:after="0" w:line="129" w:lineRule="exact"/>
              <w:rPr>
                <w:sz w:val="20"/>
                <w:szCs w:val="20"/>
                <w:color w:val="auto"/>
              </w:rPr>
            </w:pPr>
            <w:r>
              <w:rPr>
                <w:rFonts w:ascii="Arial" w:cs="Arial" w:eastAsia="Arial" w:hAnsi="Arial"/>
                <w:sz w:val="12"/>
                <w:szCs w:val="12"/>
                <w:color w:val="7B7C80"/>
              </w:rPr>
              <w:t>459,285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116205</wp:posOffset>
            </wp:positionV>
            <wp:extent cx="960120" cy="28384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303"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50</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type w:val="continuous"/>
        </w:sectPr>
      </w:pPr>
    </w:p>
    <w:bookmarkStart w:id="53" w:name="page54"/>
    <w:bookmarkEnd w:id="53"/>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Qualified 401(k) Plan and Excess Plan</w:t>
      </w:r>
    </w:p>
    <w:p>
      <w:pPr>
        <w:spacing w:after="0" w:line="178" w:lineRule="exact"/>
        <w:rPr>
          <w:sz w:val="20"/>
          <w:szCs w:val="20"/>
          <w:color w:val="auto"/>
        </w:rPr>
      </w:pPr>
    </w:p>
    <w:tbl>
      <w:tblPr>
        <w:tblLayout w:type="fixed"/>
        <w:tblInd w:w="10" w:type="dxa"/>
        <w:tblCellMar>
          <w:top w:w="0" w:type="dxa"/>
          <w:left w:w="0" w:type="dxa"/>
          <w:bottom w:w="0" w:type="dxa"/>
          <w:right w:w="0" w:type="dxa"/>
        </w:tblCellMar>
      </w:tblPr>
      <w:tr>
        <w:trPr>
          <w:trHeight w:val="183"/>
        </w:trPr>
        <w:tc>
          <w:tcPr>
            <w:tcW w:w="1440" w:type="dxa"/>
            <w:vAlign w:val="bottom"/>
            <w:tcBorders>
              <w:top w:val="single" w:sz="8" w:color="7B7C80"/>
              <w:left w:val="single" w:sz="8" w:color="7B7C80"/>
              <w:bottom w:val="single" w:sz="8" w:color="7B7C80"/>
              <w:right w:val="single" w:sz="8" w:color="7B7C80"/>
            </w:tcBorders>
          </w:tcPr>
          <w:p>
            <w:pPr>
              <w:jc w:val="center"/>
              <w:spacing w:after="0"/>
              <w:rPr>
                <w:sz w:val="20"/>
                <w:szCs w:val="20"/>
                <w:color w:val="auto"/>
              </w:rPr>
            </w:pPr>
            <w:r>
              <w:rPr>
                <w:rFonts w:ascii="Arial" w:cs="Arial" w:eastAsia="Arial" w:hAnsi="Arial"/>
                <w:sz w:val="15"/>
                <w:szCs w:val="15"/>
                <w:b w:val="1"/>
                <w:bCs w:val="1"/>
                <w:color w:val="009CCC"/>
                <w:w w:val="99"/>
              </w:rPr>
              <w:t>Plan Feature</w:t>
            </w:r>
          </w:p>
        </w:tc>
        <w:tc>
          <w:tcPr>
            <w:tcW w:w="3440" w:type="dxa"/>
            <w:vAlign w:val="bottom"/>
            <w:tcBorders>
              <w:top w:val="single" w:sz="8" w:color="7B7C80"/>
              <w:bottom w:val="single" w:sz="8" w:color="7B7C80"/>
              <w:right w:val="single" w:sz="8" w:color="7B7C80"/>
            </w:tcBorders>
          </w:tcPr>
          <w:p>
            <w:pPr>
              <w:ind w:left="1100"/>
              <w:spacing w:after="0"/>
              <w:rPr>
                <w:sz w:val="20"/>
                <w:szCs w:val="20"/>
                <w:color w:val="auto"/>
              </w:rPr>
            </w:pPr>
            <w:r>
              <w:rPr>
                <w:rFonts w:ascii="Arial" w:cs="Arial" w:eastAsia="Arial" w:hAnsi="Arial"/>
                <w:sz w:val="12"/>
                <w:szCs w:val="12"/>
                <w:b w:val="1"/>
                <w:bCs w:val="1"/>
                <w:color w:val="009CCC"/>
              </w:rPr>
              <w:t>Qualified 401(k) Plan</w:t>
            </w:r>
          </w:p>
        </w:tc>
        <w:tc>
          <w:tcPr>
            <w:tcW w:w="6220" w:type="dxa"/>
            <w:vAlign w:val="bottom"/>
            <w:tcBorders>
              <w:top w:val="single" w:sz="8" w:color="7B7C80"/>
              <w:bottom w:val="single" w:sz="8" w:color="7B7C80"/>
            </w:tcBorders>
          </w:tcPr>
          <w:p>
            <w:pPr>
              <w:ind w:left="2920"/>
              <w:spacing w:after="0"/>
              <w:rPr>
                <w:sz w:val="20"/>
                <w:szCs w:val="20"/>
                <w:color w:val="auto"/>
              </w:rPr>
            </w:pPr>
            <w:r>
              <w:rPr>
                <w:rFonts w:ascii="Arial" w:cs="Arial" w:eastAsia="Arial" w:hAnsi="Arial"/>
                <w:sz w:val="12"/>
                <w:szCs w:val="12"/>
                <w:b w:val="1"/>
                <w:bCs w:val="1"/>
                <w:color w:val="009CCC"/>
              </w:rPr>
              <w:t>Excess Plan</w:t>
            </w:r>
          </w:p>
        </w:tc>
        <w:tc>
          <w:tcPr>
            <w:tcW w:w="340" w:type="dxa"/>
            <w:vAlign w:val="bottom"/>
            <w:tcBorders>
              <w:top w:val="single" w:sz="8" w:color="7B7C80"/>
              <w:bottom w:val="single" w:sz="8" w:color="7B7C80"/>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166"/>
        </w:trPr>
        <w:tc>
          <w:tcPr>
            <w:tcW w:w="1440" w:type="dxa"/>
            <w:vAlign w:val="bottom"/>
            <w:tcBorders>
              <w:left w:val="single" w:sz="8" w:color="7B7C80"/>
              <w:right w:val="single" w:sz="8" w:color="7B7C80"/>
            </w:tcBorders>
          </w:tcPr>
          <w:p>
            <w:pPr>
              <w:spacing w:after="0"/>
              <w:rPr>
                <w:sz w:val="14"/>
                <w:szCs w:val="14"/>
                <w:color w:val="auto"/>
              </w:rPr>
            </w:pPr>
          </w:p>
        </w:tc>
        <w:tc>
          <w:tcPr>
            <w:tcW w:w="3440" w:type="dxa"/>
            <w:vAlign w:val="bottom"/>
            <w:tcBorders>
              <w:right w:val="single" w:sz="8" w:color="7B7C80"/>
            </w:tcBorders>
          </w:tcPr>
          <w:p>
            <w:pPr>
              <w:ind w:left="80"/>
              <w:spacing w:after="0" w:line="166" w:lineRule="exact"/>
              <w:rPr>
                <w:sz w:val="20"/>
                <w:szCs w:val="20"/>
                <w:color w:val="auto"/>
              </w:rPr>
            </w:pPr>
            <w:r>
              <w:rPr>
                <w:rFonts w:ascii="Arial" w:cs="Arial" w:eastAsia="Arial" w:hAnsi="Arial"/>
                <w:sz w:val="15"/>
                <w:szCs w:val="15"/>
                <w:color w:val="7B7C80"/>
              </w:rPr>
              <w:t>1-15% of base salary and up to 100% of annual</w:t>
            </w:r>
          </w:p>
        </w:tc>
        <w:tc>
          <w:tcPr>
            <w:tcW w:w="6220" w:type="dxa"/>
            <w:vAlign w:val="bottom"/>
          </w:tcPr>
          <w:p>
            <w:pPr>
              <w:spacing w:after="0"/>
              <w:rPr>
                <w:sz w:val="14"/>
                <w:szCs w:val="14"/>
                <w:color w:val="auto"/>
              </w:rPr>
            </w:pPr>
          </w:p>
        </w:tc>
        <w:tc>
          <w:tcPr>
            <w:tcW w:w="34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1440" w:type="dxa"/>
            <w:vAlign w:val="bottom"/>
            <w:tcBorders>
              <w:left w:val="single" w:sz="8" w:color="7B7C80"/>
              <w:right w:val="single" w:sz="8" w:color="7B7C80"/>
            </w:tcBorders>
            <w:vMerge w:val="restart"/>
          </w:tcPr>
          <w:p>
            <w:pPr>
              <w:jc w:val="center"/>
              <w:ind w:left="6"/>
              <w:spacing w:after="0"/>
              <w:rPr>
                <w:sz w:val="20"/>
                <w:szCs w:val="20"/>
                <w:color w:val="auto"/>
              </w:rPr>
            </w:pPr>
            <w:r>
              <w:rPr>
                <w:rFonts w:ascii="Arial" w:cs="Arial" w:eastAsia="Arial" w:hAnsi="Arial"/>
                <w:sz w:val="15"/>
                <w:szCs w:val="15"/>
                <w:b w:val="1"/>
                <w:bCs w:val="1"/>
                <w:color w:val="7B7C80"/>
                <w:w w:val="98"/>
              </w:rPr>
              <w:t>Deferrals</w:t>
            </w:r>
          </w:p>
        </w:tc>
        <w:tc>
          <w:tcPr>
            <w:tcW w:w="3440" w:type="dxa"/>
            <w:vAlign w:val="bottom"/>
            <w:tcBorders>
              <w:right w:val="single" w:sz="8" w:color="7B7C80"/>
            </w:tcBorders>
          </w:tcPr>
          <w:p>
            <w:pPr>
              <w:ind w:left="80"/>
              <w:spacing w:after="0"/>
              <w:rPr>
                <w:sz w:val="20"/>
                <w:szCs w:val="20"/>
                <w:color w:val="auto"/>
              </w:rPr>
            </w:pPr>
            <w:r>
              <w:rPr>
                <w:rFonts w:ascii="Arial" w:cs="Arial" w:eastAsia="Arial" w:hAnsi="Arial"/>
                <w:sz w:val="15"/>
                <w:szCs w:val="15"/>
                <w:color w:val="7B7C80"/>
              </w:rPr>
              <w:t>incentive compensation awards (1-100% of base</w:t>
            </w:r>
          </w:p>
        </w:tc>
        <w:tc>
          <w:tcPr>
            <w:tcW w:w="6220" w:type="dxa"/>
            <w:vAlign w:val="bottom"/>
            <w:vMerge w:val="restart"/>
          </w:tcPr>
          <w:p>
            <w:pPr>
              <w:ind w:left="80"/>
              <w:spacing w:after="0"/>
              <w:rPr>
                <w:sz w:val="20"/>
                <w:szCs w:val="20"/>
                <w:color w:val="auto"/>
              </w:rPr>
            </w:pPr>
            <w:r>
              <w:rPr>
                <w:rFonts w:ascii="Arial" w:cs="Arial" w:eastAsia="Arial" w:hAnsi="Arial"/>
                <w:sz w:val="15"/>
                <w:szCs w:val="15"/>
                <w:color w:val="7B7C80"/>
              </w:rPr>
              <w:t>1-15% of base salary and up to 100% of annual incentive compensation awards.</w:t>
            </w:r>
          </w:p>
        </w:tc>
        <w:tc>
          <w:tcPr>
            <w:tcW w:w="34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87"/>
        </w:trPr>
        <w:tc>
          <w:tcPr>
            <w:tcW w:w="1440" w:type="dxa"/>
            <w:vAlign w:val="bottom"/>
            <w:tcBorders>
              <w:left w:val="single" w:sz="8" w:color="7B7C80"/>
              <w:right w:val="single" w:sz="8" w:color="7B7C80"/>
            </w:tcBorders>
            <w:vMerge w:val="continue"/>
          </w:tcPr>
          <w:p>
            <w:pPr>
              <w:spacing w:after="0"/>
              <w:rPr>
                <w:sz w:val="7"/>
                <w:szCs w:val="7"/>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pay if not contributing to the Excess Plan) up to</w:t>
            </w:r>
          </w:p>
        </w:tc>
        <w:tc>
          <w:tcPr>
            <w:tcW w:w="6220" w:type="dxa"/>
            <w:vAlign w:val="bottom"/>
            <w:vMerge w:val="continue"/>
          </w:tcPr>
          <w:p>
            <w:pPr>
              <w:spacing w:after="0"/>
              <w:rPr>
                <w:sz w:val="7"/>
                <w:szCs w:val="7"/>
                <w:color w:val="auto"/>
              </w:rPr>
            </w:pPr>
          </w:p>
        </w:tc>
        <w:tc>
          <w:tcPr>
            <w:tcW w:w="34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5"/>
        </w:trPr>
        <w:tc>
          <w:tcPr>
            <w:tcW w:w="1440" w:type="dxa"/>
            <w:vAlign w:val="bottom"/>
            <w:tcBorders>
              <w:left w:val="single" w:sz="8" w:color="7B7C80"/>
              <w:right w:val="single" w:sz="8" w:color="7B7C80"/>
            </w:tcBorders>
          </w:tcPr>
          <w:p>
            <w:pPr>
              <w:spacing w:after="0"/>
              <w:rPr>
                <w:sz w:val="7"/>
                <w:szCs w:val="7"/>
                <w:color w:val="auto"/>
              </w:rPr>
            </w:pPr>
          </w:p>
        </w:tc>
        <w:tc>
          <w:tcPr>
            <w:tcW w:w="3440" w:type="dxa"/>
            <w:vAlign w:val="bottom"/>
            <w:tcBorders>
              <w:right w:val="single" w:sz="8" w:color="7B7C80"/>
            </w:tcBorders>
            <w:vMerge w:val="continue"/>
          </w:tcPr>
          <w:p>
            <w:pPr>
              <w:spacing w:after="0"/>
              <w:rPr>
                <w:sz w:val="7"/>
                <w:szCs w:val="7"/>
                <w:color w:val="auto"/>
              </w:rPr>
            </w:pPr>
          </w:p>
        </w:tc>
        <w:tc>
          <w:tcPr>
            <w:tcW w:w="6220" w:type="dxa"/>
            <w:vAlign w:val="bottom"/>
          </w:tcPr>
          <w:p>
            <w:pPr>
              <w:spacing w:after="0"/>
              <w:rPr>
                <w:sz w:val="7"/>
                <w:szCs w:val="7"/>
                <w:color w:val="auto"/>
              </w:rPr>
            </w:pPr>
          </w:p>
        </w:tc>
        <w:tc>
          <w:tcPr>
            <w:tcW w:w="34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1440" w:type="dxa"/>
            <w:vAlign w:val="bottom"/>
            <w:tcBorders>
              <w:left w:val="single" w:sz="8" w:color="7B7C80"/>
              <w:bottom w:val="single" w:sz="8" w:color="7B7C80"/>
              <w:right w:val="single" w:sz="8" w:color="7B7C80"/>
            </w:tcBorders>
          </w:tcPr>
          <w:p>
            <w:pPr>
              <w:spacing w:after="0"/>
              <w:rPr>
                <w:sz w:val="14"/>
                <w:szCs w:val="14"/>
                <w:color w:val="auto"/>
              </w:rPr>
            </w:pPr>
          </w:p>
        </w:tc>
        <w:tc>
          <w:tcPr>
            <w:tcW w:w="3440" w:type="dxa"/>
            <w:vAlign w:val="bottom"/>
            <w:tcBorders>
              <w:bottom w:val="single" w:sz="8" w:color="7B7C80"/>
              <w:right w:val="single" w:sz="8" w:color="7B7C80"/>
            </w:tcBorders>
          </w:tcPr>
          <w:p>
            <w:pPr>
              <w:ind w:left="80"/>
              <w:spacing w:after="0" w:line="169" w:lineRule="exact"/>
              <w:rPr>
                <w:sz w:val="20"/>
                <w:szCs w:val="20"/>
                <w:color w:val="auto"/>
              </w:rPr>
            </w:pPr>
            <w:r>
              <w:rPr>
                <w:rFonts w:ascii="Arial" w:cs="Arial" w:eastAsia="Arial" w:hAnsi="Arial"/>
                <w:sz w:val="15"/>
                <w:szCs w:val="15"/>
                <w:color w:val="7B7C80"/>
              </w:rPr>
              <w:t>the limits imposed by the Tax Code.</w:t>
            </w:r>
          </w:p>
        </w:tc>
        <w:tc>
          <w:tcPr>
            <w:tcW w:w="6220" w:type="dxa"/>
            <w:vAlign w:val="bottom"/>
            <w:tcBorders>
              <w:bottom w:val="single" w:sz="8" w:color="7B7C80"/>
            </w:tcBorders>
          </w:tcPr>
          <w:p>
            <w:pPr>
              <w:spacing w:after="0"/>
              <w:rPr>
                <w:sz w:val="14"/>
                <w:szCs w:val="14"/>
                <w:color w:val="auto"/>
              </w:rPr>
            </w:pPr>
          </w:p>
        </w:tc>
        <w:tc>
          <w:tcPr>
            <w:tcW w:w="34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44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5"/>
                <w:szCs w:val="15"/>
                <w:b w:val="1"/>
                <w:bCs w:val="1"/>
                <w:color w:val="7B7C80"/>
                <w:w w:val="98"/>
              </w:rPr>
              <w:t>Investment</w:t>
            </w:r>
          </w:p>
        </w:tc>
        <w:tc>
          <w:tcPr>
            <w:tcW w:w="3440" w:type="dxa"/>
            <w:vAlign w:val="bottom"/>
            <w:tcBorders>
              <w:right w:val="single" w:sz="8" w:color="7B7C80"/>
            </w:tcBorders>
          </w:tcPr>
          <w:p>
            <w:pPr>
              <w:ind w:left="80"/>
              <w:spacing w:after="0" w:line="166" w:lineRule="exact"/>
              <w:rPr>
                <w:sz w:val="20"/>
                <w:szCs w:val="20"/>
                <w:color w:val="auto"/>
              </w:rPr>
            </w:pPr>
            <w:r>
              <w:rPr>
                <w:rFonts w:ascii="Arial" w:cs="Arial" w:eastAsia="Arial" w:hAnsi="Arial"/>
                <w:sz w:val="15"/>
                <w:szCs w:val="15"/>
                <w:color w:val="7B7C80"/>
              </w:rPr>
              <w:t>There are 20 investment options and investment</w:t>
            </w:r>
          </w:p>
        </w:tc>
        <w:tc>
          <w:tcPr>
            <w:tcW w:w="6560" w:type="dxa"/>
            <w:vAlign w:val="bottom"/>
            <w:tcBorders>
              <w:right w:val="single" w:sz="8" w:color="7B7C80"/>
            </w:tcBorders>
            <w:gridSpan w:val="2"/>
            <w:vMerge w:val="restart"/>
          </w:tcPr>
          <w:p>
            <w:pPr>
              <w:ind w:left="80"/>
              <w:spacing w:after="0"/>
              <w:rPr>
                <w:sz w:val="20"/>
                <w:szCs w:val="20"/>
                <w:color w:val="auto"/>
              </w:rPr>
            </w:pPr>
            <w:r>
              <w:rPr>
                <w:rFonts w:ascii="Arial" w:cs="Arial" w:eastAsia="Arial" w:hAnsi="Arial"/>
                <w:sz w:val="15"/>
                <w:szCs w:val="15"/>
                <w:color w:val="7B7C80"/>
              </w:rPr>
              <w:t>The investment options are listed on page 52 and investment return is based on the participant's</w:t>
            </w:r>
          </w:p>
        </w:tc>
        <w:tc>
          <w:tcPr>
            <w:tcW w:w="0" w:type="dxa"/>
            <w:vAlign w:val="bottom"/>
          </w:tcPr>
          <w:p>
            <w:pPr>
              <w:spacing w:after="0"/>
              <w:rPr>
                <w:sz w:val="1"/>
                <w:szCs w:val="1"/>
                <w:color w:val="auto"/>
              </w:rPr>
            </w:pPr>
          </w:p>
        </w:tc>
      </w:tr>
      <w:tr>
        <w:trPr>
          <w:trHeight w:val="62"/>
        </w:trPr>
        <w:tc>
          <w:tcPr>
            <w:tcW w:w="1440" w:type="dxa"/>
            <w:vAlign w:val="bottom"/>
            <w:tcBorders>
              <w:left w:val="single" w:sz="8" w:color="7B7C80"/>
              <w:right w:val="single" w:sz="8" w:color="7B7C80"/>
            </w:tcBorders>
            <w:vMerge w:val="continue"/>
          </w:tcPr>
          <w:p>
            <w:pPr>
              <w:spacing w:after="0"/>
              <w:rPr>
                <w:sz w:val="5"/>
                <w:szCs w:val="5"/>
                <w:color w:val="auto"/>
              </w:rPr>
            </w:pPr>
          </w:p>
        </w:tc>
        <w:tc>
          <w:tcPr>
            <w:tcW w:w="3440" w:type="dxa"/>
            <w:vAlign w:val="bottom"/>
            <w:tcBorders>
              <w:right w:val="single" w:sz="8" w:color="7B7C80"/>
            </w:tcBorders>
            <w:vMerge w:val="restart"/>
          </w:tcPr>
          <w:p>
            <w:pPr>
              <w:ind w:left="80"/>
              <w:spacing w:after="0"/>
              <w:rPr>
                <w:sz w:val="20"/>
                <w:szCs w:val="20"/>
                <w:color w:val="auto"/>
              </w:rPr>
            </w:pPr>
            <w:r>
              <w:rPr>
                <w:rFonts w:ascii="Arial" w:cs="Arial" w:eastAsia="Arial" w:hAnsi="Arial"/>
                <w:sz w:val="15"/>
                <w:szCs w:val="15"/>
                <w:color w:val="7B7C80"/>
              </w:rPr>
              <w:t>and investment return is based on the</w:t>
            </w:r>
          </w:p>
        </w:tc>
        <w:tc>
          <w:tcPr>
            <w:tcW w:w="6560" w:type="dxa"/>
            <w:vAlign w:val="bottom"/>
            <w:tcBorders>
              <w:right w:val="single" w:sz="8" w:color="7B7C80"/>
            </w:tcBorders>
            <w:gridSpan w:val="2"/>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10"/>
        </w:trPr>
        <w:tc>
          <w:tcPr>
            <w:tcW w:w="1440" w:type="dxa"/>
            <w:vAlign w:val="bottom"/>
            <w:tcBorders>
              <w:left w:val="single" w:sz="8" w:color="7B7C80"/>
              <w:right w:val="single" w:sz="8" w:color="7B7C80"/>
            </w:tcBorders>
            <w:vMerge w:val="restart"/>
          </w:tcPr>
          <w:p>
            <w:pPr>
              <w:jc w:val="center"/>
              <w:ind w:left="6"/>
              <w:spacing w:after="0"/>
              <w:rPr>
                <w:sz w:val="20"/>
                <w:szCs w:val="20"/>
                <w:color w:val="auto"/>
              </w:rPr>
            </w:pPr>
            <w:r>
              <w:rPr>
                <w:rFonts w:ascii="Arial" w:cs="Arial" w:eastAsia="Arial" w:hAnsi="Arial"/>
                <w:sz w:val="15"/>
                <w:szCs w:val="15"/>
                <w:b w:val="1"/>
                <w:bCs w:val="1"/>
                <w:color w:val="7B7C80"/>
                <w:w w:val="98"/>
              </w:rPr>
              <w:t>Options</w:t>
            </w:r>
          </w:p>
        </w:tc>
        <w:tc>
          <w:tcPr>
            <w:tcW w:w="3440" w:type="dxa"/>
            <w:vAlign w:val="bottom"/>
            <w:tcBorders>
              <w:right w:val="single" w:sz="8" w:color="7B7C80"/>
            </w:tcBorders>
            <w:vMerge w:val="continue"/>
          </w:tcPr>
          <w:p>
            <w:pPr>
              <w:spacing w:after="0"/>
              <w:rPr>
                <w:sz w:val="9"/>
                <w:szCs w:val="9"/>
                <w:color w:val="auto"/>
              </w:rPr>
            </w:pPr>
          </w:p>
        </w:tc>
        <w:tc>
          <w:tcPr>
            <w:tcW w:w="6220" w:type="dxa"/>
            <w:vAlign w:val="bottom"/>
            <w:vMerge w:val="restart"/>
          </w:tcPr>
          <w:p>
            <w:pPr>
              <w:ind w:left="80"/>
              <w:spacing w:after="0"/>
              <w:rPr>
                <w:sz w:val="20"/>
                <w:szCs w:val="20"/>
                <w:color w:val="auto"/>
              </w:rPr>
            </w:pPr>
            <w:r>
              <w:rPr>
                <w:rFonts w:ascii="Arial" w:cs="Arial" w:eastAsia="Arial" w:hAnsi="Arial"/>
                <w:sz w:val="15"/>
                <w:szCs w:val="15"/>
                <w:color w:val="7B7C80"/>
              </w:rPr>
              <w:t>investment direction.</w:t>
            </w:r>
          </w:p>
        </w:tc>
        <w:tc>
          <w:tcPr>
            <w:tcW w:w="340" w:type="dxa"/>
            <w:vAlign w:val="bottom"/>
            <w:tcBorders>
              <w:right w:val="single" w:sz="8" w:color="7B7C80"/>
            </w:tcBorders>
          </w:tcPr>
          <w:p>
            <w:pPr>
              <w:spacing w:after="0"/>
              <w:rPr>
                <w:sz w:val="9"/>
                <w:szCs w:val="9"/>
                <w:color w:val="auto"/>
              </w:rPr>
            </w:pPr>
          </w:p>
        </w:tc>
        <w:tc>
          <w:tcPr>
            <w:tcW w:w="0" w:type="dxa"/>
            <w:vAlign w:val="bottom"/>
          </w:tcPr>
          <w:p>
            <w:pPr>
              <w:spacing w:after="0"/>
              <w:rPr>
                <w:sz w:val="1"/>
                <w:szCs w:val="1"/>
                <w:color w:val="auto"/>
              </w:rPr>
            </w:pPr>
          </w:p>
        </w:tc>
      </w:tr>
      <w:tr>
        <w:trPr>
          <w:trHeight w:val="87"/>
        </w:trPr>
        <w:tc>
          <w:tcPr>
            <w:tcW w:w="1440" w:type="dxa"/>
            <w:vAlign w:val="bottom"/>
            <w:tcBorders>
              <w:left w:val="single" w:sz="8" w:color="7B7C80"/>
              <w:right w:val="single" w:sz="8" w:color="7B7C80"/>
            </w:tcBorders>
            <w:vMerge w:val="continue"/>
          </w:tcPr>
          <w:p>
            <w:pPr>
              <w:spacing w:after="0"/>
              <w:rPr>
                <w:sz w:val="7"/>
                <w:szCs w:val="7"/>
                <w:color w:val="auto"/>
              </w:rPr>
            </w:pPr>
          </w:p>
        </w:tc>
        <w:tc>
          <w:tcPr>
            <w:tcW w:w="344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participant's investment direction.</w:t>
            </w:r>
          </w:p>
        </w:tc>
        <w:tc>
          <w:tcPr>
            <w:tcW w:w="6220" w:type="dxa"/>
            <w:vAlign w:val="bottom"/>
            <w:vMerge w:val="continue"/>
          </w:tcPr>
          <w:p>
            <w:pPr>
              <w:spacing w:after="0"/>
              <w:rPr>
                <w:sz w:val="7"/>
                <w:szCs w:val="7"/>
                <w:color w:val="auto"/>
              </w:rPr>
            </w:pPr>
          </w:p>
        </w:tc>
        <w:tc>
          <w:tcPr>
            <w:tcW w:w="34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2"/>
        </w:trPr>
        <w:tc>
          <w:tcPr>
            <w:tcW w:w="1440" w:type="dxa"/>
            <w:vAlign w:val="bottom"/>
            <w:tcBorders>
              <w:left w:val="single" w:sz="8" w:color="7B7C80"/>
              <w:bottom w:val="single" w:sz="8" w:color="7B7C80"/>
              <w:right w:val="single" w:sz="8" w:color="7B7C80"/>
            </w:tcBorders>
          </w:tcPr>
          <w:p>
            <w:pPr>
              <w:spacing w:after="0"/>
              <w:rPr>
                <w:sz w:val="7"/>
                <w:szCs w:val="7"/>
                <w:color w:val="auto"/>
              </w:rPr>
            </w:pPr>
          </w:p>
        </w:tc>
        <w:tc>
          <w:tcPr>
            <w:tcW w:w="3440" w:type="dxa"/>
            <w:vAlign w:val="bottom"/>
            <w:tcBorders>
              <w:bottom w:val="single" w:sz="8" w:color="7B7C80"/>
              <w:right w:val="single" w:sz="8" w:color="7B7C80"/>
            </w:tcBorders>
            <w:vMerge w:val="continue"/>
          </w:tcPr>
          <w:p>
            <w:pPr>
              <w:spacing w:after="0"/>
              <w:rPr>
                <w:sz w:val="7"/>
                <w:szCs w:val="7"/>
                <w:color w:val="auto"/>
              </w:rPr>
            </w:pPr>
          </w:p>
        </w:tc>
        <w:tc>
          <w:tcPr>
            <w:tcW w:w="6220" w:type="dxa"/>
            <w:vAlign w:val="bottom"/>
            <w:tcBorders>
              <w:bottom w:val="single" w:sz="8" w:color="7B7C80"/>
            </w:tcBorders>
          </w:tcPr>
          <w:p>
            <w:pPr>
              <w:spacing w:after="0"/>
              <w:rPr>
                <w:sz w:val="7"/>
                <w:szCs w:val="7"/>
                <w:color w:val="auto"/>
              </w:rPr>
            </w:pPr>
          </w:p>
        </w:tc>
        <w:tc>
          <w:tcPr>
            <w:tcW w:w="340" w:type="dxa"/>
            <w:vAlign w:val="bottom"/>
            <w:tcBorders>
              <w:bottom w:val="single" w:sz="8" w:color="7B7C80"/>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6"/>
        </w:trPr>
        <w:tc>
          <w:tcPr>
            <w:tcW w:w="1440" w:type="dxa"/>
            <w:vAlign w:val="bottom"/>
            <w:tcBorders>
              <w:left w:val="single" w:sz="8" w:color="7B7C80"/>
              <w:right w:val="single" w:sz="8" w:color="7B7C80"/>
            </w:tcBorders>
            <w:vMerge w:val="restart"/>
          </w:tcPr>
          <w:p>
            <w:pPr>
              <w:jc w:val="center"/>
              <w:ind w:left="6"/>
              <w:spacing w:after="0"/>
              <w:rPr>
                <w:sz w:val="20"/>
                <w:szCs w:val="20"/>
                <w:color w:val="auto"/>
              </w:rPr>
            </w:pPr>
            <w:r>
              <w:rPr>
                <w:rFonts w:ascii="Arial" w:cs="Arial" w:eastAsia="Arial" w:hAnsi="Arial"/>
                <w:sz w:val="15"/>
                <w:szCs w:val="15"/>
                <w:b w:val="1"/>
                <w:bCs w:val="1"/>
                <w:color w:val="7B7C80"/>
                <w:w w:val="99"/>
              </w:rPr>
              <w:t>Distributions</w:t>
            </w:r>
          </w:p>
        </w:tc>
        <w:tc>
          <w:tcPr>
            <w:tcW w:w="3440" w:type="dxa"/>
            <w:vAlign w:val="bottom"/>
            <w:tcBorders>
              <w:right w:val="single" w:sz="8" w:color="7B7C80"/>
            </w:tcBorders>
          </w:tcPr>
          <w:p>
            <w:pPr>
              <w:ind w:left="80"/>
              <w:spacing w:after="0" w:line="166" w:lineRule="exact"/>
              <w:rPr>
                <w:sz w:val="20"/>
                <w:szCs w:val="20"/>
                <w:color w:val="auto"/>
              </w:rPr>
            </w:pPr>
            <w:r>
              <w:rPr>
                <w:rFonts w:ascii="Arial" w:cs="Arial" w:eastAsia="Arial" w:hAnsi="Arial"/>
                <w:sz w:val="15"/>
                <w:szCs w:val="15"/>
                <w:color w:val="7B7C80"/>
              </w:rPr>
              <w:t>Allowed at various times including termination,</w:t>
            </w:r>
          </w:p>
        </w:tc>
        <w:tc>
          <w:tcPr>
            <w:tcW w:w="6220" w:type="dxa"/>
            <w:vAlign w:val="bottom"/>
          </w:tcPr>
          <w:p>
            <w:pPr>
              <w:ind w:left="80"/>
              <w:spacing w:after="0" w:line="166" w:lineRule="exact"/>
              <w:rPr>
                <w:sz w:val="20"/>
                <w:szCs w:val="20"/>
                <w:color w:val="auto"/>
              </w:rPr>
            </w:pPr>
            <w:r>
              <w:rPr>
                <w:rFonts w:ascii="Arial" w:cs="Arial" w:eastAsia="Arial" w:hAnsi="Arial"/>
                <w:sz w:val="15"/>
                <w:szCs w:val="15"/>
                <w:color w:val="7B7C80"/>
              </w:rPr>
              <w:t>Allowed at various times including termination, death, specified date, change of control,</w:t>
            </w:r>
          </w:p>
        </w:tc>
        <w:tc>
          <w:tcPr>
            <w:tcW w:w="34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87"/>
        </w:trPr>
        <w:tc>
          <w:tcPr>
            <w:tcW w:w="1440" w:type="dxa"/>
            <w:vAlign w:val="bottom"/>
            <w:tcBorders>
              <w:left w:val="single" w:sz="8" w:color="7B7C80"/>
              <w:right w:val="single" w:sz="8" w:color="7B7C80"/>
            </w:tcBorders>
            <w:vMerge w:val="continue"/>
          </w:tcPr>
          <w:p>
            <w:pPr>
              <w:spacing w:after="0"/>
              <w:rPr>
                <w:sz w:val="7"/>
                <w:szCs w:val="7"/>
                <w:color w:val="auto"/>
              </w:rPr>
            </w:pPr>
          </w:p>
        </w:tc>
        <w:tc>
          <w:tcPr>
            <w:tcW w:w="3440" w:type="dxa"/>
            <w:vAlign w:val="bottom"/>
            <w:tcBorders>
              <w:right w:val="single" w:sz="8" w:color="7B7C80"/>
            </w:tcBorders>
            <w:vMerge w:val="restart"/>
          </w:tcPr>
          <w:p>
            <w:pPr>
              <w:ind w:left="80"/>
              <w:spacing w:after="0" w:line="169" w:lineRule="exact"/>
              <w:rPr>
                <w:sz w:val="20"/>
                <w:szCs w:val="20"/>
                <w:color w:val="auto"/>
              </w:rPr>
            </w:pPr>
            <w:r>
              <w:rPr>
                <w:rFonts w:ascii="Arial" w:cs="Arial" w:eastAsia="Arial" w:hAnsi="Arial"/>
                <w:sz w:val="15"/>
                <w:szCs w:val="15"/>
                <w:color w:val="7B7C80"/>
              </w:rPr>
              <w:t>death and disability.</w:t>
            </w:r>
          </w:p>
        </w:tc>
        <w:tc>
          <w:tcPr>
            <w:tcW w:w="6220" w:type="dxa"/>
            <w:vAlign w:val="bottom"/>
            <w:vMerge w:val="restart"/>
          </w:tcPr>
          <w:p>
            <w:pPr>
              <w:ind w:left="80"/>
              <w:spacing w:after="0" w:line="169" w:lineRule="exact"/>
              <w:rPr>
                <w:sz w:val="20"/>
                <w:szCs w:val="20"/>
                <w:color w:val="auto"/>
              </w:rPr>
            </w:pPr>
            <w:r>
              <w:rPr>
                <w:rFonts w:ascii="Arial" w:cs="Arial" w:eastAsia="Arial" w:hAnsi="Arial"/>
                <w:sz w:val="15"/>
                <w:szCs w:val="15"/>
                <w:color w:val="7B7C80"/>
              </w:rPr>
              <w:t>unforeseen emergency and mandatory payment at age 65.</w:t>
            </w:r>
          </w:p>
        </w:tc>
        <w:tc>
          <w:tcPr>
            <w:tcW w:w="34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82"/>
        </w:trPr>
        <w:tc>
          <w:tcPr>
            <w:tcW w:w="1440" w:type="dxa"/>
            <w:vAlign w:val="bottom"/>
            <w:tcBorders>
              <w:left w:val="single" w:sz="8" w:color="7B7C80"/>
              <w:bottom w:val="single" w:sz="8" w:color="7B7C80"/>
              <w:right w:val="single" w:sz="8" w:color="7B7C80"/>
            </w:tcBorders>
          </w:tcPr>
          <w:p>
            <w:pPr>
              <w:spacing w:after="0"/>
              <w:rPr>
                <w:sz w:val="7"/>
                <w:szCs w:val="7"/>
                <w:color w:val="auto"/>
              </w:rPr>
            </w:pPr>
          </w:p>
        </w:tc>
        <w:tc>
          <w:tcPr>
            <w:tcW w:w="3440" w:type="dxa"/>
            <w:vAlign w:val="bottom"/>
            <w:tcBorders>
              <w:bottom w:val="single" w:sz="8" w:color="7B7C80"/>
              <w:right w:val="single" w:sz="8" w:color="7B7C80"/>
            </w:tcBorders>
            <w:vMerge w:val="continue"/>
          </w:tcPr>
          <w:p>
            <w:pPr>
              <w:spacing w:after="0"/>
              <w:rPr>
                <w:sz w:val="7"/>
                <w:szCs w:val="7"/>
                <w:color w:val="auto"/>
              </w:rPr>
            </w:pPr>
          </w:p>
        </w:tc>
        <w:tc>
          <w:tcPr>
            <w:tcW w:w="6220" w:type="dxa"/>
            <w:vAlign w:val="bottom"/>
            <w:tcBorders>
              <w:bottom w:val="single" w:sz="8" w:color="7B7C80"/>
            </w:tcBorders>
            <w:vMerge w:val="continue"/>
          </w:tcPr>
          <w:p>
            <w:pPr>
              <w:spacing w:after="0"/>
              <w:rPr>
                <w:sz w:val="7"/>
                <w:szCs w:val="7"/>
                <w:color w:val="auto"/>
              </w:rPr>
            </w:pPr>
          </w:p>
        </w:tc>
        <w:tc>
          <w:tcPr>
            <w:tcW w:w="340" w:type="dxa"/>
            <w:vAlign w:val="bottom"/>
            <w:tcBorders>
              <w:bottom w:val="single" w:sz="8" w:color="7B7C80"/>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63"/>
        </w:trPr>
        <w:tc>
          <w:tcPr>
            <w:tcW w:w="1440" w:type="dxa"/>
            <w:vAlign w:val="bottom"/>
            <w:tcBorders>
              <w:left w:val="single" w:sz="8" w:color="7B7C80"/>
              <w:bottom w:val="single" w:sz="8" w:color="7B7C80"/>
              <w:right w:val="single" w:sz="8" w:color="7B7C80"/>
            </w:tcBorders>
          </w:tcPr>
          <w:p>
            <w:pPr>
              <w:jc w:val="center"/>
              <w:spacing w:after="0" w:line="164" w:lineRule="exact"/>
              <w:rPr>
                <w:sz w:val="20"/>
                <w:szCs w:val="20"/>
                <w:color w:val="auto"/>
              </w:rPr>
            </w:pPr>
            <w:r>
              <w:rPr>
                <w:rFonts w:ascii="Arial" w:cs="Arial" w:eastAsia="Arial" w:hAnsi="Arial"/>
                <w:sz w:val="15"/>
                <w:szCs w:val="15"/>
                <w:b w:val="1"/>
                <w:bCs w:val="1"/>
                <w:color w:val="7B7C80"/>
                <w:w w:val="99"/>
              </w:rPr>
              <w:t>Vesting</w:t>
            </w:r>
          </w:p>
        </w:tc>
        <w:tc>
          <w:tcPr>
            <w:tcW w:w="3440" w:type="dxa"/>
            <w:vAlign w:val="bottom"/>
            <w:tcBorders>
              <w:bottom w:val="single" w:sz="8" w:color="7B7C80"/>
              <w:right w:val="single" w:sz="8" w:color="7B7C80"/>
            </w:tcBorders>
          </w:tcPr>
          <w:p>
            <w:pPr>
              <w:ind w:left="80"/>
              <w:spacing w:after="0" w:line="164" w:lineRule="exact"/>
              <w:rPr>
                <w:sz w:val="20"/>
                <w:szCs w:val="20"/>
                <w:color w:val="auto"/>
              </w:rPr>
            </w:pPr>
            <w:r>
              <w:rPr>
                <w:rFonts w:ascii="Arial" w:cs="Arial" w:eastAsia="Arial" w:hAnsi="Arial"/>
                <w:sz w:val="15"/>
                <w:szCs w:val="15"/>
                <w:color w:val="7B7C80"/>
              </w:rPr>
              <w:t>3 year cliff</w:t>
            </w:r>
          </w:p>
        </w:tc>
        <w:tc>
          <w:tcPr>
            <w:tcW w:w="6220" w:type="dxa"/>
            <w:vAlign w:val="bottom"/>
            <w:tcBorders>
              <w:bottom w:val="single" w:sz="8" w:color="7B7C80"/>
            </w:tcBorders>
          </w:tcPr>
          <w:p>
            <w:pPr>
              <w:ind w:left="80"/>
              <w:spacing w:after="0" w:line="164" w:lineRule="exact"/>
              <w:rPr>
                <w:sz w:val="20"/>
                <w:szCs w:val="20"/>
                <w:color w:val="auto"/>
              </w:rPr>
            </w:pPr>
            <w:r>
              <w:rPr>
                <w:rFonts w:ascii="Arial" w:cs="Arial" w:eastAsia="Arial" w:hAnsi="Arial"/>
                <w:sz w:val="15"/>
                <w:szCs w:val="15"/>
                <w:color w:val="7B7C80"/>
              </w:rPr>
              <w:t>Immediate</w:t>
            </w:r>
          </w:p>
        </w:tc>
        <w:tc>
          <w:tcPr>
            <w:tcW w:w="340" w:type="dxa"/>
            <w:vAlign w:val="bottom"/>
            <w:tcBorders>
              <w:bottom w:val="single" w:sz="8" w:color="7B7C80"/>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494"/>
        </w:trPr>
        <w:tc>
          <w:tcPr>
            <w:tcW w:w="1440" w:type="dxa"/>
            <w:vAlign w:val="bottom"/>
          </w:tcPr>
          <w:p>
            <w:pPr>
              <w:spacing w:after="0"/>
              <w:rPr>
                <w:sz w:val="24"/>
                <w:szCs w:val="24"/>
                <w:color w:val="auto"/>
              </w:rPr>
            </w:pPr>
          </w:p>
        </w:tc>
        <w:tc>
          <w:tcPr>
            <w:tcW w:w="3440" w:type="dxa"/>
            <w:vAlign w:val="bottom"/>
          </w:tcPr>
          <w:p>
            <w:pPr>
              <w:spacing w:after="0"/>
              <w:rPr>
                <w:sz w:val="24"/>
                <w:szCs w:val="24"/>
                <w:color w:val="auto"/>
              </w:rPr>
            </w:pPr>
          </w:p>
        </w:tc>
        <w:tc>
          <w:tcPr>
            <w:tcW w:w="6220" w:type="dxa"/>
            <w:vAlign w:val="bottom"/>
          </w:tcPr>
          <w:p>
            <w:pPr>
              <w:ind w:left="458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51</w:t>
            </w:r>
          </w:p>
        </w:tc>
        <w:tc>
          <w:tcPr>
            <w:tcW w:w="0" w:type="dxa"/>
            <w:vAlign w:val="bottom"/>
          </w:tcPr>
          <w:p>
            <w:pPr>
              <w:spacing w:after="0"/>
              <w:rPr>
                <w:sz w:val="1"/>
                <w:szCs w:val="1"/>
                <w:color w:val="auto"/>
              </w:rPr>
            </w:pPr>
          </w:p>
        </w:tc>
      </w:tr>
      <w:tr>
        <w:trPr>
          <w:trHeight w:val="318"/>
        </w:trPr>
        <w:tc>
          <w:tcPr>
            <w:tcW w:w="1440" w:type="dxa"/>
            <w:vAlign w:val="bottom"/>
            <w:tcBorders>
              <w:bottom w:val="single" w:sz="8" w:color="808080"/>
            </w:tcBorders>
          </w:tcPr>
          <w:p>
            <w:pPr>
              <w:spacing w:after="0"/>
              <w:rPr>
                <w:sz w:val="24"/>
                <w:szCs w:val="24"/>
                <w:color w:val="auto"/>
              </w:rPr>
            </w:pPr>
          </w:p>
        </w:tc>
        <w:tc>
          <w:tcPr>
            <w:tcW w:w="3440" w:type="dxa"/>
            <w:vAlign w:val="bottom"/>
            <w:tcBorders>
              <w:bottom w:val="single" w:sz="8" w:color="808080"/>
            </w:tcBorders>
          </w:tcPr>
          <w:p>
            <w:pPr>
              <w:spacing w:after="0"/>
              <w:rPr>
                <w:sz w:val="24"/>
                <w:szCs w:val="24"/>
                <w:color w:val="auto"/>
              </w:rPr>
            </w:pPr>
          </w:p>
        </w:tc>
        <w:tc>
          <w:tcPr>
            <w:tcW w:w="622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3072130</wp:posOffset>
            </wp:positionH>
            <wp:positionV relativeFrom="paragraph">
              <wp:posOffset>-416560</wp:posOffset>
            </wp:positionV>
            <wp:extent cx="960120" cy="2838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54" w:name="page55"/>
    <w:bookmarkEnd w:id="54"/>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spacing w:after="0"/>
        <w:rPr>
          <w:sz w:val="20"/>
          <w:szCs w:val="20"/>
          <w:color w:val="auto"/>
        </w:rPr>
      </w:pPr>
      <w:r>
        <w:rPr>
          <w:rFonts w:ascii="Arial" w:cs="Arial" w:eastAsia="Arial" w:hAnsi="Arial"/>
          <w:sz w:val="15"/>
          <w:szCs w:val="15"/>
          <w:color w:val="7B7C80"/>
        </w:rPr>
        <w:t>The following are the investment options available to all participants in the Excess Plan:</w:t>
      </w:r>
    </w:p>
    <w:p>
      <w:pPr>
        <w:spacing w:after="0" w:line="160" w:lineRule="exact"/>
        <w:rPr>
          <w:sz w:val="20"/>
          <w:szCs w:val="20"/>
          <w:color w:val="auto"/>
        </w:rPr>
      </w:pPr>
    </w:p>
    <w:tbl>
      <w:tblPr>
        <w:tblLayout w:type="fixed"/>
        <w:tblInd w:w="1150" w:type="dxa"/>
        <w:tblCellMar>
          <w:top w:w="0" w:type="dxa"/>
          <w:left w:w="0" w:type="dxa"/>
          <w:bottom w:w="0" w:type="dxa"/>
          <w:right w:w="0" w:type="dxa"/>
        </w:tblCellMar>
      </w:tblPr>
      <w:tr>
        <w:trPr>
          <w:trHeight w:val="139"/>
        </w:trPr>
        <w:tc>
          <w:tcPr>
            <w:tcW w:w="5980" w:type="dxa"/>
            <w:vAlign w:val="bottom"/>
            <w:tcBorders>
              <w:top w:val="single" w:sz="8" w:color="7B7C80"/>
              <w:left w:val="single" w:sz="8" w:color="7B7C80"/>
            </w:tcBorders>
          </w:tcPr>
          <w:p>
            <w:pPr>
              <w:spacing w:after="0"/>
              <w:rPr>
                <w:sz w:val="12"/>
                <w:szCs w:val="12"/>
                <w:color w:val="auto"/>
              </w:rPr>
            </w:pPr>
          </w:p>
        </w:tc>
        <w:tc>
          <w:tcPr>
            <w:tcW w:w="3180" w:type="dxa"/>
            <w:vAlign w:val="bottom"/>
            <w:tcBorders>
              <w:top w:val="single" w:sz="8" w:color="7B7C80"/>
              <w:right w:val="single" w:sz="8" w:color="7B7C80"/>
            </w:tcBorders>
          </w:tcPr>
          <w:p>
            <w:pPr>
              <w:jc w:val="right"/>
              <w:ind w:right="26"/>
              <w:spacing w:after="0"/>
              <w:rPr>
                <w:sz w:val="20"/>
                <w:szCs w:val="20"/>
                <w:color w:val="auto"/>
              </w:rPr>
            </w:pPr>
            <w:r>
              <w:rPr>
                <w:rFonts w:ascii="Arial" w:cs="Arial" w:eastAsia="Arial" w:hAnsi="Arial"/>
                <w:sz w:val="12"/>
                <w:szCs w:val="12"/>
                <w:b w:val="1"/>
                <w:bCs w:val="1"/>
                <w:color w:val="009CCC"/>
              </w:rPr>
              <w:t>1 Year Rate Of Return</w:t>
            </w:r>
          </w:p>
        </w:tc>
      </w:tr>
      <w:tr>
        <w:trPr>
          <w:trHeight w:val="147"/>
        </w:trPr>
        <w:tc>
          <w:tcPr>
            <w:tcW w:w="5980" w:type="dxa"/>
            <w:vAlign w:val="bottom"/>
            <w:tcBorders>
              <w:left w:val="single" w:sz="8" w:color="7B7C80"/>
              <w:bottom w:val="single" w:sz="8" w:color="7B7C80"/>
            </w:tcBorders>
          </w:tcPr>
          <w:p>
            <w:pPr>
              <w:ind w:left="180"/>
              <w:spacing w:after="0"/>
              <w:rPr>
                <w:sz w:val="20"/>
                <w:szCs w:val="20"/>
                <w:color w:val="auto"/>
              </w:rPr>
            </w:pPr>
            <w:r>
              <w:rPr>
                <w:rFonts w:ascii="Arial" w:cs="Arial" w:eastAsia="Arial" w:hAnsi="Arial"/>
                <w:sz w:val="12"/>
                <w:szCs w:val="12"/>
                <w:b w:val="1"/>
                <w:bCs w:val="1"/>
                <w:color w:val="009CCC"/>
              </w:rPr>
              <w:t>Investment Option</w:t>
            </w:r>
          </w:p>
        </w:tc>
        <w:tc>
          <w:tcPr>
            <w:tcW w:w="3180" w:type="dxa"/>
            <w:vAlign w:val="bottom"/>
            <w:tcBorders>
              <w:bottom w:val="single" w:sz="8" w:color="7B7C80"/>
              <w:right w:val="single" w:sz="8" w:color="7B7C80"/>
            </w:tcBorders>
          </w:tcPr>
          <w:p>
            <w:pPr>
              <w:jc w:val="right"/>
              <w:ind w:right="26"/>
              <w:spacing w:after="0"/>
              <w:rPr>
                <w:sz w:val="20"/>
                <w:szCs w:val="20"/>
                <w:color w:val="auto"/>
              </w:rPr>
            </w:pPr>
            <w:r>
              <w:rPr>
                <w:rFonts w:ascii="Arial" w:cs="Arial" w:eastAsia="Arial" w:hAnsi="Arial"/>
                <w:sz w:val="12"/>
                <w:szCs w:val="12"/>
                <w:b w:val="1"/>
                <w:bCs w:val="1"/>
                <w:color w:val="009CCC"/>
              </w:rPr>
              <w:t>(12/31/2017)</w:t>
            </w:r>
          </w:p>
        </w:tc>
      </w:tr>
      <w:tr>
        <w:trPr>
          <w:trHeight w:val="163"/>
        </w:trPr>
        <w:tc>
          <w:tcPr>
            <w:tcW w:w="5980" w:type="dxa"/>
            <w:vAlign w:val="bottom"/>
            <w:tcBorders>
              <w:left w:val="single" w:sz="8" w:color="7B7C80"/>
            </w:tcBorders>
            <w:shd w:val="clear" w:color="auto" w:fill="E7E6E7"/>
          </w:tcPr>
          <w:p>
            <w:pPr>
              <w:ind w:left="180"/>
              <w:spacing w:after="0" w:line="164" w:lineRule="exact"/>
              <w:rPr>
                <w:sz w:val="20"/>
                <w:szCs w:val="20"/>
                <w:color w:val="auto"/>
              </w:rPr>
            </w:pPr>
            <w:r>
              <w:rPr>
                <w:rFonts w:ascii="Arial" w:cs="Arial" w:eastAsia="Arial" w:hAnsi="Arial"/>
                <w:sz w:val="15"/>
                <w:szCs w:val="15"/>
                <w:color w:val="7B7C80"/>
              </w:rPr>
              <w:t>Principal Equity Income Institutional Fund</w:t>
            </w:r>
          </w:p>
        </w:tc>
        <w:tc>
          <w:tcPr>
            <w:tcW w:w="3180" w:type="dxa"/>
            <w:vAlign w:val="bottom"/>
            <w:tcBorders>
              <w:right w:val="single" w:sz="8" w:color="7B7C80"/>
            </w:tcBorders>
            <w:shd w:val="clear" w:color="auto" w:fill="E7E6E7"/>
          </w:tcPr>
          <w:p>
            <w:pPr>
              <w:jc w:val="right"/>
              <w:ind w:right="26"/>
              <w:spacing w:after="0" w:line="164" w:lineRule="exact"/>
              <w:rPr>
                <w:sz w:val="20"/>
                <w:szCs w:val="20"/>
                <w:color w:val="auto"/>
              </w:rPr>
            </w:pPr>
            <w:r>
              <w:rPr>
                <w:rFonts w:ascii="Arial" w:cs="Arial" w:eastAsia="Arial" w:hAnsi="Arial"/>
                <w:sz w:val="15"/>
                <w:szCs w:val="15"/>
                <w:color w:val="7B7C80"/>
              </w:rPr>
              <w:t>21.03%</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LargeCap Value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16.73%</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LargeCap S&amp;P 500 Index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21.65%</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LargeCap Growth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34.57%</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Blue Chip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28.86%</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LargeCap Growth I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33.70%</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MidCap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25.32%</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SmallCap Value II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6.92%</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SmallCap S&amp;P 600 Index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13.01%</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Small Cap Growth I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26.32%</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Real Estate Securities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9.03%</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International Emerging Markets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41.17%</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Diversified International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28.67%</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LifeTime Strategic Income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8.73%</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2010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11.24%</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LifeTime 2015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13.19%</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2020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14.97%</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LifeTime 2025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16.76%</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2030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18.42%</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LifeTime 2035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19.70%</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2040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20.70%</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LifeTime 2045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21.39%</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2050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22.13%</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LifeTime 2055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22.53%</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LifeTime 2060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22.69%</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Core Plus Bond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4.89%</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Inflation Protection Institutional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3.01%</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Government &amp; High Quality Bond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1.58%</w:t>
            </w:r>
          </w:p>
        </w:tc>
      </w:tr>
      <w:tr>
        <w:trPr>
          <w:trHeight w:val="344"/>
        </w:trPr>
        <w:tc>
          <w:tcPr>
            <w:tcW w:w="5980" w:type="dxa"/>
            <w:vAlign w:val="bottom"/>
            <w:tcBorders>
              <w:left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Financial Group, Inc. Employer Stock Fund</w:t>
            </w:r>
          </w:p>
        </w:tc>
        <w:tc>
          <w:tcPr>
            <w:tcW w:w="3180" w:type="dxa"/>
            <w:vAlign w:val="bottom"/>
            <w:tcBorders>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25.18%</w:t>
            </w:r>
          </w:p>
        </w:tc>
      </w:tr>
      <w:tr>
        <w:trPr>
          <w:trHeight w:val="172"/>
        </w:trPr>
        <w:tc>
          <w:tcPr>
            <w:tcW w:w="5980" w:type="dxa"/>
            <w:vAlign w:val="bottom"/>
            <w:tcBorders>
              <w:left w:val="single" w:sz="8" w:color="7B7C80"/>
            </w:tcBorders>
          </w:tcPr>
          <w:p>
            <w:pPr>
              <w:ind w:left="180"/>
              <w:spacing w:after="0"/>
              <w:rPr>
                <w:sz w:val="20"/>
                <w:szCs w:val="20"/>
                <w:color w:val="auto"/>
              </w:rPr>
            </w:pPr>
            <w:r>
              <w:rPr>
                <w:rFonts w:ascii="Arial" w:cs="Arial" w:eastAsia="Arial" w:hAnsi="Arial"/>
                <w:sz w:val="15"/>
                <w:szCs w:val="15"/>
                <w:color w:val="7B7C80"/>
              </w:rPr>
              <w:t>Principal Diversified Real Asset Institutional Fund</w:t>
            </w:r>
          </w:p>
        </w:tc>
        <w:tc>
          <w:tcPr>
            <w:tcW w:w="3180" w:type="dxa"/>
            <w:vAlign w:val="bottom"/>
            <w:tcBorders>
              <w:right w:val="single" w:sz="8" w:color="7B7C80"/>
            </w:tcBorders>
          </w:tcPr>
          <w:p>
            <w:pPr>
              <w:jc w:val="right"/>
              <w:ind w:right="26"/>
              <w:spacing w:after="0"/>
              <w:rPr>
                <w:sz w:val="20"/>
                <w:szCs w:val="20"/>
                <w:color w:val="auto"/>
              </w:rPr>
            </w:pPr>
            <w:r>
              <w:rPr>
                <w:rFonts w:ascii="Arial" w:cs="Arial" w:eastAsia="Arial" w:hAnsi="Arial"/>
                <w:sz w:val="15"/>
                <w:szCs w:val="15"/>
                <w:color w:val="7B7C80"/>
              </w:rPr>
              <w:t>10.17%</w:t>
            </w:r>
          </w:p>
        </w:tc>
      </w:tr>
      <w:tr>
        <w:trPr>
          <w:trHeight w:val="344"/>
        </w:trPr>
        <w:tc>
          <w:tcPr>
            <w:tcW w:w="5980" w:type="dxa"/>
            <w:vAlign w:val="bottom"/>
            <w:tcBorders>
              <w:left w:val="single" w:sz="8" w:color="7B7C80"/>
              <w:bottom w:val="single" w:sz="8" w:color="7B7C80"/>
            </w:tcBorders>
            <w:shd w:val="clear" w:color="auto" w:fill="E7E6E7"/>
          </w:tcPr>
          <w:p>
            <w:pPr>
              <w:ind w:left="180"/>
              <w:spacing w:after="0"/>
              <w:rPr>
                <w:sz w:val="20"/>
                <w:szCs w:val="20"/>
                <w:color w:val="auto"/>
              </w:rPr>
            </w:pPr>
            <w:r>
              <w:rPr>
                <w:rFonts w:ascii="Arial" w:cs="Arial" w:eastAsia="Arial" w:hAnsi="Arial"/>
                <w:sz w:val="15"/>
                <w:szCs w:val="15"/>
                <w:color w:val="7B7C80"/>
              </w:rPr>
              <w:t>Principal Select Stable Value Fund</w:t>
            </w:r>
          </w:p>
        </w:tc>
        <w:tc>
          <w:tcPr>
            <w:tcW w:w="3180" w:type="dxa"/>
            <w:vAlign w:val="bottom"/>
            <w:tcBorders>
              <w:bottom w:val="single" w:sz="8" w:color="7B7C80"/>
              <w:right w:val="single" w:sz="8" w:color="7B7C80"/>
            </w:tcBorders>
            <w:shd w:val="clear" w:color="auto" w:fill="E7E6E7"/>
          </w:tcPr>
          <w:p>
            <w:pPr>
              <w:jc w:val="right"/>
              <w:ind w:right="26"/>
              <w:spacing w:after="0"/>
              <w:rPr>
                <w:sz w:val="20"/>
                <w:szCs w:val="20"/>
                <w:color w:val="auto"/>
              </w:rPr>
            </w:pPr>
            <w:r>
              <w:rPr>
                <w:rFonts w:ascii="Arial" w:cs="Arial" w:eastAsia="Arial" w:hAnsi="Arial"/>
                <w:sz w:val="15"/>
                <w:szCs w:val="15"/>
                <w:color w:val="7B7C80"/>
              </w:rPr>
              <w:t>1.57%</w:t>
            </w:r>
          </w:p>
        </w:tc>
      </w:tr>
    </w:tbl>
    <w:p>
      <w:pPr>
        <w:spacing w:after="0" w:line="168"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Severance Plans</w:t>
      </w:r>
    </w:p>
    <w:p>
      <w:pPr>
        <w:spacing w:after="0" w:line="201"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Messrs. Houston and Valdés and Mses. Strable and Everett are (and Mr. Lillis was, until his retirement on May 1, 2017) eligible for severance under the Company's severance plan if they are terminated because of layoffs, position elimination or similar reasons. They are not eligible for severance benefits if they take a comparable job with Principal Life, fail to sign a release of claims against Principal Life, and/or other specified reasons. The benefit payable under the severance plan is the greater of one week of base salary for each year of service with Principal Life or two weeks of base salary for each $10,000 of annual base salary (rounded to the nearest $10,000). Each of the Named Executive Officers would be eligible for 52 weeks of severance under this plan. The severance plan has a minimum benefit of six weeks and a maximum benefit of 52 weeks of base pay, and provides for three months of reimbursement of premium for continuation of medical, dental and vision insurance under the retiree medical plan if the Executive is eligible to retire or COBRA if the Executive is not eligible to retire. In circumstances in which the severance plan does not apply, the Human Resources Committee would determine whether any severance benefits would be paid to Messrs. Houston and Valdés and Mses. Strable and Everett.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3195320</wp:posOffset>
            </wp:positionH>
            <wp:positionV relativeFrom="paragraph">
              <wp:posOffset>111125</wp:posOffset>
            </wp:positionV>
            <wp:extent cx="960120" cy="28384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6"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52</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55" w:name="page56"/>
    <w:bookmarkEnd w:id="55"/>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An agreement made with Mr. McCaughan when he was hired provides that if he is terminated without "Cause", as that term is defined in the Change of Control Employment Agreements (see below), he will be paid (i) one year's base compensation and one year's annual bonus at target, and (ii) all other accrued entitlements, in accordance with the terms of the relevant plan.</w:t>
      </w:r>
    </w:p>
    <w:p>
      <w:pPr>
        <w:spacing w:after="0" w:line="174"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following table illustrates the severance or contractual benefits that the Named Executive Officers would have received had they qualified for such benefits on</w:t>
      </w:r>
    </w:p>
    <w:p>
      <w:pPr>
        <w:ind w:left="8"/>
        <w:spacing w:after="0"/>
        <w:rPr>
          <w:sz w:val="20"/>
          <w:szCs w:val="20"/>
          <w:color w:val="auto"/>
        </w:rPr>
      </w:pPr>
      <w:r>
        <w:rPr>
          <w:rFonts w:ascii="Arial" w:cs="Arial" w:eastAsia="Arial" w:hAnsi="Arial"/>
          <w:sz w:val="15"/>
          <w:szCs w:val="15"/>
          <w:color w:val="7B7C80"/>
        </w:rPr>
        <w:t>December 31, 2017:</w:t>
      </w:r>
    </w:p>
    <w:p>
      <w:pPr>
        <w:spacing w:after="0" w:line="160" w:lineRule="exact"/>
        <w:rPr>
          <w:sz w:val="20"/>
          <w:szCs w:val="20"/>
          <w:color w:val="auto"/>
        </w:rPr>
      </w:pPr>
    </w:p>
    <w:tbl>
      <w:tblPr>
        <w:tblLayout w:type="fixed"/>
        <w:tblInd w:w="1368" w:type="dxa"/>
        <w:tblCellMar>
          <w:top w:w="0" w:type="dxa"/>
          <w:left w:w="0" w:type="dxa"/>
          <w:bottom w:w="0" w:type="dxa"/>
          <w:right w:w="0" w:type="dxa"/>
        </w:tblCellMar>
      </w:tblPr>
      <w:tr>
        <w:trPr>
          <w:trHeight w:val="139"/>
        </w:trPr>
        <w:tc>
          <w:tcPr>
            <w:tcW w:w="3020" w:type="dxa"/>
            <w:vAlign w:val="bottom"/>
            <w:tcBorders>
              <w:top w:val="single" w:sz="8" w:color="009CCC"/>
            </w:tcBorders>
          </w:tcPr>
          <w:p>
            <w:pPr>
              <w:spacing w:after="0"/>
              <w:rPr>
                <w:sz w:val="12"/>
                <w:szCs w:val="12"/>
                <w:color w:val="auto"/>
              </w:rPr>
            </w:pPr>
          </w:p>
        </w:tc>
        <w:tc>
          <w:tcPr>
            <w:tcW w:w="1640" w:type="dxa"/>
            <w:vAlign w:val="bottom"/>
            <w:tcBorders>
              <w:top w:val="single" w:sz="8" w:color="009CCC"/>
            </w:tcBorders>
          </w:tcPr>
          <w:p>
            <w:pPr>
              <w:spacing w:after="0"/>
              <w:rPr>
                <w:sz w:val="12"/>
                <w:szCs w:val="12"/>
                <w:color w:val="auto"/>
              </w:rPr>
            </w:pPr>
          </w:p>
        </w:tc>
        <w:tc>
          <w:tcPr>
            <w:tcW w:w="780" w:type="dxa"/>
            <w:vAlign w:val="bottom"/>
            <w:tcBorders>
              <w:top w:val="single" w:sz="8" w:color="009CCC"/>
            </w:tcBorders>
          </w:tcPr>
          <w:p>
            <w:pPr>
              <w:spacing w:after="0"/>
              <w:rPr>
                <w:sz w:val="12"/>
                <w:szCs w:val="12"/>
                <w:color w:val="auto"/>
              </w:rPr>
            </w:pPr>
          </w:p>
        </w:tc>
        <w:tc>
          <w:tcPr>
            <w:tcW w:w="1000" w:type="dxa"/>
            <w:vAlign w:val="bottom"/>
            <w:tcBorders>
              <w:top w:val="single" w:sz="8" w:color="009CCC"/>
            </w:tcBorders>
            <w:gridSpan w:val="2"/>
          </w:tcPr>
          <w:p>
            <w:pPr>
              <w:jc w:val="right"/>
              <w:ind w:right="8"/>
              <w:spacing w:after="0"/>
              <w:rPr>
                <w:sz w:val="20"/>
                <w:szCs w:val="20"/>
                <w:color w:val="auto"/>
              </w:rPr>
            </w:pPr>
            <w:r>
              <w:rPr>
                <w:rFonts w:ascii="Arial" w:cs="Arial" w:eastAsia="Arial" w:hAnsi="Arial"/>
                <w:sz w:val="12"/>
                <w:szCs w:val="12"/>
                <w:b w:val="1"/>
                <w:bCs w:val="1"/>
                <w:color w:val="009CCC"/>
              </w:rPr>
              <w:t>Outplacement</w:t>
            </w:r>
          </w:p>
        </w:tc>
        <w:tc>
          <w:tcPr>
            <w:tcW w:w="1120" w:type="dxa"/>
            <w:vAlign w:val="bottom"/>
            <w:tcBorders>
              <w:top w:val="single" w:sz="8" w:color="009CCC"/>
            </w:tcBorders>
            <w:gridSpan w:val="2"/>
          </w:tcPr>
          <w:p>
            <w:pPr>
              <w:jc w:val="right"/>
              <w:ind w:right="26"/>
              <w:spacing w:after="0"/>
              <w:rPr>
                <w:sz w:val="20"/>
                <w:szCs w:val="20"/>
                <w:color w:val="auto"/>
              </w:rPr>
            </w:pPr>
            <w:r>
              <w:rPr>
                <w:rFonts w:ascii="Arial" w:cs="Arial" w:eastAsia="Arial" w:hAnsi="Arial"/>
                <w:sz w:val="12"/>
                <w:szCs w:val="12"/>
                <w:b w:val="1"/>
                <w:bCs w:val="1"/>
                <w:color w:val="009CCC"/>
              </w:rPr>
              <w:t>COBRA</w:t>
            </w:r>
          </w:p>
        </w:tc>
        <w:tc>
          <w:tcPr>
            <w:tcW w:w="180" w:type="dxa"/>
            <w:vAlign w:val="bottom"/>
            <w:tcBorders>
              <w:top w:val="single" w:sz="8" w:color="009CCC"/>
            </w:tcBorders>
          </w:tcPr>
          <w:p>
            <w:pPr>
              <w:spacing w:after="0"/>
              <w:rPr>
                <w:sz w:val="12"/>
                <w:szCs w:val="12"/>
                <w:color w:val="auto"/>
              </w:rPr>
            </w:pPr>
          </w:p>
        </w:tc>
        <w:tc>
          <w:tcPr>
            <w:tcW w:w="660" w:type="dxa"/>
            <w:vAlign w:val="bottom"/>
            <w:tcBorders>
              <w:top w:val="single" w:sz="8" w:color="009CCC"/>
            </w:tcBorders>
          </w:tcPr>
          <w:p>
            <w:pPr>
              <w:spacing w:after="0"/>
              <w:rPr>
                <w:sz w:val="12"/>
                <w:szCs w:val="12"/>
                <w:color w:val="auto"/>
              </w:rPr>
            </w:pPr>
          </w:p>
        </w:tc>
      </w:tr>
      <w:tr>
        <w:trPr>
          <w:trHeight w:val="147"/>
        </w:trPr>
        <w:tc>
          <w:tcPr>
            <w:tcW w:w="302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Named Executive Officer</w:t>
            </w:r>
          </w:p>
        </w:tc>
        <w:tc>
          <w:tcPr>
            <w:tcW w:w="1640" w:type="dxa"/>
            <w:vAlign w:val="bottom"/>
            <w:tcBorders>
              <w:bottom w:val="single" w:sz="8" w:color="7B7C80"/>
            </w:tcBorders>
          </w:tcPr>
          <w:p>
            <w:pPr>
              <w:spacing w:after="0"/>
              <w:rPr>
                <w:sz w:val="12"/>
                <w:szCs w:val="12"/>
                <w:color w:val="auto"/>
              </w:rPr>
            </w:pPr>
          </w:p>
        </w:tc>
        <w:tc>
          <w:tcPr>
            <w:tcW w:w="780" w:type="dxa"/>
            <w:vAlign w:val="bottom"/>
            <w:tcBorders>
              <w:bottom w:val="single" w:sz="8" w:color="7B7C80"/>
            </w:tcBorders>
          </w:tcPr>
          <w:p>
            <w:pPr>
              <w:jc w:val="right"/>
              <w:ind w:right="28"/>
              <w:spacing w:after="0"/>
              <w:rPr>
                <w:sz w:val="20"/>
                <w:szCs w:val="20"/>
                <w:color w:val="auto"/>
              </w:rPr>
            </w:pPr>
            <w:r>
              <w:rPr>
                <w:rFonts w:ascii="Arial" w:cs="Arial" w:eastAsia="Arial" w:hAnsi="Arial"/>
                <w:sz w:val="12"/>
                <w:szCs w:val="12"/>
                <w:b w:val="1"/>
                <w:bCs w:val="1"/>
                <w:color w:val="009CCC"/>
              </w:rPr>
              <w:t>Severance</w:t>
            </w:r>
          </w:p>
        </w:tc>
        <w:tc>
          <w:tcPr>
            <w:tcW w:w="380" w:type="dxa"/>
            <w:vAlign w:val="bottom"/>
            <w:tcBorders>
              <w:bottom w:val="single" w:sz="8" w:color="7B7C80"/>
            </w:tcBorders>
          </w:tcPr>
          <w:p>
            <w:pPr>
              <w:spacing w:after="0"/>
              <w:rPr>
                <w:sz w:val="12"/>
                <w:szCs w:val="12"/>
                <w:color w:val="auto"/>
              </w:rPr>
            </w:pPr>
          </w:p>
        </w:tc>
        <w:tc>
          <w:tcPr>
            <w:tcW w:w="620" w:type="dxa"/>
            <w:vAlign w:val="bottom"/>
            <w:tcBorders>
              <w:bottom w:val="single" w:sz="8" w:color="7B7C80"/>
            </w:tcBorders>
          </w:tcPr>
          <w:p>
            <w:pPr>
              <w:jc w:val="right"/>
              <w:ind w:right="8"/>
              <w:spacing w:after="0"/>
              <w:rPr>
                <w:sz w:val="20"/>
                <w:szCs w:val="20"/>
                <w:color w:val="auto"/>
              </w:rPr>
            </w:pPr>
            <w:r>
              <w:rPr>
                <w:rFonts w:ascii="Arial" w:cs="Arial" w:eastAsia="Arial" w:hAnsi="Arial"/>
                <w:sz w:val="12"/>
                <w:szCs w:val="12"/>
                <w:b w:val="1"/>
                <w:bCs w:val="1"/>
                <w:color w:val="009CCC"/>
              </w:rPr>
              <w:t>Services</w:t>
            </w:r>
          </w:p>
        </w:tc>
        <w:tc>
          <w:tcPr>
            <w:tcW w:w="1120" w:type="dxa"/>
            <w:vAlign w:val="bottom"/>
            <w:tcBorders>
              <w:bottom w:val="single" w:sz="8" w:color="7B7C80"/>
            </w:tcBorders>
            <w:gridSpan w:val="2"/>
          </w:tcPr>
          <w:p>
            <w:pPr>
              <w:jc w:val="right"/>
              <w:ind w:right="26"/>
              <w:spacing w:after="0"/>
              <w:rPr>
                <w:sz w:val="20"/>
                <w:szCs w:val="20"/>
                <w:color w:val="auto"/>
              </w:rPr>
            </w:pPr>
            <w:r>
              <w:rPr>
                <w:rFonts w:ascii="Arial" w:cs="Arial" w:eastAsia="Arial" w:hAnsi="Arial"/>
                <w:sz w:val="12"/>
                <w:szCs w:val="12"/>
                <w:b w:val="1"/>
                <w:bCs w:val="1"/>
                <w:color w:val="009CCC"/>
              </w:rPr>
              <w:t>Reimbursement</w:t>
            </w:r>
          </w:p>
        </w:tc>
        <w:tc>
          <w:tcPr>
            <w:tcW w:w="180" w:type="dxa"/>
            <w:vAlign w:val="bottom"/>
            <w:tcBorders>
              <w:bottom w:val="single" w:sz="8" w:color="7B7C80"/>
            </w:tcBorders>
          </w:tcPr>
          <w:p>
            <w:pPr>
              <w:spacing w:after="0"/>
              <w:rPr>
                <w:sz w:val="12"/>
                <w:szCs w:val="12"/>
                <w:color w:val="auto"/>
              </w:rPr>
            </w:pPr>
          </w:p>
        </w:tc>
        <w:tc>
          <w:tcPr>
            <w:tcW w:w="660" w:type="dxa"/>
            <w:vAlign w:val="bottom"/>
            <w:tcBorders>
              <w:bottom w:val="single" w:sz="8" w:color="7B7C80"/>
            </w:tcBorders>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163"/>
        </w:trPr>
        <w:tc>
          <w:tcPr>
            <w:tcW w:w="302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Houston</w:t>
            </w:r>
          </w:p>
        </w:tc>
        <w:tc>
          <w:tcPr>
            <w:tcW w:w="16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80" w:type="dxa"/>
            <w:vAlign w:val="bottom"/>
            <w:tcBorders>
              <w:bottom w:val="single" w:sz="8" w:color="7B7C80"/>
            </w:tcBorders>
            <w:shd w:val="clear" w:color="auto" w:fill="E7E6E7"/>
          </w:tcPr>
          <w:p>
            <w:pPr>
              <w:jc w:val="right"/>
              <w:ind w:right="28"/>
              <w:spacing w:after="0" w:line="164" w:lineRule="exact"/>
              <w:rPr>
                <w:sz w:val="20"/>
                <w:szCs w:val="20"/>
                <w:color w:val="auto"/>
              </w:rPr>
            </w:pPr>
            <w:r>
              <w:rPr>
                <w:rFonts w:ascii="Arial" w:cs="Arial" w:eastAsia="Arial" w:hAnsi="Arial"/>
                <w:sz w:val="15"/>
                <w:szCs w:val="15"/>
                <w:color w:val="7B7C80"/>
              </w:rPr>
              <w:t>900,000</w:t>
            </w:r>
          </w:p>
        </w:tc>
        <w:tc>
          <w:tcPr>
            <w:tcW w:w="3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7B7C80"/>
            </w:tcBorders>
            <w:shd w:val="clear" w:color="auto" w:fill="E7E6E7"/>
          </w:tcPr>
          <w:p>
            <w:pPr>
              <w:jc w:val="right"/>
              <w:ind w:right="8"/>
              <w:spacing w:after="0" w:line="164" w:lineRule="exact"/>
              <w:rPr>
                <w:sz w:val="20"/>
                <w:szCs w:val="20"/>
                <w:color w:val="auto"/>
              </w:rPr>
            </w:pPr>
            <w:r>
              <w:rPr>
                <w:rFonts w:ascii="Arial" w:cs="Arial" w:eastAsia="Arial" w:hAnsi="Arial"/>
                <w:sz w:val="15"/>
                <w:szCs w:val="15"/>
                <w:color w:val="7B7C80"/>
                <w:w w:val="95"/>
              </w:rPr>
              <w:t>135,000</w:t>
            </w:r>
          </w:p>
        </w:tc>
        <w:tc>
          <w:tcPr>
            <w:tcW w:w="6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480" w:type="dxa"/>
            <w:vAlign w:val="bottom"/>
            <w:tcBorders>
              <w:bottom w:val="single" w:sz="8" w:color="7B7C80"/>
            </w:tcBorders>
            <w:shd w:val="clear" w:color="auto" w:fill="E7E6E7"/>
          </w:tcPr>
          <w:p>
            <w:pPr>
              <w:jc w:val="right"/>
              <w:ind w:right="26"/>
              <w:spacing w:after="0" w:line="164" w:lineRule="exact"/>
              <w:rPr>
                <w:sz w:val="20"/>
                <w:szCs w:val="20"/>
                <w:color w:val="auto"/>
              </w:rPr>
            </w:pPr>
            <w:r>
              <w:rPr>
                <w:rFonts w:ascii="Arial" w:cs="Arial" w:eastAsia="Arial" w:hAnsi="Arial"/>
                <w:sz w:val="15"/>
                <w:szCs w:val="15"/>
                <w:color w:val="7B7C80"/>
                <w:w w:val="95"/>
              </w:rPr>
              <w:t>5,161</w:t>
            </w:r>
          </w:p>
        </w:tc>
        <w:tc>
          <w:tcPr>
            <w:tcW w:w="1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w w:val="95"/>
              </w:rPr>
              <w:t>1,040,161</w:t>
            </w:r>
          </w:p>
        </w:tc>
      </w:tr>
      <w:tr>
        <w:trPr>
          <w:trHeight w:val="163"/>
        </w:trPr>
        <w:tc>
          <w:tcPr>
            <w:tcW w:w="302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Strable</w:t>
            </w:r>
          </w:p>
        </w:tc>
        <w:tc>
          <w:tcPr>
            <w:tcW w:w="16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80" w:type="dxa"/>
            <w:vAlign w:val="bottom"/>
            <w:tcBorders>
              <w:bottom w:val="single" w:sz="8" w:color="7B7C80"/>
            </w:tcBorders>
          </w:tcPr>
          <w:p>
            <w:pPr>
              <w:jc w:val="right"/>
              <w:ind w:right="28"/>
              <w:spacing w:after="0" w:line="164" w:lineRule="exact"/>
              <w:rPr>
                <w:sz w:val="20"/>
                <w:szCs w:val="20"/>
                <w:color w:val="auto"/>
              </w:rPr>
            </w:pPr>
            <w:r>
              <w:rPr>
                <w:rFonts w:ascii="Arial" w:cs="Arial" w:eastAsia="Arial" w:hAnsi="Arial"/>
                <w:sz w:val="15"/>
                <w:szCs w:val="15"/>
                <w:color w:val="7B7C80"/>
              </w:rPr>
              <w:t>562,000</w:t>
            </w:r>
          </w:p>
        </w:tc>
        <w:tc>
          <w:tcPr>
            <w:tcW w:w="3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7B7C80"/>
            </w:tcBorders>
          </w:tcPr>
          <w:p>
            <w:pPr>
              <w:jc w:val="right"/>
              <w:ind w:right="8"/>
              <w:spacing w:after="0" w:line="164" w:lineRule="exact"/>
              <w:rPr>
                <w:sz w:val="20"/>
                <w:szCs w:val="20"/>
                <w:color w:val="auto"/>
              </w:rPr>
            </w:pPr>
            <w:r>
              <w:rPr>
                <w:rFonts w:ascii="Arial" w:cs="Arial" w:eastAsia="Arial" w:hAnsi="Arial"/>
                <w:sz w:val="15"/>
                <w:szCs w:val="15"/>
                <w:color w:val="7B7C80"/>
              </w:rPr>
              <w:t>84,300</w:t>
            </w:r>
          </w:p>
        </w:tc>
        <w:tc>
          <w:tcPr>
            <w:tcW w:w="6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480" w:type="dxa"/>
            <w:vAlign w:val="bottom"/>
            <w:tcBorders>
              <w:bottom w:val="single" w:sz="8" w:color="7B7C80"/>
            </w:tcBorders>
          </w:tcPr>
          <w:p>
            <w:pPr>
              <w:jc w:val="right"/>
              <w:ind w:right="26"/>
              <w:spacing w:after="0" w:line="164" w:lineRule="exact"/>
              <w:rPr>
                <w:sz w:val="20"/>
                <w:szCs w:val="20"/>
                <w:color w:val="auto"/>
              </w:rPr>
            </w:pPr>
            <w:r>
              <w:rPr>
                <w:rFonts w:ascii="Arial" w:cs="Arial" w:eastAsia="Arial" w:hAnsi="Arial"/>
                <w:sz w:val="15"/>
                <w:szCs w:val="15"/>
                <w:color w:val="7B7C80"/>
                <w:w w:val="95"/>
              </w:rPr>
              <w:t>2,590</w:t>
            </w:r>
          </w:p>
        </w:tc>
        <w:tc>
          <w:tcPr>
            <w:tcW w:w="1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648,890</w:t>
            </w:r>
          </w:p>
        </w:tc>
      </w:tr>
      <w:tr>
        <w:trPr>
          <w:trHeight w:val="163"/>
        </w:trPr>
        <w:tc>
          <w:tcPr>
            <w:tcW w:w="302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Everett</w:t>
            </w:r>
          </w:p>
        </w:tc>
        <w:tc>
          <w:tcPr>
            <w:tcW w:w="16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80" w:type="dxa"/>
            <w:vAlign w:val="bottom"/>
            <w:tcBorders>
              <w:bottom w:val="single" w:sz="8" w:color="7B7C80"/>
            </w:tcBorders>
            <w:shd w:val="clear" w:color="auto" w:fill="E7E6E7"/>
          </w:tcPr>
          <w:p>
            <w:pPr>
              <w:jc w:val="right"/>
              <w:ind w:right="28"/>
              <w:spacing w:after="0" w:line="164" w:lineRule="exact"/>
              <w:rPr>
                <w:sz w:val="20"/>
                <w:szCs w:val="20"/>
                <w:color w:val="auto"/>
              </w:rPr>
            </w:pPr>
            <w:r>
              <w:rPr>
                <w:rFonts w:ascii="Arial" w:cs="Arial" w:eastAsia="Arial" w:hAnsi="Arial"/>
                <w:sz w:val="15"/>
                <w:szCs w:val="15"/>
                <w:color w:val="7B7C80"/>
              </w:rPr>
              <w:t>529,500</w:t>
            </w:r>
          </w:p>
        </w:tc>
        <w:tc>
          <w:tcPr>
            <w:tcW w:w="3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7B7C80"/>
            </w:tcBorders>
            <w:shd w:val="clear" w:color="auto" w:fill="E7E6E7"/>
          </w:tcPr>
          <w:p>
            <w:pPr>
              <w:jc w:val="right"/>
              <w:ind w:right="8"/>
              <w:spacing w:after="0" w:line="164" w:lineRule="exact"/>
              <w:rPr>
                <w:sz w:val="20"/>
                <w:szCs w:val="20"/>
                <w:color w:val="auto"/>
              </w:rPr>
            </w:pPr>
            <w:r>
              <w:rPr>
                <w:rFonts w:ascii="Arial" w:cs="Arial" w:eastAsia="Arial" w:hAnsi="Arial"/>
                <w:sz w:val="15"/>
                <w:szCs w:val="15"/>
                <w:color w:val="7B7C80"/>
              </w:rPr>
              <w:t>79,425</w:t>
            </w:r>
          </w:p>
        </w:tc>
        <w:tc>
          <w:tcPr>
            <w:tcW w:w="6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480" w:type="dxa"/>
            <w:vAlign w:val="bottom"/>
            <w:tcBorders>
              <w:bottom w:val="single" w:sz="8" w:color="7B7C80"/>
            </w:tcBorders>
            <w:shd w:val="clear" w:color="auto" w:fill="E7E6E7"/>
          </w:tcPr>
          <w:p>
            <w:pPr>
              <w:jc w:val="right"/>
              <w:ind w:right="26"/>
              <w:spacing w:after="0" w:line="164" w:lineRule="exact"/>
              <w:rPr>
                <w:sz w:val="20"/>
                <w:szCs w:val="20"/>
                <w:color w:val="auto"/>
              </w:rPr>
            </w:pPr>
            <w:r>
              <w:rPr>
                <w:rFonts w:ascii="Arial" w:cs="Arial" w:eastAsia="Arial" w:hAnsi="Arial"/>
                <w:sz w:val="15"/>
                <w:szCs w:val="15"/>
                <w:color w:val="7B7C80"/>
                <w:w w:val="95"/>
              </w:rPr>
              <w:t>1,852</w:t>
            </w:r>
          </w:p>
        </w:tc>
        <w:tc>
          <w:tcPr>
            <w:tcW w:w="1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610,777</w:t>
            </w:r>
          </w:p>
        </w:tc>
      </w:tr>
      <w:tr>
        <w:trPr>
          <w:trHeight w:val="163"/>
        </w:trPr>
        <w:tc>
          <w:tcPr>
            <w:tcW w:w="302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McCaughan</w:t>
            </w:r>
          </w:p>
        </w:tc>
        <w:tc>
          <w:tcPr>
            <w:tcW w:w="16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80" w:type="dxa"/>
            <w:vAlign w:val="bottom"/>
            <w:tcBorders>
              <w:bottom w:val="single" w:sz="8" w:color="7B7C80"/>
            </w:tcBorders>
          </w:tcPr>
          <w:p>
            <w:pPr>
              <w:jc w:val="right"/>
              <w:ind w:right="28"/>
              <w:spacing w:after="0" w:line="164" w:lineRule="exact"/>
              <w:rPr>
                <w:sz w:val="20"/>
                <w:szCs w:val="20"/>
                <w:color w:val="auto"/>
              </w:rPr>
            </w:pPr>
            <w:r>
              <w:rPr>
                <w:rFonts w:ascii="Arial" w:cs="Arial" w:eastAsia="Arial" w:hAnsi="Arial"/>
                <w:sz w:val="15"/>
                <w:szCs w:val="15"/>
                <w:color w:val="7B7C80"/>
                <w:w w:val="98"/>
              </w:rPr>
              <w:t>2,718,000</w:t>
            </w:r>
          </w:p>
        </w:tc>
        <w:tc>
          <w:tcPr>
            <w:tcW w:w="3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7B7C80"/>
            </w:tcBorders>
          </w:tcPr>
          <w:p>
            <w:pPr>
              <w:jc w:val="right"/>
              <w:ind w:right="8"/>
              <w:spacing w:after="0" w:line="164" w:lineRule="exact"/>
              <w:rPr>
                <w:sz w:val="20"/>
                <w:szCs w:val="20"/>
                <w:color w:val="auto"/>
              </w:rPr>
            </w:pPr>
            <w:r>
              <w:rPr>
                <w:rFonts w:ascii="Arial" w:cs="Arial" w:eastAsia="Arial" w:hAnsi="Arial"/>
                <w:sz w:val="15"/>
                <w:szCs w:val="15"/>
                <w:color w:val="7B7C80"/>
              </w:rPr>
              <w:t>0</w:t>
            </w:r>
          </w:p>
        </w:tc>
        <w:tc>
          <w:tcPr>
            <w:tcW w:w="64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480" w:type="dxa"/>
            <w:vAlign w:val="bottom"/>
            <w:tcBorders>
              <w:bottom w:val="single" w:sz="8" w:color="7B7C80"/>
            </w:tcBorders>
          </w:tcPr>
          <w:p>
            <w:pPr>
              <w:jc w:val="right"/>
              <w:ind w:right="26"/>
              <w:spacing w:after="0" w:line="164" w:lineRule="exact"/>
              <w:rPr>
                <w:sz w:val="20"/>
                <w:szCs w:val="20"/>
                <w:color w:val="auto"/>
              </w:rPr>
            </w:pPr>
            <w:r>
              <w:rPr>
                <w:rFonts w:ascii="Arial" w:cs="Arial" w:eastAsia="Arial" w:hAnsi="Arial"/>
                <w:sz w:val="15"/>
                <w:szCs w:val="15"/>
                <w:color w:val="7B7C80"/>
              </w:rPr>
              <w:t>0</w:t>
            </w:r>
          </w:p>
        </w:tc>
        <w:tc>
          <w:tcPr>
            <w:tcW w:w="1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w w:val="95"/>
              </w:rPr>
              <w:t>2,718,000</w:t>
            </w:r>
          </w:p>
        </w:tc>
      </w:tr>
      <w:tr>
        <w:trPr>
          <w:trHeight w:val="163"/>
        </w:trPr>
        <w:tc>
          <w:tcPr>
            <w:tcW w:w="302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Valdés</w:t>
            </w:r>
          </w:p>
        </w:tc>
        <w:tc>
          <w:tcPr>
            <w:tcW w:w="16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80" w:type="dxa"/>
            <w:vAlign w:val="bottom"/>
            <w:tcBorders>
              <w:bottom w:val="single" w:sz="8" w:color="7B7C80"/>
            </w:tcBorders>
            <w:shd w:val="clear" w:color="auto" w:fill="E7E6E7"/>
          </w:tcPr>
          <w:p>
            <w:pPr>
              <w:jc w:val="right"/>
              <w:ind w:right="28"/>
              <w:spacing w:after="0" w:line="164" w:lineRule="exact"/>
              <w:rPr>
                <w:sz w:val="20"/>
                <w:szCs w:val="20"/>
                <w:color w:val="auto"/>
              </w:rPr>
            </w:pPr>
            <w:r>
              <w:rPr>
                <w:rFonts w:ascii="Arial" w:cs="Arial" w:eastAsia="Arial" w:hAnsi="Arial"/>
                <w:sz w:val="15"/>
                <w:szCs w:val="15"/>
                <w:color w:val="7B7C80"/>
              </w:rPr>
              <w:t>603,500</w:t>
            </w:r>
          </w:p>
        </w:tc>
        <w:tc>
          <w:tcPr>
            <w:tcW w:w="3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7B7C80"/>
            </w:tcBorders>
            <w:shd w:val="clear" w:color="auto" w:fill="E7E6E7"/>
          </w:tcPr>
          <w:p>
            <w:pPr>
              <w:jc w:val="right"/>
              <w:ind w:right="8"/>
              <w:spacing w:after="0" w:line="164" w:lineRule="exact"/>
              <w:rPr>
                <w:sz w:val="20"/>
                <w:szCs w:val="20"/>
                <w:color w:val="auto"/>
              </w:rPr>
            </w:pPr>
            <w:r>
              <w:rPr>
                <w:rFonts w:ascii="Arial" w:cs="Arial" w:eastAsia="Arial" w:hAnsi="Arial"/>
                <w:sz w:val="15"/>
                <w:szCs w:val="15"/>
                <w:color w:val="7B7C80"/>
              </w:rPr>
              <w:t>90,525</w:t>
            </w:r>
          </w:p>
        </w:tc>
        <w:tc>
          <w:tcPr>
            <w:tcW w:w="64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480" w:type="dxa"/>
            <w:vAlign w:val="bottom"/>
            <w:tcBorders>
              <w:bottom w:val="single" w:sz="8" w:color="7B7C80"/>
            </w:tcBorders>
            <w:shd w:val="clear" w:color="auto" w:fill="E7E6E7"/>
          </w:tcPr>
          <w:p>
            <w:pPr>
              <w:jc w:val="right"/>
              <w:ind w:right="26"/>
              <w:spacing w:after="0" w:line="164" w:lineRule="exact"/>
              <w:rPr>
                <w:sz w:val="20"/>
                <w:szCs w:val="20"/>
                <w:color w:val="auto"/>
              </w:rPr>
            </w:pPr>
            <w:r>
              <w:rPr>
                <w:rFonts w:ascii="Arial" w:cs="Arial" w:eastAsia="Arial" w:hAnsi="Arial"/>
                <w:sz w:val="15"/>
                <w:szCs w:val="15"/>
                <w:color w:val="7B7C80"/>
                <w:w w:val="95"/>
              </w:rPr>
              <w:t>7,488</w:t>
            </w:r>
          </w:p>
        </w:tc>
        <w:tc>
          <w:tcPr>
            <w:tcW w:w="1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701,513</w:t>
            </w:r>
          </w:p>
        </w:tc>
      </w:tr>
    </w:tbl>
    <w:p>
      <w:pPr>
        <w:spacing w:after="0" w:line="16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Change of Control Employment Agreements</w:t>
      </w:r>
    </w:p>
    <w:p>
      <w:pPr>
        <w:spacing w:after="0" w:line="201" w:lineRule="exact"/>
        <w:rPr>
          <w:sz w:val="20"/>
          <w:szCs w:val="20"/>
          <w:color w:val="auto"/>
        </w:rPr>
      </w:pPr>
    </w:p>
    <w:p>
      <w:pPr>
        <w:jc w:val="both"/>
        <w:ind w:left="8"/>
        <w:spacing w:after="0"/>
        <w:rPr>
          <w:sz w:val="20"/>
          <w:szCs w:val="20"/>
          <w:color w:val="auto"/>
        </w:rPr>
      </w:pPr>
      <w:r>
        <w:rPr>
          <w:rFonts w:ascii="Arial" w:cs="Arial" w:eastAsia="Arial" w:hAnsi="Arial"/>
          <w:sz w:val="15"/>
          <w:szCs w:val="15"/>
          <w:color w:val="7B7C80"/>
        </w:rPr>
        <w:t>Principal has Change of Control Employment Agreements with each of the Named Executive Officers. These Agreements have a term of two years and will automatically renew for successive one year periods unless Principal provides a notice electing not to extend the term. If during the term of these agreements a Pre Change of Control Event" or a Change of Control occurs, the term of the agreements will extend until the second anniversary of a Change of Control. These agreements provide that if payments upon termination of employment related to a Change of Control would be subjected to the excise tax imposed by Section 4999 of the Tax Code, and if reducing the amount of the payments would result in greater benefits to the Named Executive Officer (after taking into consideration the payment of all income and excise taxes that would be owed as a result of the Change of Control payments), Principal will reduce the Change of Control payments by the amount necessary to maximize the benefits received, determined on an after tax basis.</w:t>
      </w:r>
    </w:p>
    <w:p>
      <w:pPr>
        <w:spacing w:after="0" w:line="179"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The severance and other benefits provided under these agreements will be available to Named Executive Officers upon a Change of Control if their employment is terminated following or in connection with a Pre Change of Control Event, or if any third party ends or adversely changes the terms and conditions of their employment. For a termination prior to a Change of Control, such termination or change in employment is deemed to have occurred immediately following the date on which a Change of Control occurs, rather than at the time the termination or change in employment actually occurs.</w:t>
      </w:r>
    </w:p>
    <w:p>
      <w:pPr>
        <w:spacing w:after="0" w:line="175" w:lineRule="exact"/>
        <w:rPr>
          <w:sz w:val="20"/>
          <w:szCs w:val="20"/>
          <w:color w:val="auto"/>
        </w:rPr>
      </w:pPr>
    </w:p>
    <w:p>
      <w:pPr>
        <w:ind w:left="8"/>
        <w:spacing w:after="0"/>
        <w:rPr>
          <w:sz w:val="20"/>
          <w:szCs w:val="20"/>
          <w:color w:val="auto"/>
        </w:rPr>
      </w:pPr>
      <w:r>
        <w:rPr>
          <w:rFonts w:ascii="Arial" w:cs="Arial" w:eastAsia="Arial" w:hAnsi="Arial"/>
          <w:sz w:val="15"/>
          <w:szCs w:val="15"/>
          <w:color w:val="7B7C80"/>
        </w:rPr>
        <w:t>Under these Agreements, a Pre Change of Control Event means:</w:t>
      </w:r>
    </w:p>
    <w:p>
      <w:pPr>
        <w:spacing w:after="0" w:line="183" w:lineRule="exact"/>
        <w:rPr>
          <w:sz w:val="20"/>
          <w:szCs w:val="20"/>
          <w:color w:val="auto"/>
        </w:rPr>
      </w:pPr>
    </w:p>
    <w:p>
      <w:pPr>
        <w:ind w:left="448" w:hanging="448"/>
        <w:spacing w:after="0"/>
        <w:tabs>
          <w:tab w:leader="none" w:pos="448" w:val="left"/>
        </w:tabs>
        <w:numPr>
          <w:ilvl w:val="0"/>
          <w:numId w:val="60"/>
        </w:numPr>
        <w:rPr>
          <w:rFonts w:ascii="Arial" w:cs="Arial" w:eastAsia="Arial" w:hAnsi="Arial"/>
          <w:sz w:val="15"/>
          <w:szCs w:val="15"/>
          <w:color w:val="7B7C80"/>
        </w:rPr>
      </w:pPr>
      <w:r>
        <w:rPr>
          <w:rFonts w:ascii="Arial" w:cs="Arial" w:eastAsia="Arial" w:hAnsi="Arial"/>
          <w:sz w:val="15"/>
          <w:szCs w:val="15"/>
          <w:color w:val="7B7C80"/>
        </w:rPr>
        <w:t>An offer that would result in a third party owning 40% or more of the Company's voting securities;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60"/>
        </w:numPr>
        <w:rPr>
          <w:rFonts w:ascii="Arial" w:cs="Arial" w:eastAsia="Arial" w:hAnsi="Arial"/>
          <w:sz w:val="15"/>
          <w:szCs w:val="15"/>
          <w:color w:val="7B7C80"/>
        </w:rPr>
      </w:pPr>
      <w:r>
        <w:rPr>
          <w:rFonts w:ascii="Arial" w:cs="Arial" w:eastAsia="Arial" w:hAnsi="Arial"/>
          <w:sz w:val="15"/>
          <w:szCs w:val="15"/>
          <w:color w:val="7B7C80"/>
        </w:rPr>
        <w:t>A proxy solicitation or contest for the election of one or more members of the Company's Board; or</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60"/>
        </w:numPr>
        <w:rPr>
          <w:rFonts w:ascii="Arial" w:cs="Arial" w:eastAsia="Arial" w:hAnsi="Arial"/>
          <w:sz w:val="15"/>
          <w:szCs w:val="15"/>
          <w:color w:val="7B7C80"/>
        </w:rPr>
      </w:pPr>
      <w:r>
        <w:rPr>
          <w:rFonts w:ascii="Arial" w:cs="Arial" w:eastAsia="Arial" w:hAnsi="Arial"/>
          <w:sz w:val="15"/>
          <w:szCs w:val="15"/>
          <w:color w:val="7B7C80"/>
        </w:rPr>
        <w:t>An agreement that would result in a Change of Control.</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7B7C80"/>
        </w:rPr>
        <w:t>Under these Agreements, a Change of Control means:</w:t>
      </w:r>
    </w:p>
    <w:p>
      <w:pPr>
        <w:spacing w:after="0" w:line="183" w:lineRule="exact"/>
        <w:rPr>
          <w:sz w:val="20"/>
          <w:szCs w:val="20"/>
          <w:color w:val="auto"/>
        </w:rPr>
      </w:pPr>
    </w:p>
    <w:p>
      <w:pPr>
        <w:ind w:left="448" w:hanging="448"/>
        <w:spacing w:after="0"/>
        <w:tabs>
          <w:tab w:leader="none" w:pos="448" w:val="left"/>
        </w:tabs>
        <w:numPr>
          <w:ilvl w:val="0"/>
          <w:numId w:val="61"/>
        </w:numPr>
        <w:rPr>
          <w:rFonts w:ascii="Arial" w:cs="Arial" w:eastAsia="Arial" w:hAnsi="Arial"/>
          <w:sz w:val="15"/>
          <w:szCs w:val="15"/>
          <w:color w:val="7B7C80"/>
        </w:rPr>
      </w:pPr>
      <w:r>
        <w:rPr>
          <w:rFonts w:ascii="Arial" w:cs="Arial" w:eastAsia="Arial" w:hAnsi="Arial"/>
          <w:sz w:val="15"/>
          <w:szCs w:val="15"/>
          <w:color w:val="7B7C80"/>
        </w:rPr>
        <w:t>Any person becoming an owner of 40% or more of the Company's Common Stock;</w:t>
      </w:r>
    </w:p>
    <w:p>
      <w:pPr>
        <w:spacing w:after="0" w:line="182" w:lineRule="exact"/>
        <w:rPr>
          <w:rFonts w:ascii="Arial" w:cs="Arial" w:eastAsia="Arial" w:hAnsi="Arial"/>
          <w:sz w:val="15"/>
          <w:szCs w:val="15"/>
          <w:color w:val="7B7C80"/>
        </w:rPr>
      </w:pPr>
    </w:p>
    <w:p>
      <w:pPr>
        <w:ind w:left="448" w:hanging="448"/>
        <w:spacing w:after="0" w:line="247" w:lineRule="auto"/>
        <w:tabs>
          <w:tab w:leader="none" w:pos="448" w:val="left"/>
        </w:tabs>
        <w:numPr>
          <w:ilvl w:val="0"/>
          <w:numId w:val="61"/>
        </w:numPr>
        <w:rPr>
          <w:rFonts w:ascii="Arial" w:cs="Arial" w:eastAsia="Arial" w:hAnsi="Arial"/>
          <w:sz w:val="15"/>
          <w:szCs w:val="15"/>
          <w:color w:val="7B7C80"/>
        </w:rPr>
      </w:pPr>
      <w:r>
        <w:rPr>
          <w:rFonts w:ascii="Arial" w:cs="Arial" w:eastAsia="Arial" w:hAnsi="Arial"/>
          <w:sz w:val="15"/>
          <w:szCs w:val="15"/>
          <w:color w:val="7B7C80"/>
        </w:rPr>
        <w:t>Directors on the Board on the date of the Agreements (or those thereafter nominated for election, or elected to replace such Directors by certain incumbent Directors) are no longer a majority of the Board;</w:t>
      </w:r>
    </w:p>
    <w:p>
      <w:pPr>
        <w:spacing w:after="0" w:line="160" w:lineRule="exact"/>
        <w:rPr>
          <w:rFonts w:ascii="Arial" w:cs="Arial" w:eastAsia="Arial" w:hAnsi="Arial"/>
          <w:sz w:val="15"/>
          <w:szCs w:val="15"/>
          <w:color w:val="7B7C80"/>
        </w:rPr>
      </w:pPr>
    </w:p>
    <w:p>
      <w:pPr>
        <w:ind w:left="448" w:hanging="448"/>
        <w:spacing w:after="0" w:line="247" w:lineRule="auto"/>
        <w:tabs>
          <w:tab w:leader="none" w:pos="448" w:val="left"/>
        </w:tabs>
        <w:numPr>
          <w:ilvl w:val="0"/>
          <w:numId w:val="61"/>
        </w:numPr>
        <w:rPr>
          <w:rFonts w:ascii="Arial" w:cs="Arial" w:eastAsia="Arial" w:hAnsi="Arial"/>
          <w:sz w:val="15"/>
          <w:szCs w:val="15"/>
          <w:color w:val="7B7C80"/>
        </w:rPr>
      </w:pPr>
      <w:r>
        <w:rPr>
          <w:rFonts w:ascii="Arial" w:cs="Arial" w:eastAsia="Arial" w:hAnsi="Arial"/>
          <w:sz w:val="15"/>
          <w:szCs w:val="15"/>
          <w:color w:val="7B7C80"/>
        </w:rPr>
        <w:t>A merger, reorganization, consolidation or similar transaction in which the shareholders of Principal do not continue to own more than 60% of the voting securities of the surviving corporation or its ultimate parent corporation; or</w:t>
      </w:r>
    </w:p>
    <w:p>
      <w:pPr>
        <w:spacing w:after="0" w:line="160" w:lineRule="exact"/>
        <w:rPr>
          <w:rFonts w:ascii="Arial" w:cs="Arial" w:eastAsia="Arial" w:hAnsi="Arial"/>
          <w:sz w:val="15"/>
          <w:szCs w:val="15"/>
          <w:color w:val="7B7C80"/>
        </w:rPr>
      </w:pPr>
    </w:p>
    <w:p>
      <w:pPr>
        <w:ind w:left="448" w:hanging="448"/>
        <w:spacing w:after="0"/>
        <w:tabs>
          <w:tab w:leader="none" w:pos="448" w:val="left"/>
        </w:tabs>
        <w:numPr>
          <w:ilvl w:val="0"/>
          <w:numId w:val="61"/>
        </w:numPr>
        <w:rPr>
          <w:rFonts w:ascii="Arial" w:cs="Arial" w:eastAsia="Arial" w:hAnsi="Arial"/>
          <w:sz w:val="15"/>
          <w:szCs w:val="15"/>
          <w:color w:val="7B7C80"/>
        </w:rPr>
      </w:pPr>
      <w:r>
        <w:rPr>
          <w:rFonts w:ascii="Arial" w:cs="Arial" w:eastAsia="Arial" w:hAnsi="Arial"/>
          <w:sz w:val="15"/>
          <w:szCs w:val="15"/>
          <w:color w:val="7B7C80"/>
        </w:rPr>
        <w:t>Approval by the shareholders of Principal of a sale of its assets or a plan of liquidation.</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These Agreements also provide:</w:t>
      </w:r>
    </w:p>
    <w:p>
      <w:pPr>
        <w:spacing w:after="0" w:line="194" w:lineRule="exact"/>
        <w:rPr>
          <w:sz w:val="20"/>
          <w:szCs w:val="20"/>
          <w:color w:val="auto"/>
        </w:rPr>
      </w:pPr>
    </w:p>
    <w:p>
      <w:pPr>
        <w:ind w:left="448" w:hanging="448"/>
        <w:spacing w:after="0" w:line="247" w:lineRule="auto"/>
        <w:tabs>
          <w:tab w:leader="none" w:pos="448" w:val="left"/>
        </w:tabs>
        <w:numPr>
          <w:ilvl w:val="0"/>
          <w:numId w:val="62"/>
        </w:numPr>
        <w:rPr>
          <w:rFonts w:ascii="Arial" w:cs="Arial" w:eastAsia="Arial" w:hAnsi="Arial"/>
          <w:sz w:val="15"/>
          <w:szCs w:val="15"/>
          <w:color w:val="7B7C80"/>
        </w:rPr>
      </w:pPr>
      <w:r>
        <w:rPr>
          <w:rFonts w:ascii="Arial" w:cs="Arial" w:eastAsia="Arial" w:hAnsi="Arial"/>
          <w:sz w:val="15"/>
          <w:szCs w:val="15"/>
          <w:color w:val="7B7C80"/>
        </w:rPr>
        <w:t>That the Named Executive Officers receive specified salary, annual incentive compensation and benefits for two years following a Change of Control if their employment continues after the Change of 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107315</wp:posOffset>
            </wp:positionV>
            <wp:extent cx="960120" cy="2838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9"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53</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56" w:name="page57"/>
    <w:bookmarkEnd w:id="56"/>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jc w:val="both"/>
        <w:ind w:left="448" w:hanging="448"/>
        <w:spacing w:after="0" w:line="262" w:lineRule="auto"/>
        <w:tabs>
          <w:tab w:leader="none" w:pos="448" w:val="left"/>
        </w:tabs>
        <w:numPr>
          <w:ilvl w:val="0"/>
          <w:numId w:val="63"/>
        </w:numPr>
        <w:rPr>
          <w:rFonts w:ascii="Arial" w:cs="Arial" w:eastAsia="Arial" w:hAnsi="Arial"/>
          <w:sz w:val="14"/>
          <w:szCs w:val="14"/>
          <w:color w:val="7B7C80"/>
        </w:rPr>
      </w:pPr>
      <w:r>
        <w:rPr>
          <w:rFonts w:ascii="Arial" w:cs="Arial" w:eastAsia="Arial" w:hAnsi="Arial"/>
          <w:sz w:val="14"/>
          <w:szCs w:val="14"/>
          <w:color w:val="7B7C80"/>
        </w:rPr>
        <w:t>That if the successor to Principal agrees to issue equity to replace the equity awards they received from Principal, the outstanding equity awards will continue or will become equity related to the common stock of the successor company ("Successor"). Any outstanding performance based equity awards will be converted into time vesting restricted stock or RSUs for Principal stock (or the stock of the Successor). If the Successor does not or cannot agree to such substitution, then any such awards that are not converted will become fully vested, exercisable and/or distributable upon the Change of Control. In addition, the Agreements and equity award agreements specify that the Human Resources Committee (as made up immediately prior to the Change of Control) determines whether awards will be settled in cash;</w:t>
      </w:r>
    </w:p>
    <w:p>
      <w:pPr>
        <w:spacing w:after="0" w:line="163" w:lineRule="exact"/>
        <w:rPr>
          <w:rFonts w:ascii="Arial" w:cs="Arial" w:eastAsia="Arial" w:hAnsi="Arial"/>
          <w:sz w:val="14"/>
          <w:szCs w:val="14"/>
          <w:color w:val="7B7C80"/>
        </w:rPr>
      </w:pPr>
    </w:p>
    <w:p>
      <w:pPr>
        <w:ind w:left="448" w:hanging="448"/>
        <w:spacing w:after="0" w:line="247" w:lineRule="auto"/>
        <w:tabs>
          <w:tab w:leader="none" w:pos="448" w:val="left"/>
        </w:tabs>
        <w:numPr>
          <w:ilvl w:val="0"/>
          <w:numId w:val="63"/>
        </w:numPr>
        <w:rPr>
          <w:rFonts w:ascii="Arial" w:cs="Arial" w:eastAsia="Arial" w:hAnsi="Arial"/>
          <w:sz w:val="15"/>
          <w:szCs w:val="15"/>
          <w:color w:val="7B7C80"/>
        </w:rPr>
      </w:pPr>
      <w:r>
        <w:rPr>
          <w:rFonts w:ascii="Arial" w:cs="Arial" w:eastAsia="Arial" w:hAnsi="Arial"/>
          <w:sz w:val="15"/>
          <w:szCs w:val="15"/>
          <w:color w:val="7B7C80"/>
        </w:rPr>
        <w:t>For severance and other benefits, if their employment is terminated without "Cause" or by the Named Executive Officer voluntarily for Good Reason. Termination without Cause or by the Named Executive Officer for Good Reason is referred to as a Qualifying Termination; and</w:t>
      </w:r>
    </w:p>
    <w:p>
      <w:pPr>
        <w:spacing w:after="0" w:line="160" w:lineRule="exact"/>
        <w:rPr>
          <w:rFonts w:ascii="Arial" w:cs="Arial" w:eastAsia="Arial" w:hAnsi="Arial"/>
          <w:sz w:val="15"/>
          <w:szCs w:val="15"/>
          <w:color w:val="7B7C80"/>
        </w:rPr>
      </w:pPr>
    </w:p>
    <w:p>
      <w:pPr>
        <w:ind w:left="448" w:hanging="448"/>
        <w:spacing w:after="0"/>
        <w:tabs>
          <w:tab w:leader="none" w:pos="448" w:val="left"/>
        </w:tabs>
        <w:numPr>
          <w:ilvl w:val="0"/>
          <w:numId w:val="63"/>
        </w:numPr>
        <w:rPr>
          <w:rFonts w:ascii="Arial" w:cs="Arial" w:eastAsia="Arial" w:hAnsi="Arial"/>
          <w:sz w:val="15"/>
          <w:szCs w:val="15"/>
          <w:color w:val="7B7C80"/>
        </w:rPr>
      </w:pPr>
      <w:r>
        <w:rPr>
          <w:rFonts w:ascii="Arial" w:cs="Arial" w:eastAsia="Arial" w:hAnsi="Arial"/>
          <w:sz w:val="15"/>
          <w:szCs w:val="15"/>
          <w:color w:val="7B7C80"/>
        </w:rPr>
        <w:t>That they will vest in all benefits previously accrued under the NQDB and Excess Plans, and these benefits will be paid in accordance with these plans.</w:t>
      </w:r>
    </w:p>
    <w:p>
      <w:pPr>
        <w:spacing w:after="0" w:line="183" w:lineRule="exact"/>
        <w:rPr>
          <w:sz w:val="20"/>
          <w:szCs w:val="20"/>
          <w:color w:val="auto"/>
        </w:rPr>
      </w:pPr>
    </w:p>
    <w:p>
      <w:pPr>
        <w:ind w:left="8"/>
        <w:spacing w:after="0" w:line="247" w:lineRule="auto"/>
        <w:rPr>
          <w:sz w:val="20"/>
          <w:szCs w:val="20"/>
          <w:color w:val="auto"/>
        </w:rPr>
      </w:pPr>
      <w:r>
        <w:rPr>
          <w:rFonts w:ascii="Arial" w:cs="Arial" w:eastAsia="Arial" w:hAnsi="Arial"/>
          <w:sz w:val="15"/>
          <w:szCs w:val="15"/>
          <w:color w:val="7B7C80"/>
        </w:rPr>
        <w:t>The benefits received upon a Change of Control without termination of employment include the current vested account balance in the Excess Plan and the current vested benefit in the NQDB, according to change of control distribution elections on file for these plans.</w:t>
      </w:r>
    </w:p>
    <w:p>
      <w:pPr>
        <w:spacing w:after="0" w:line="172" w:lineRule="exact"/>
        <w:rPr>
          <w:sz w:val="20"/>
          <w:szCs w:val="20"/>
          <w:color w:val="auto"/>
        </w:rPr>
      </w:pPr>
    </w:p>
    <w:p>
      <w:pPr>
        <w:ind w:left="8"/>
        <w:spacing w:after="0"/>
        <w:rPr>
          <w:sz w:val="20"/>
          <w:szCs w:val="20"/>
          <w:color w:val="auto"/>
        </w:rPr>
      </w:pPr>
      <w:r>
        <w:rPr>
          <w:rFonts w:ascii="Arial" w:cs="Arial" w:eastAsia="Arial" w:hAnsi="Arial"/>
          <w:sz w:val="15"/>
          <w:szCs w:val="15"/>
          <w:color w:val="7B7C80"/>
        </w:rPr>
        <w:t>For purposes of the Agreements, Good Reason means negative changes in the terms and conditions of the Named Executive Officer's employment, consisting of:</w:t>
      </w:r>
    </w:p>
    <w:p>
      <w:pPr>
        <w:spacing w:after="0" w:line="183" w:lineRule="exact"/>
        <w:rPr>
          <w:sz w:val="20"/>
          <w:szCs w:val="20"/>
          <w:color w:val="auto"/>
        </w:rPr>
      </w:pPr>
    </w:p>
    <w:p>
      <w:pPr>
        <w:ind w:left="448" w:hanging="448"/>
        <w:spacing w:after="0"/>
        <w:tabs>
          <w:tab w:leader="none" w:pos="448" w:val="left"/>
        </w:tabs>
        <w:numPr>
          <w:ilvl w:val="0"/>
          <w:numId w:val="64"/>
        </w:numPr>
        <w:rPr>
          <w:rFonts w:ascii="Arial" w:cs="Arial" w:eastAsia="Arial" w:hAnsi="Arial"/>
          <w:sz w:val="15"/>
          <w:szCs w:val="15"/>
          <w:color w:val="7B7C80"/>
        </w:rPr>
      </w:pPr>
      <w:r>
        <w:rPr>
          <w:rFonts w:ascii="Arial" w:cs="Arial" w:eastAsia="Arial" w:hAnsi="Arial"/>
          <w:sz w:val="15"/>
          <w:szCs w:val="15"/>
          <w:color w:val="7B7C80"/>
        </w:rPr>
        <w:t>Failure to pay base salary;</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64"/>
        </w:numPr>
        <w:rPr>
          <w:rFonts w:ascii="Arial" w:cs="Arial" w:eastAsia="Arial" w:hAnsi="Arial"/>
          <w:sz w:val="15"/>
          <w:szCs w:val="15"/>
          <w:color w:val="7B7C80"/>
        </w:rPr>
      </w:pPr>
      <w:r>
        <w:rPr>
          <w:rFonts w:ascii="Arial" w:cs="Arial" w:eastAsia="Arial" w:hAnsi="Arial"/>
          <w:sz w:val="15"/>
          <w:szCs w:val="15"/>
          <w:color w:val="7B7C80"/>
        </w:rPr>
        <w:t>Failure to pay the annual bonus or a reduction in annual bonus opportunity;</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64"/>
        </w:numPr>
        <w:rPr>
          <w:rFonts w:ascii="Arial" w:cs="Arial" w:eastAsia="Arial" w:hAnsi="Arial"/>
          <w:sz w:val="15"/>
          <w:szCs w:val="15"/>
          <w:color w:val="7B7C80"/>
        </w:rPr>
      </w:pPr>
      <w:r>
        <w:rPr>
          <w:rFonts w:ascii="Arial" w:cs="Arial" w:eastAsia="Arial" w:hAnsi="Arial"/>
          <w:sz w:val="15"/>
          <w:szCs w:val="15"/>
          <w:color w:val="7B7C80"/>
        </w:rPr>
        <w:t>Material adverse change in position, authority or duties;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64"/>
        </w:numPr>
        <w:rPr>
          <w:rFonts w:ascii="Arial" w:cs="Arial" w:eastAsia="Arial" w:hAnsi="Arial"/>
          <w:sz w:val="15"/>
          <w:szCs w:val="15"/>
          <w:color w:val="7B7C80"/>
        </w:rPr>
      </w:pPr>
      <w:r>
        <w:rPr>
          <w:rFonts w:ascii="Arial" w:cs="Arial" w:eastAsia="Arial" w:hAnsi="Arial"/>
          <w:sz w:val="15"/>
          <w:szCs w:val="15"/>
          <w:color w:val="7B7C80"/>
        </w:rPr>
        <w:t>Material reduction in the aggregate compensation and benefits;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64"/>
        </w:numPr>
        <w:rPr>
          <w:rFonts w:ascii="Arial" w:cs="Arial" w:eastAsia="Arial" w:hAnsi="Arial"/>
          <w:sz w:val="15"/>
          <w:szCs w:val="15"/>
          <w:color w:val="7B7C80"/>
        </w:rPr>
      </w:pPr>
      <w:r>
        <w:rPr>
          <w:rFonts w:ascii="Arial" w:cs="Arial" w:eastAsia="Arial" w:hAnsi="Arial"/>
          <w:sz w:val="15"/>
          <w:szCs w:val="15"/>
          <w:color w:val="7B7C80"/>
        </w:rPr>
        <w:t>Relocation to any office or location more than 50 miles from where the Named Executive Officer worked immediately before the Change of Control;</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64"/>
        </w:numPr>
        <w:rPr>
          <w:rFonts w:ascii="Arial" w:cs="Arial" w:eastAsia="Arial" w:hAnsi="Arial"/>
          <w:sz w:val="15"/>
          <w:szCs w:val="15"/>
          <w:color w:val="7B7C80"/>
        </w:rPr>
      </w:pPr>
      <w:r>
        <w:rPr>
          <w:rFonts w:ascii="Arial" w:cs="Arial" w:eastAsia="Arial" w:hAnsi="Arial"/>
          <w:sz w:val="15"/>
          <w:szCs w:val="15"/>
          <w:color w:val="7B7C80"/>
        </w:rPr>
        <w:t>Any material breach of the Change of Control Employment Agreement;</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64"/>
        </w:numPr>
        <w:rPr>
          <w:rFonts w:ascii="Arial" w:cs="Arial" w:eastAsia="Arial" w:hAnsi="Arial"/>
          <w:sz w:val="15"/>
          <w:szCs w:val="15"/>
          <w:color w:val="7B7C80"/>
        </w:rPr>
      </w:pPr>
      <w:r>
        <w:rPr>
          <w:rFonts w:ascii="Arial" w:cs="Arial" w:eastAsia="Arial" w:hAnsi="Arial"/>
          <w:sz w:val="15"/>
          <w:szCs w:val="15"/>
          <w:color w:val="7B7C80"/>
        </w:rPr>
        <w:t>Any purported termination the Company claims is for Cause, but fails to satisfy the requirements for a Cause termination; or</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64"/>
        </w:numPr>
        <w:rPr>
          <w:rFonts w:ascii="Arial" w:cs="Arial" w:eastAsia="Arial" w:hAnsi="Arial"/>
          <w:sz w:val="15"/>
          <w:szCs w:val="15"/>
          <w:color w:val="7B7C80"/>
        </w:rPr>
      </w:pPr>
      <w:r>
        <w:rPr>
          <w:rFonts w:ascii="Arial" w:cs="Arial" w:eastAsia="Arial" w:hAnsi="Arial"/>
          <w:sz w:val="15"/>
          <w:szCs w:val="15"/>
          <w:color w:val="7B7C80"/>
        </w:rPr>
        <w:t>The failure of the Successor to be bound by the Agreements.</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7B7C80"/>
        </w:rPr>
        <w:t>Cause means any one or more of the following:</w:t>
      </w:r>
    </w:p>
    <w:p>
      <w:pPr>
        <w:spacing w:after="0" w:line="183" w:lineRule="exact"/>
        <w:rPr>
          <w:sz w:val="20"/>
          <w:szCs w:val="20"/>
          <w:color w:val="auto"/>
        </w:rPr>
      </w:pPr>
    </w:p>
    <w:p>
      <w:pPr>
        <w:ind w:left="448" w:hanging="448"/>
        <w:spacing w:after="0"/>
        <w:tabs>
          <w:tab w:leader="none" w:pos="448"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Commission of certain crimes;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Misconduct or habitual neglect of duties; or</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65"/>
        </w:numPr>
        <w:rPr>
          <w:rFonts w:ascii="Arial" w:cs="Arial" w:eastAsia="Arial" w:hAnsi="Arial"/>
          <w:sz w:val="15"/>
          <w:szCs w:val="15"/>
          <w:color w:val="7B7C80"/>
        </w:rPr>
      </w:pPr>
      <w:r>
        <w:rPr>
          <w:rFonts w:ascii="Arial" w:cs="Arial" w:eastAsia="Arial" w:hAnsi="Arial"/>
          <w:sz w:val="15"/>
          <w:szCs w:val="15"/>
          <w:color w:val="7B7C80"/>
        </w:rPr>
        <w:t>Willful or intentional breach of the Change of Control Employment Agreement.</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benefits to be paid or provided under the Agreements if termination occurs for Good Reason or without Cause consist of:</w:t>
      </w:r>
    </w:p>
    <w:p>
      <w:pPr>
        <w:spacing w:after="0" w:line="183" w:lineRule="exact"/>
        <w:rPr>
          <w:sz w:val="20"/>
          <w:szCs w:val="20"/>
          <w:color w:val="auto"/>
        </w:rPr>
      </w:pPr>
    </w:p>
    <w:p>
      <w:pPr>
        <w:ind w:left="448" w:hanging="448"/>
        <w:spacing w:after="0"/>
        <w:tabs>
          <w:tab w:leader="none" w:pos="448" w:val="left"/>
        </w:tabs>
        <w:numPr>
          <w:ilvl w:val="0"/>
          <w:numId w:val="66"/>
        </w:numPr>
        <w:rPr>
          <w:rFonts w:ascii="Arial" w:cs="Arial" w:eastAsia="Arial" w:hAnsi="Arial"/>
          <w:sz w:val="15"/>
          <w:szCs w:val="15"/>
          <w:color w:val="7B7C80"/>
        </w:rPr>
      </w:pPr>
      <w:r>
        <w:rPr>
          <w:rFonts w:ascii="Arial" w:cs="Arial" w:eastAsia="Arial" w:hAnsi="Arial"/>
          <w:sz w:val="15"/>
          <w:szCs w:val="15"/>
          <w:color w:val="7B7C80"/>
        </w:rPr>
        <w:t>Lump sum severance benefits equal to two times the sum of the annual base salary and target annual bonus;</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66"/>
        </w:numPr>
        <w:rPr>
          <w:rFonts w:ascii="Arial" w:cs="Arial" w:eastAsia="Arial" w:hAnsi="Arial"/>
          <w:sz w:val="15"/>
          <w:szCs w:val="15"/>
          <w:color w:val="7B7C80"/>
        </w:rPr>
      </w:pPr>
      <w:r>
        <w:rPr>
          <w:rFonts w:ascii="Arial" w:cs="Arial" w:eastAsia="Arial" w:hAnsi="Arial"/>
          <w:sz w:val="15"/>
          <w:szCs w:val="15"/>
          <w:color w:val="7B7C80"/>
        </w:rPr>
        <w:t>Immediate vesting of all stock options, stock appreciation rights, shares of restricted stock, PSAs, PSUs, performance units, RSUs and deferred stock units;</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66"/>
        </w:numPr>
        <w:rPr>
          <w:rFonts w:ascii="Arial" w:cs="Arial" w:eastAsia="Arial" w:hAnsi="Arial"/>
          <w:sz w:val="15"/>
          <w:szCs w:val="15"/>
          <w:color w:val="7B7C80"/>
        </w:rPr>
      </w:pPr>
      <w:r>
        <w:rPr>
          <w:rFonts w:ascii="Arial" w:cs="Arial" w:eastAsia="Arial" w:hAnsi="Arial"/>
          <w:sz w:val="15"/>
          <w:szCs w:val="15"/>
          <w:color w:val="7B7C80"/>
        </w:rPr>
        <w:t>A prorated annual bonus for the year of termination minus the amount paid for the bonus at the time of the Change of Control; and</w:t>
      </w:r>
    </w:p>
    <w:p>
      <w:pPr>
        <w:spacing w:after="0" w:line="171" w:lineRule="exact"/>
        <w:rPr>
          <w:rFonts w:ascii="Arial" w:cs="Arial" w:eastAsia="Arial" w:hAnsi="Arial"/>
          <w:sz w:val="15"/>
          <w:szCs w:val="15"/>
          <w:color w:val="7B7C80"/>
        </w:rPr>
      </w:pPr>
    </w:p>
    <w:p>
      <w:pPr>
        <w:ind w:left="448" w:hanging="448"/>
        <w:spacing w:after="0"/>
        <w:tabs>
          <w:tab w:leader="none" w:pos="448" w:val="left"/>
        </w:tabs>
        <w:numPr>
          <w:ilvl w:val="0"/>
          <w:numId w:val="66"/>
        </w:numPr>
        <w:rPr>
          <w:rFonts w:ascii="Arial" w:cs="Arial" w:eastAsia="Arial" w:hAnsi="Arial"/>
          <w:sz w:val="15"/>
          <w:szCs w:val="15"/>
          <w:color w:val="7B7C80"/>
        </w:rPr>
      </w:pPr>
      <w:r>
        <w:rPr>
          <w:rFonts w:ascii="Arial" w:cs="Arial" w:eastAsia="Arial" w:hAnsi="Arial"/>
          <w:sz w:val="15"/>
          <w:szCs w:val="15"/>
          <w:color w:val="7B7C80"/>
        </w:rPr>
        <w:t>The reimbursement for legal fees and other related expenses to enforce the Agreements.</w:t>
      </w:r>
    </w:p>
    <w:p>
      <w:pPr>
        <w:spacing w:after="0" w:line="183"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In addition, until the third anniversary of the date of the Named Executive Officer's termination, he or she and his or her eligible family members will receive medical, prescription drug, dental, vision, group term life insurance, and accidental death and dismemberment coverages comparable to those received by Executives whose employment continues.</w:t>
      </w:r>
    </w:p>
    <w:p>
      <w:pPr>
        <w:spacing w:after="0" w:line="175" w:lineRule="exact"/>
        <w:rPr>
          <w:sz w:val="20"/>
          <w:szCs w:val="20"/>
          <w:color w:val="auto"/>
        </w:rPr>
      </w:pPr>
    </w:p>
    <w:p>
      <w:pPr>
        <w:jc w:val="both"/>
        <w:ind w:left="8"/>
        <w:spacing w:after="0" w:line="247" w:lineRule="auto"/>
        <w:rPr>
          <w:sz w:val="20"/>
          <w:szCs w:val="20"/>
          <w:color w:val="auto"/>
        </w:rPr>
      </w:pPr>
      <w:r>
        <w:rPr>
          <w:rFonts w:ascii="Arial" w:cs="Arial" w:eastAsia="Arial" w:hAnsi="Arial"/>
          <w:sz w:val="15"/>
          <w:szCs w:val="15"/>
          <w:color w:val="7B7C80"/>
        </w:rPr>
        <w:t>Pursuant to these Agreements, the Named Executive Officers agreed that for one year following a termination of employment that results in the Named Executive Officer receiving the severance benefits described above, he 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107315</wp:posOffset>
            </wp:positionV>
            <wp:extent cx="960120" cy="28384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9"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54</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57" w:name="page58"/>
    <w:bookmarkEnd w:id="57"/>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ind w:left="8"/>
        <w:spacing w:after="0" w:line="247" w:lineRule="auto"/>
        <w:rPr>
          <w:sz w:val="20"/>
          <w:szCs w:val="20"/>
          <w:color w:val="auto"/>
        </w:rPr>
      </w:pPr>
      <w:r>
        <w:rPr>
          <w:rFonts w:ascii="Arial" w:cs="Arial" w:eastAsia="Arial" w:hAnsi="Arial"/>
          <w:sz w:val="15"/>
          <w:szCs w:val="15"/>
          <w:color w:val="7B7C80"/>
        </w:rPr>
        <w:t>she will not work for a competing business, solicit employees or customers, or interfere with the relationships of the Company, its affiliates and subsidiaries with their employees or customers.</w:t>
      </w:r>
    </w:p>
    <w:p>
      <w:pPr>
        <w:spacing w:after="0" w:line="154"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Potential Payments Upon Termination Related to a Change of Control</w:t>
      </w:r>
    </w:p>
    <w:p>
      <w:pPr>
        <w:spacing w:after="0" w:line="200" w:lineRule="exact"/>
        <w:rPr>
          <w:sz w:val="20"/>
          <w:szCs w:val="20"/>
          <w:color w:val="auto"/>
        </w:rPr>
      </w:pPr>
    </w:p>
    <w:p>
      <w:pPr>
        <w:ind w:left="8"/>
        <w:spacing w:after="0"/>
        <w:rPr>
          <w:sz w:val="20"/>
          <w:szCs w:val="20"/>
          <w:color w:val="auto"/>
        </w:rPr>
      </w:pPr>
      <w:r>
        <w:rPr>
          <w:rFonts w:ascii="Arial" w:cs="Arial" w:eastAsia="Arial" w:hAnsi="Arial"/>
          <w:sz w:val="15"/>
          <w:szCs w:val="15"/>
          <w:color w:val="7B7C80"/>
        </w:rPr>
        <w:t>The following table describes the potential payments upon involuntary termination without Cause or voluntary termination for Good Reason following a Change of Control.</w:t>
      </w:r>
    </w:p>
    <w:p>
      <w:pPr>
        <w:ind w:left="8"/>
        <w:spacing w:after="0"/>
        <w:rPr>
          <w:sz w:val="20"/>
          <w:szCs w:val="20"/>
          <w:color w:val="auto"/>
        </w:rPr>
      </w:pPr>
      <w:r>
        <w:rPr>
          <w:rFonts w:ascii="Arial" w:cs="Arial" w:eastAsia="Arial" w:hAnsi="Arial"/>
          <w:sz w:val="15"/>
          <w:szCs w:val="15"/>
          <w:color w:val="7B7C80"/>
        </w:rPr>
        <w:t>The calculations provided in the table assume:</w:t>
      </w:r>
    </w:p>
    <w:p>
      <w:pPr>
        <w:spacing w:after="0" w:line="183" w:lineRule="exact"/>
        <w:rPr>
          <w:sz w:val="20"/>
          <w:szCs w:val="20"/>
          <w:color w:val="auto"/>
        </w:rPr>
      </w:pPr>
    </w:p>
    <w:p>
      <w:pPr>
        <w:ind w:left="448" w:hanging="448"/>
        <w:spacing w:after="0"/>
        <w:tabs>
          <w:tab w:leader="none" w:pos="448" w:val="left"/>
        </w:tabs>
        <w:numPr>
          <w:ilvl w:val="0"/>
          <w:numId w:val="67"/>
        </w:numPr>
        <w:rPr>
          <w:rFonts w:ascii="Arial" w:cs="Arial" w:eastAsia="Arial" w:hAnsi="Arial"/>
          <w:sz w:val="15"/>
          <w:szCs w:val="15"/>
          <w:color w:val="7B7C80"/>
        </w:rPr>
      </w:pPr>
      <w:r>
        <w:rPr>
          <w:rFonts w:ascii="Arial" w:cs="Arial" w:eastAsia="Arial" w:hAnsi="Arial"/>
          <w:sz w:val="15"/>
          <w:szCs w:val="15"/>
          <w:color w:val="7B7C80"/>
        </w:rPr>
        <w:t>termination occurred on December 31, 2017;</w:t>
      </w:r>
    </w:p>
    <w:p>
      <w:pPr>
        <w:spacing w:after="0" w:line="182" w:lineRule="exact"/>
        <w:rPr>
          <w:rFonts w:ascii="Arial" w:cs="Arial" w:eastAsia="Arial" w:hAnsi="Arial"/>
          <w:sz w:val="15"/>
          <w:szCs w:val="15"/>
          <w:color w:val="7B7C80"/>
        </w:rPr>
      </w:pPr>
    </w:p>
    <w:p>
      <w:pPr>
        <w:ind w:left="448" w:hanging="448"/>
        <w:spacing w:after="0"/>
        <w:tabs>
          <w:tab w:leader="none" w:pos="448" w:val="left"/>
        </w:tabs>
        <w:numPr>
          <w:ilvl w:val="0"/>
          <w:numId w:val="67"/>
        </w:numPr>
        <w:rPr>
          <w:rFonts w:ascii="Arial" w:cs="Arial" w:eastAsia="Arial" w:hAnsi="Arial"/>
          <w:sz w:val="15"/>
          <w:szCs w:val="15"/>
          <w:color w:val="7B7C80"/>
        </w:rPr>
      </w:pPr>
      <w:r>
        <w:rPr>
          <w:rFonts w:ascii="Arial" w:cs="Arial" w:eastAsia="Arial" w:hAnsi="Arial"/>
          <w:sz w:val="15"/>
          <w:szCs w:val="15"/>
          <w:color w:val="7B7C80"/>
        </w:rPr>
        <w:t>per share price of the Company's Common Stock was $70.56, the closing price as of December 29, 2017, the last trading day of the year.</w:t>
      </w:r>
    </w:p>
    <w:p>
      <w:pPr>
        <w:spacing w:after="0" w:line="160" w:lineRule="exact"/>
        <w:rPr>
          <w:sz w:val="20"/>
          <w:szCs w:val="20"/>
          <w:color w:val="auto"/>
        </w:rPr>
      </w:pPr>
    </w:p>
    <w:tbl>
      <w:tblPr>
        <w:tblLayout w:type="fixed"/>
        <w:tblInd w:w="1368" w:type="dxa"/>
        <w:tblCellMar>
          <w:top w:w="0" w:type="dxa"/>
          <w:left w:w="0" w:type="dxa"/>
          <w:bottom w:w="0" w:type="dxa"/>
          <w:right w:w="0" w:type="dxa"/>
        </w:tblCellMar>
      </w:tblPr>
      <w:tr>
        <w:trPr>
          <w:trHeight w:val="139"/>
        </w:trPr>
        <w:tc>
          <w:tcPr>
            <w:tcW w:w="2180" w:type="dxa"/>
            <w:vAlign w:val="bottom"/>
            <w:tcBorders>
              <w:top w:val="single" w:sz="8" w:color="009CCC"/>
            </w:tcBorders>
          </w:tcPr>
          <w:p>
            <w:pPr>
              <w:spacing w:after="0"/>
              <w:rPr>
                <w:sz w:val="12"/>
                <w:szCs w:val="12"/>
                <w:color w:val="auto"/>
              </w:rPr>
            </w:pPr>
          </w:p>
        </w:tc>
        <w:tc>
          <w:tcPr>
            <w:tcW w:w="1580" w:type="dxa"/>
            <w:vAlign w:val="bottom"/>
            <w:tcBorders>
              <w:top w:val="single" w:sz="8" w:color="009CCC"/>
            </w:tcBorders>
          </w:tcPr>
          <w:p>
            <w:pPr>
              <w:spacing w:after="0"/>
              <w:rPr>
                <w:sz w:val="12"/>
                <w:szCs w:val="12"/>
                <w:color w:val="auto"/>
              </w:rPr>
            </w:pPr>
          </w:p>
        </w:tc>
        <w:tc>
          <w:tcPr>
            <w:tcW w:w="900" w:type="dxa"/>
            <w:vAlign w:val="bottom"/>
            <w:tcBorders>
              <w:top w:val="single" w:sz="8" w:color="009CCC"/>
            </w:tcBorders>
          </w:tcPr>
          <w:p>
            <w:pPr>
              <w:spacing w:after="0"/>
              <w:rPr>
                <w:sz w:val="12"/>
                <w:szCs w:val="12"/>
                <w:color w:val="auto"/>
              </w:rPr>
            </w:pPr>
          </w:p>
        </w:tc>
        <w:tc>
          <w:tcPr>
            <w:tcW w:w="920" w:type="dxa"/>
            <w:vAlign w:val="bottom"/>
            <w:tcBorders>
              <w:top w:val="single" w:sz="8" w:color="009CCC"/>
            </w:tcBorders>
          </w:tcPr>
          <w:p>
            <w:pPr>
              <w:jc w:val="right"/>
              <w:ind w:right="13"/>
              <w:spacing w:after="0"/>
              <w:rPr>
                <w:sz w:val="20"/>
                <w:szCs w:val="20"/>
                <w:color w:val="auto"/>
              </w:rPr>
            </w:pPr>
            <w:r>
              <w:rPr>
                <w:rFonts w:ascii="Arial" w:cs="Arial" w:eastAsia="Arial" w:hAnsi="Arial"/>
                <w:sz w:val="12"/>
                <w:szCs w:val="12"/>
                <w:b w:val="1"/>
                <w:bCs w:val="1"/>
                <w:color w:val="009CCC"/>
              </w:rPr>
              <w:t>Value of</w:t>
            </w:r>
          </w:p>
        </w:tc>
        <w:tc>
          <w:tcPr>
            <w:tcW w:w="420" w:type="dxa"/>
            <w:vAlign w:val="bottom"/>
            <w:tcBorders>
              <w:top w:val="single" w:sz="8" w:color="009CCC"/>
            </w:tcBorders>
          </w:tcPr>
          <w:p>
            <w:pPr>
              <w:spacing w:after="0"/>
              <w:rPr>
                <w:sz w:val="12"/>
                <w:szCs w:val="12"/>
                <w:color w:val="auto"/>
              </w:rPr>
            </w:pPr>
          </w:p>
        </w:tc>
        <w:tc>
          <w:tcPr>
            <w:tcW w:w="620" w:type="dxa"/>
            <w:vAlign w:val="bottom"/>
            <w:tcBorders>
              <w:top w:val="single" w:sz="8" w:color="009CCC"/>
            </w:tcBorders>
          </w:tcPr>
          <w:p>
            <w:pPr>
              <w:spacing w:after="0"/>
              <w:rPr>
                <w:sz w:val="12"/>
                <w:szCs w:val="12"/>
                <w:color w:val="auto"/>
              </w:rPr>
            </w:pPr>
          </w:p>
        </w:tc>
        <w:tc>
          <w:tcPr>
            <w:tcW w:w="860" w:type="dxa"/>
            <w:vAlign w:val="bottom"/>
            <w:tcBorders>
              <w:top w:val="single" w:sz="8" w:color="009CCC"/>
            </w:tcBorders>
          </w:tcPr>
          <w:p>
            <w:pPr>
              <w:spacing w:after="0"/>
              <w:rPr>
                <w:sz w:val="12"/>
                <w:szCs w:val="12"/>
                <w:color w:val="auto"/>
              </w:rPr>
            </w:pPr>
          </w:p>
        </w:tc>
        <w:tc>
          <w:tcPr>
            <w:tcW w:w="160" w:type="dxa"/>
            <w:vAlign w:val="bottom"/>
            <w:tcBorders>
              <w:top w:val="single" w:sz="8" w:color="009CCC"/>
            </w:tcBorders>
          </w:tcPr>
          <w:p>
            <w:pPr>
              <w:spacing w:after="0"/>
              <w:rPr>
                <w:sz w:val="12"/>
                <w:szCs w:val="12"/>
                <w:color w:val="auto"/>
              </w:rPr>
            </w:pPr>
          </w:p>
        </w:tc>
        <w:tc>
          <w:tcPr>
            <w:tcW w:w="760" w:type="dxa"/>
            <w:vAlign w:val="bottom"/>
            <w:tcBorders>
              <w:top w:val="single" w:sz="8" w:color="009CCC"/>
            </w:tcBorders>
          </w:tcPr>
          <w:p>
            <w:pPr>
              <w:spacing w:after="0"/>
              <w:rPr>
                <w:sz w:val="12"/>
                <w:szCs w:val="12"/>
                <w:color w:val="auto"/>
              </w:rPr>
            </w:pPr>
          </w:p>
        </w:tc>
      </w:tr>
      <w:tr>
        <w:trPr>
          <w:trHeight w:val="137"/>
        </w:trPr>
        <w:tc>
          <w:tcPr>
            <w:tcW w:w="2180" w:type="dxa"/>
            <w:vAlign w:val="bottom"/>
          </w:tcPr>
          <w:p>
            <w:pPr>
              <w:spacing w:after="0"/>
              <w:rPr>
                <w:sz w:val="11"/>
                <w:szCs w:val="11"/>
                <w:color w:val="auto"/>
              </w:rPr>
            </w:pPr>
          </w:p>
        </w:tc>
        <w:tc>
          <w:tcPr>
            <w:tcW w:w="15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920" w:type="dxa"/>
            <w:vAlign w:val="bottom"/>
          </w:tcPr>
          <w:p>
            <w:pPr>
              <w:jc w:val="right"/>
              <w:ind w:right="13"/>
              <w:spacing w:after="0"/>
              <w:rPr>
                <w:sz w:val="20"/>
                <w:szCs w:val="20"/>
                <w:color w:val="auto"/>
              </w:rPr>
            </w:pPr>
            <w:r>
              <w:rPr>
                <w:rFonts w:ascii="Arial" w:cs="Arial" w:eastAsia="Arial" w:hAnsi="Arial"/>
                <w:sz w:val="12"/>
                <w:szCs w:val="12"/>
                <w:b w:val="1"/>
                <w:bCs w:val="1"/>
                <w:color w:val="009CCC"/>
              </w:rPr>
              <w:t>Previously</w:t>
            </w:r>
          </w:p>
        </w:tc>
        <w:tc>
          <w:tcPr>
            <w:tcW w:w="4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Pr>
          <w:p>
            <w:pPr>
              <w:spacing w:after="0"/>
              <w:rPr>
                <w:sz w:val="11"/>
                <w:szCs w:val="11"/>
                <w:color w:val="auto"/>
              </w:rPr>
            </w:pPr>
          </w:p>
        </w:tc>
      </w:tr>
      <w:tr>
        <w:trPr>
          <w:trHeight w:val="137"/>
        </w:trPr>
        <w:tc>
          <w:tcPr>
            <w:tcW w:w="2180" w:type="dxa"/>
            <w:vAlign w:val="bottom"/>
          </w:tcPr>
          <w:p>
            <w:pPr>
              <w:spacing w:after="0"/>
              <w:rPr>
                <w:sz w:val="11"/>
                <w:szCs w:val="11"/>
                <w:color w:val="auto"/>
              </w:rPr>
            </w:pPr>
          </w:p>
        </w:tc>
        <w:tc>
          <w:tcPr>
            <w:tcW w:w="15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920" w:type="dxa"/>
            <w:vAlign w:val="bottom"/>
          </w:tcPr>
          <w:p>
            <w:pPr>
              <w:jc w:val="right"/>
              <w:ind w:right="13"/>
              <w:spacing w:after="0"/>
              <w:rPr>
                <w:sz w:val="20"/>
                <w:szCs w:val="20"/>
                <w:color w:val="auto"/>
              </w:rPr>
            </w:pPr>
            <w:r>
              <w:rPr>
                <w:rFonts w:ascii="Arial" w:cs="Arial" w:eastAsia="Arial" w:hAnsi="Arial"/>
                <w:sz w:val="12"/>
                <w:szCs w:val="12"/>
                <w:b w:val="1"/>
                <w:bCs w:val="1"/>
                <w:color w:val="009CCC"/>
              </w:rPr>
              <w:t>Unvested</w:t>
            </w:r>
          </w:p>
        </w:tc>
        <w:tc>
          <w:tcPr>
            <w:tcW w:w="4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Pr>
          <w:p>
            <w:pPr>
              <w:spacing w:after="0"/>
              <w:rPr>
                <w:sz w:val="11"/>
                <w:szCs w:val="11"/>
                <w:color w:val="auto"/>
              </w:rPr>
            </w:pPr>
          </w:p>
        </w:tc>
      </w:tr>
      <w:tr>
        <w:trPr>
          <w:trHeight w:val="147"/>
        </w:trPr>
        <w:tc>
          <w:tcPr>
            <w:tcW w:w="2180" w:type="dxa"/>
            <w:vAlign w:val="bottom"/>
          </w:tcPr>
          <w:p>
            <w:pPr>
              <w:spacing w:after="0"/>
              <w:rPr>
                <w:sz w:val="12"/>
                <w:szCs w:val="12"/>
                <w:color w:val="auto"/>
              </w:rPr>
            </w:pPr>
          </w:p>
        </w:tc>
        <w:tc>
          <w:tcPr>
            <w:tcW w:w="1580" w:type="dxa"/>
            <w:vAlign w:val="bottom"/>
          </w:tcPr>
          <w:p>
            <w:pPr>
              <w:spacing w:after="0"/>
              <w:rPr>
                <w:sz w:val="12"/>
                <w:szCs w:val="12"/>
                <w:color w:val="auto"/>
              </w:rPr>
            </w:pPr>
          </w:p>
        </w:tc>
        <w:tc>
          <w:tcPr>
            <w:tcW w:w="900" w:type="dxa"/>
            <w:vAlign w:val="bottom"/>
          </w:tcPr>
          <w:p>
            <w:pPr>
              <w:jc w:val="right"/>
              <w:ind w:right="11"/>
              <w:spacing w:after="0"/>
              <w:rPr>
                <w:sz w:val="20"/>
                <w:szCs w:val="20"/>
                <w:color w:val="auto"/>
              </w:rPr>
            </w:pPr>
            <w:r>
              <w:rPr>
                <w:rFonts w:ascii="Arial" w:cs="Arial" w:eastAsia="Arial" w:hAnsi="Arial"/>
                <w:sz w:val="12"/>
                <w:szCs w:val="12"/>
                <w:b w:val="1"/>
                <w:bCs w:val="1"/>
                <w:color w:val="009CCC"/>
              </w:rPr>
              <w:t>Spread on</w:t>
            </w:r>
          </w:p>
        </w:tc>
        <w:tc>
          <w:tcPr>
            <w:tcW w:w="920" w:type="dxa"/>
            <w:vAlign w:val="bottom"/>
          </w:tcPr>
          <w:p>
            <w:pPr>
              <w:jc w:val="right"/>
              <w:ind w:right="13"/>
              <w:spacing w:after="0"/>
              <w:rPr>
                <w:sz w:val="20"/>
                <w:szCs w:val="20"/>
                <w:color w:val="auto"/>
              </w:rPr>
            </w:pPr>
            <w:r>
              <w:rPr>
                <w:rFonts w:ascii="Arial" w:cs="Arial" w:eastAsia="Arial" w:hAnsi="Arial"/>
                <w:sz w:val="12"/>
                <w:szCs w:val="12"/>
                <w:b w:val="1"/>
                <w:bCs w:val="1"/>
                <w:color w:val="009CCC"/>
              </w:rPr>
              <w:t>Restricted</w:t>
            </w:r>
          </w:p>
        </w:tc>
        <w:tc>
          <w:tcPr>
            <w:tcW w:w="4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b w:val="1"/>
                <w:bCs w:val="1"/>
                <w:color w:val="009CCC"/>
              </w:rPr>
              <w:t>Total</w:t>
            </w:r>
          </w:p>
        </w:tc>
      </w:tr>
      <w:tr>
        <w:trPr>
          <w:trHeight w:val="137"/>
        </w:trPr>
        <w:tc>
          <w:tcPr>
            <w:tcW w:w="2180" w:type="dxa"/>
            <w:vAlign w:val="bottom"/>
          </w:tcPr>
          <w:p>
            <w:pPr>
              <w:spacing w:after="0"/>
              <w:rPr>
                <w:sz w:val="11"/>
                <w:szCs w:val="11"/>
                <w:color w:val="auto"/>
              </w:rPr>
            </w:pPr>
          </w:p>
        </w:tc>
        <w:tc>
          <w:tcPr>
            <w:tcW w:w="1580" w:type="dxa"/>
            <w:vAlign w:val="bottom"/>
          </w:tcPr>
          <w:p>
            <w:pPr>
              <w:spacing w:after="0"/>
              <w:rPr>
                <w:sz w:val="11"/>
                <w:szCs w:val="11"/>
                <w:color w:val="auto"/>
              </w:rPr>
            </w:pPr>
          </w:p>
        </w:tc>
        <w:tc>
          <w:tcPr>
            <w:tcW w:w="900" w:type="dxa"/>
            <w:vAlign w:val="bottom"/>
          </w:tcPr>
          <w:p>
            <w:pPr>
              <w:jc w:val="right"/>
              <w:ind w:right="11"/>
              <w:spacing w:after="0"/>
              <w:rPr>
                <w:sz w:val="20"/>
                <w:szCs w:val="20"/>
                <w:color w:val="auto"/>
              </w:rPr>
            </w:pPr>
            <w:r>
              <w:rPr>
                <w:rFonts w:ascii="Arial" w:cs="Arial" w:eastAsia="Arial" w:hAnsi="Arial"/>
                <w:sz w:val="12"/>
                <w:szCs w:val="12"/>
                <w:b w:val="1"/>
                <w:bCs w:val="1"/>
                <w:color w:val="009CCC"/>
              </w:rPr>
              <w:t>Previously</w:t>
            </w:r>
          </w:p>
        </w:tc>
        <w:tc>
          <w:tcPr>
            <w:tcW w:w="920" w:type="dxa"/>
            <w:vAlign w:val="bottom"/>
          </w:tcPr>
          <w:p>
            <w:pPr>
              <w:jc w:val="right"/>
              <w:ind w:right="13"/>
              <w:spacing w:after="0"/>
              <w:rPr>
                <w:sz w:val="20"/>
                <w:szCs w:val="20"/>
                <w:color w:val="auto"/>
              </w:rPr>
            </w:pPr>
            <w:r>
              <w:rPr>
                <w:rFonts w:ascii="Arial" w:cs="Arial" w:eastAsia="Arial" w:hAnsi="Arial"/>
                <w:sz w:val="12"/>
                <w:szCs w:val="12"/>
                <w:b w:val="1"/>
                <w:bCs w:val="1"/>
                <w:color w:val="009CCC"/>
              </w:rPr>
              <w:t>Stock &amp;</w:t>
            </w:r>
          </w:p>
        </w:tc>
        <w:tc>
          <w:tcPr>
            <w:tcW w:w="4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60" w:type="dxa"/>
            <w:vAlign w:val="bottom"/>
          </w:tcPr>
          <w:p>
            <w:pPr>
              <w:jc w:val="right"/>
              <w:ind w:right="11"/>
              <w:spacing w:after="0"/>
              <w:rPr>
                <w:sz w:val="20"/>
                <w:szCs w:val="20"/>
                <w:color w:val="auto"/>
              </w:rPr>
            </w:pPr>
            <w:r>
              <w:rPr>
                <w:rFonts w:ascii="Arial" w:cs="Arial" w:eastAsia="Arial" w:hAnsi="Arial"/>
                <w:sz w:val="12"/>
                <w:szCs w:val="12"/>
                <w:b w:val="1"/>
                <w:bCs w:val="1"/>
                <w:color w:val="009CCC"/>
              </w:rPr>
              <w:t>Accelerated</w:t>
            </w:r>
          </w:p>
        </w:tc>
        <w:tc>
          <w:tcPr>
            <w:tcW w:w="16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2"/>
                <w:szCs w:val="12"/>
                <w:b w:val="1"/>
                <w:bCs w:val="1"/>
                <w:color w:val="009CCC"/>
              </w:rPr>
              <w:t>Termination</w:t>
            </w:r>
          </w:p>
        </w:tc>
      </w:tr>
      <w:tr>
        <w:trPr>
          <w:trHeight w:val="137"/>
        </w:trPr>
        <w:tc>
          <w:tcPr>
            <w:tcW w:w="2180" w:type="dxa"/>
            <w:vAlign w:val="bottom"/>
          </w:tcPr>
          <w:p>
            <w:pPr>
              <w:spacing w:after="0"/>
              <w:rPr>
                <w:sz w:val="11"/>
                <w:szCs w:val="11"/>
                <w:color w:val="auto"/>
              </w:rPr>
            </w:pPr>
          </w:p>
        </w:tc>
        <w:tc>
          <w:tcPr>
            <w:tcW w:w="1580" w:type="dxa"/>
            <w:vAlign w:val="bottom"/>
          </w:tcPr>
          <w:p>
            <w:pPr>
              <w:jc w:val="right"/>
              <w:ind w:right="9"/>
              <w:spacing w:after="0"/>
              <w:rPr>
                <w:sz w:val="20"/>
                <w:szCs w:val="20"/>
                <w:color w:val="auto"/>
              </w:rPr>
            </w:pPr>
            <w:r>
              <w:rPr>
                <w:rFonts w:ascii="Arial" w:cs="Arial" w:eastAsia="Arial" w:hAnsi="Arial"/>
                <w:sz w:val="12"/>
                <w:szCs w:val="12"/>
                <w:b w:val="1"/>
                <w:bCs w:val="1"/>
                <w:color w:val="009CCC"/>
              </w:rPr>
              <w:t>Cash</w:t>
            </w:r>
          </w:p>
        </w:tc>
        <w:tc>
          <w:tcPr>
            <w:tcW w:w="900" w:type="dxa"/>
            <w:vAlign w:val="bottom"/>
          </w:tcPr>
          <w:p>
            <w:pPr>
              <w:jc w:val="right"/>
              <w:ind w:right="11"/>
              <w:spacing w:after="0"/>
              <w:rPr>
                <w:sz w:val="20"/>
                <w:szCs w:val="20"/>
                <w:color w:val="auto"/>
              </w:rPr>
            </w:pPr>
            <w:r>
              <w:rPr>
                <w:rFonts w:ascii="Arial" w:cs="Arial" w:eastAsia="Arial" w:hAnsi="Arial"/>
                <w:sz w:val="12"/>
                <w:szCs w:val="12"/>
                <w:b w:val="1"/>
                <w:bCs w:val="1"/>
                <w:color w:val="009CCC"/>
              </w:rPr>
              <w:t>Unvested</w:t>
            </w:r>
          </w:p>
        </w:tc>
        <w:tc>
          <w:tcPr>
            <w:tcW w:w="920" w:type="dxa"/>
            <w:vAlign w:val="bottom"/>
          </w:tcPr>
          <w:p>
            <w:pPr>
              <w:jc w:val="right"/>
              <w:ind w:right="13"/>
              <w:spacing w:after="0"/>
              <w:rPr>
                <w:sz w:val="20"/>
                <w:szCs w:val="20"/>
                <w:color w:val="auto"/>
              </w:rPr>
            </w:pPr>
            <w:r>
              <w:rPr>
                <w:rFonts w:ascii="Arial" w:cs="Arial" w:eastAsia="Arial" w:hAnsi="Arial"/>
                <w:sz w:val="12"/>
                <w:szCs w:val="12"/>
                <w:b w:val="1"/>
                <w:bCs w:val="1"/>
                <w:color w:val="009CCC"/>
              </w:rPr>
              <w:t>Performance</w:t>
            </w:r>
          </w:p>
        </w:tc>
        <w:tc>
          <w:tcPr>
            <w:tcW w:w="420" w:type="dxa"/>
            <w:vAlign w:val="bottom"/>
          </w:tcPr>
          <w:p>
            <w:pPr>
              <w:spacing w:after="0"/>
              <w:rPr>
                <w:sz w:val="11"/>
                <w:szCs w:val="11"/>
                <w:color w:val="auto"/>
              </w:rPr>
            </w:pPr>
          </w:p>
        </w:tc>
        <w:tc>
          <w:tcPr>
            <w:tcW w:w="620" w:type="dxa"/>
            <w:vAlign w:val="bottom"/>
          </w:tcPr>
          <w:p>
            <w:pPr>
              <w:jc w:val="right"/>
              <w:ind w:right="8"/>
              <w:spacing w:after="0"/>
              <w:rPr>
                <w:sz w:val="20"/>
                <w:szCs w:val="20"/>
                <w:color w:val="auto"/>
              </w:rPr>
            </w:pPr>
            <w:r>
              <w:rPr>
                <w:rFonts w:ascii="Arial" w:cs="Arial" w:eastAsia="Arial" w:hAnsi="Arial"/>
                <w:sz w:val="12"/>
                <w:szCs w:val="12"/>
                <w:b w:val="1"/>
                <w:bCs w:val="1"/>
                <w:color w:val="009CCC"/>
              </w:rPr>
              <w:t>Benefits</w:t>
            </w:r>
          </w:p>
        </w:tc>
        <w:tc>
          <w:tcPr>
            <w:tcW w:w="860" w:type="dxa"/>
            <w:vAlign w:val="bottom"/>
          </w:tcPr>
          <w:p>
            <w:pPr>
              <w:jc w:val="right"/>
              <w:ind w:right="11"/>
              <w:spacing w:after="0"/>
              <w:rPr>
                <w:sz w:val="20"/>
                <w:szCs w:val="20"/>
                <w:color w:val="auto"/>
              </w:rPr>
            </w:pPr>
            <w:r>
              <w:rPr>
                <w:rFonts w:ascii="Arial" w:cs="Arial" w:eastAsia="Arial" w:hAnsi="Arial"/>
                <w:sz w:val="12"/>
                <w:szCs w:val="12"/>
                <w:b w:val="1"/>
                <w:bCs w:val="1"/>
                <w:color w:val="009CCC"/>
              </w:rPr>
              <w:t>Pension</w:t>
            </w:r>
          </w:p>
        </w:tc>
        <w:tc>
          <w:tcPr>
            <w:tcW w:w="16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2"/>
                <w:szCs w:val="12"/>
                <w:b w:val="1"/>
                <w:bCs w:val="1"/>
                <w:color w:val="009CCC"/>
              </w:rPr>
              <w:t>Benefits</w:t>
            </w:r>
          </w:p>
        </w:tc>
      </w:tr>
      <w:tr>
        <w:trPr>
          <w:trHeight w:val="160"/>
        </w:trPr>
        <w:tc>
          <w:tcPr>
            <w:tcW w:w="2180" w:type="dxa"/>
            <w:vAlign w:val="bottom"/>
            <w:tcBorders>
              <w:bottom w:val="single" w:sz="8" w:color="7B7C80"/>
            </w:tcBorders>
          </w:tcPr>
          <w:p>
            <w:pPr>
              <w:spacing w:after="0"/>
              <w:rPr>
                <w:sz w:val="20"/>
                <w:szCs w:val="20"/>
                <w:color w:val="auto"/>
              </w:rPr>
            </w:pPr>
            <w:r>
              <w:rPr>
                <w:rFonts w:ascii="Arial" w:cs="Arial" w:eastAsia="Arial" w:hAnsi="Arial"/>
                <w:sz w:val="12"/>
                <w:szCs w:val="12"/>
                <w:b w:val="1"/>
                <w:bCs w:val="1"/>
                <w:color w:val="009CCC"/>
              </w:rPr>
              <w:t>Named Executive Officer</w:t>
            </w:r>
          </w:p>
        </w:tc>
        <w:tc>
          <w:tcPr>
            <w:tcW w:w="1580" w:type="dxa"/>
            <w:vAlign w:val="bottom"/>
            <w:tcBorders>
              <w:bottom w:val="single" w:sz="8" w:color="7B7C80"/>
            </w:tcBorders>
          </w:tcPr>
          <w:p>
            <w:pPr>
              <w:jc w:val="right"/>
              <w:ind w:right="9"/>
              <w:spacing w:after="0" w:line="160" w:lineRule="exact"/>
              <w:rPr>
                <w:sz w:val="20"/>
                <w:szCs w:val="20"/>
                <w:color w:val="auto"/>
              </w:rPr>
            </w:pPr>
            <w:r>
              <w:rPr>
                <w:rFonts w:ascii="Arial" w:cs="Arial" w:eastAsia="Arial" w:hAnsi="Arial"/>
                <w:sz w:val="12"/>
                <w:szCs w:val="12"/>
                <w:b w:val="1"/>
                <w:bCs w:val="1"/>
                <w:color w:val="009CCC"/>
              </w:rPr>
              <w:t>Severance</w:t>
            </w:r>
            <w:r>
              <w:rPr>
                <w:rFonts w:ascii="Arial" w:cs="Arial" w:eastAsia="Arial" w:hAnsi="Arial"/>
                <w:sz w:val="18"/>
                <w:szCs w:val="18"/>
                <w:b w:val="1"/>
                <w:bCs w:val="1"/>
                <w:color w:val="009CCC"/>
                <w:vertAlign w:val="superscript"/>
              </w:rPr>
              <w:t>(1)</w:t>
            </w:r>
          </w:p>
        </w:tc>
        <w:tc>
          <w:tcPr>
            <w:tcW w:w="900" w:type="dxa"/>
            <w:vAlign w:val="bottom"/>
            <w:tcBorders>
              <w:bottom w:val="single" w:sz="8" w:color="7B7C80"/>
            </w:tcBorders>
          </w:tcPr>
          <w:p>
            <w:pPr>
              <w:jc w:val="right"/>
              <w:ind w:right="11"/>
              <w:spacing w:after="0"/>
              <w:rPr>
                <w:sz w:val="20"/>
                <w:szCs w:val="20"/>
                <w:color w:val="auto"/>
              </w:rPr>
            </w:pPr>
            <w:r>
              <w:rPr>
                <w:rFonts w:ascii="Arial" w:cs="Arial" w:eastAsia="Arial" w:hAnsi="Arial"/>
                <w:sz w:val="12"/>
                <w:szCs w:val="12"/>
                <w:b w:val="1"/>
                <w:bCs w:val="1"/>
                <w:color w:val="009CCC"/>
              </w:rPr>
              <w:t>Options</w:t>
            </w:r>
          </w:p>
        </w:tc>
        <w:tc>
          <w:tcPr>
            <w:tcW w:w="920" w:type="dxa"/>
            <w:vAlign w:val="bottom"/>
            <w:tcBorders>
              <w:bottom w:val="single" w:sz="8" w:color="7B7C80"/>
            </w:tcBorders>
          </w:tcPr>
          <w:p>
            <w:pPr>
              <w:jc w:val="right"/>
              <w:ind w:right="13"/>
              <w:spacing w:after="0" w:line="160" w:lineRule="exact"/>
              <w:rPr>
                <w:sz w:val="20"/>
                <w:szCs w:val="20"/>
                <w:color w:val="auto"/>
              </w:rPr>
            </w:pPr>
            <w:r>
              <w:rPr>
                <w:rFonts w:ascii="Arial" w:cs="Arial" w:eastAsia="Arial" w:hAnsi="Arial"/>
                <w:sz w:val="12"/>
                <w:szCs w:val="12"/>
                <w:b w:val="1"/>
                <w:bCs w:val="1"/>
                <w:color w:val="009CCC"/>
              </w:rPr>
              <w:t>Shares</w:t>
            </w:r>
            <w:r>
              <w:rPr>
                <w:rFonts w:ascii="Arial" w:cs="Arial" w:eastAsia="Arial" w:hAnsi="Arial"/>
                <w:sz w:val="18"/>
                <w:szCs w:val="18"/>
                <w:b w:val="1"/>
                <w:bCs w:val="1"/>
                <w:color w:val="009CCC"/>
                <w:vertAlign w:val="superscript"/>
              </w:rPr>
              <w:t>(2)</w:t>
            </w:r>
          </w:p>
        </w:tc>
        <w:tc>
          <w:tcPr>
            <w:tcW w:w="1040" w:type="dxa"/>
            <w:vAlign w:val="bottom"/>
            <w:tcBorders>
              <w:bottom w:val="single" w:sz="8" w:color="7B7C80"/>
            </w:tcBorders>
            <w:gridSpan w:val="2"/>
          </w:tcPr>
          <w:p>
            <w:pPr>
              <w:jc w:val="right"/>
              <w:ind w:right="8"/>
              <w:spacing w:after="0" w:line="160" w:lineRule="exact"/>
              <w:rPr>
                <w:sz w:val="20"/>
                <w:szCs w:val="20"/>
                <w:color w:val="auto"/>
              </w:rPr>
            </w:pPr>
            <w:r>
              <w:rPr>
                <w:rFonts w:ascii="Arial" w:cs="Arial" w:eastAsia="Arial" w:hAnsi="Arial"/>
                <w:sz w:val="12"/>
                <w:szCs w:val="12"/>
                <w:b w:val="1"/>
                <w:bCs w:val="1"/>
                <w:color w:val="009CCC"/>
              </w:rPr>
              <w:t>Continuation</w:t>
            </w:r>
            <w:r>
              <w:rPr>
                <w:rFonts w:ascii="Arial" w:cs="Arial" w:eastAsia="Arial" w:hAnsi="Arial"/>
                <w:sz w:val="18"/>
                <w:szCs w:val="18"/>
                <w:b w:val="1"/>
                <w:bCs w:val="1"/>
                <w:color w:val="009CCC"/>
                <w:vertAlign w:val="superscript"/>
              </w:rPr>
              <w:t>(3)</w:t>
            </w:r>
          </w:p>
        </w:tc>
        <w:tc>
          <w:tcPr>
            <w:tcW w:w="860" w:type="dxa"/>
            <w:vAlign w:val="bottom"/>
            <w:tcBorders>
              <w:bottom w:val="single" w:sz="8" w:color="7B7C80"/>
            </w:tcBorders>
          </w:tcPr>
          <w:p>
            <w:pPr>
              <w:jc w:val="right"/>
              <w:ind w:right="11"/>
              <w:spacing w:after="0" w:line="160" w:lineRule="exact"/>
              <w:rPr>
                <w:sz w:val="20"/>
                <w:szCs w:val="20"/>
                <w:color w:val="auto"/>
              </w:rPr>
            </w:pPr>
            <w:r>
              <w:rPr>
                <w:rFonts w:ascii="Arial" w:cs="Arial" w:eastAsia="Arial" w:hAnsi="Arial"/>
                <w:sz w:val="12"/>
                <w:szCs w:val="12"/>
                <w:b w:val="1"/>
                <w:bCs w:val="1"/>
                <w:color w:val="009CCC"/>
              </w:rPr>
              <w:t>Benefit</w:t>
            </w:r>
            <w:r>
              <w:rPr>
                <w:rFonts w:ascii="Arial" w:cs="Arial" w:eastAsia="Arial" w:hAnsi="Arial"/>
                <w:sz w:val="18"/>
                <w:szCs w:val="18"/>
                <w:b w:val="1"/>
                <w:bCs w:val="1"/>
                <w:color w:val="009CCC"/>
                <w:vertAlign w:val="superscript"/>
              </w:rPr>
              <w:t>(4)</w:t>
            </w:r>
          </w:p>
        </w:tc>
        <w:tc>
          <w:tcPr>
            <w:tcW w:w="920" w:type="dxa"/>
            <w:vAlign w:val="bottom"/>
            <w:tcBorders>
              <w:bottom w:val="single" w:sz="8" w:color="7B7C80"/>
            </w:tcBorders>
            <w:gridSpan w:val="2"/>
          </w:tcPr>
          <w:p>
            <w:pPr>
              <w:jc w:val="right"/>
              <w:spacing w:after="0"/>
              <w:rPr>
                <w:sz w:val="20"/>
                <w:szCs w:val="20"/>
                <w:color w:val="auto"/>
              </w:rPr>
            </w:pPr>
            <w:r>
              <w:rPr>
                <w:rFonts w:ascii="Arial" w:cs="Arial" w:eastAsia="Arial" w:hAnsi="Arial"/>
                <w:sz w:val="12"/>
                <w:szCs w:val="12"/>
                <w:b w:val="1"/>
                <w:bCs w:val="1"/>
                <w:color w:val="009CCC"/>
              </w:rPr>
              <w:t>(before taxes)</w:t>
            </w:r>
          </w:p>
        </w:tc>
      </w:tr>
      <w:tr>
        <w:trPr>
          <w:trHeight w:val="163"/>
        </w:trPr>
        <w:tc>
          <w:tcPr>
            <w:tcW w:w="21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Houston</w:t>
            </w:r>
          </w:p>
        </w:tc>
        <w:tc>
          <w:tcPr>
            <w:tcW w:w="1580" w:type="dxa"/>
            <w:vAlign w:val="bottom"/>
            <w:tcBorders>
              <w:bottom w:val="single" w:sz="8" w:color="7B7C80"/>
            </w:tcBorders>
            <w:shd w:val="clear" w:color="auto" w:fill="E7E6E7"/>
          </w:tcPr>
          <w:p>
            <w:pPr>
              <w:jc w:val="right"/>
              <w:ind w:right="9"/>
              <w:spacing w:after="0" w:line="164" w:lineRule="exact"/>
              <w:rPr>
                <w:sz w:val="20"/>
                <w:szCs w:val="20"/>
                <w:color w:val="auto"/>
              </w:rPr>
            </w:pPr>
            <w:r>
              <w:rPr>
                <w:rFonts w:ascii="Arial" w:cs="Arial" w:eastAsia="Arial" w:hAnsi="Arial"/>
                <w:sz w:val="15"/>
                <w:szCs w:val="15"/>
                <w:color w:val="7B7C80"/>
              </w:rPr>
              <w:t>$8,100,000</w:t>
            </w:r>
          </w:p>
        </w:tc>
        <w:tc>
          <w:tcPr>
            <w:tcW w:w="900" w:type="dxa"/>
            <w:vAlign w:val="bottom"/>
            <w:tcBorders>
              <w:bottom w:val="single" w:sz="8" w:color="7B7C80"/>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$6,672,962</w:t>
            </w:r>
          </w:p>
        </w:tc>
        <w:tc>
          <w:tcPr>
            <w:tcW w:w="920" w:type="dxa"/>
            <w:vAlign w:val="bottom"/>
            <w:tcBorders>
              <w:bottom w:val="single" w:sz="8" w:color="7B7C80"/>
            </w:tcBorders>
            <w:shd w:val="clear" w:color="auto" w:fill="E7E6E7"/>
          </w:tcPr>
          <w:p>
            <w:pPr>
              <w:jc w:val="right"/>
              <w:ind w:right="13"/>
              <w:spacing w:after="0" w:line="164" w:lineRule="exact"/>
              <w:rPr>
                <w:sz w:val="20"/>
                <w:szCs w:val="20"/>
                <w:color w:val="auto"/>
              </w:rPr>
            </w:pPr>
            <w:r>
              <w:rPr>
                <w:rFonts w:ascii="Arial" w:cs="Arial" w:eastAsia="Arial" w:hAnsi="Arial"/>
                <w:sz w:val="15"/>
                <w:szCs w:val="15"/>
                <w:color w:val="7B7C80"/>
              </w:rPr>
              <w:t>$8,528,728</w:t>
            </w:r>
          </w:p>
        </w:tc>
        <w:tc>
          <w:tcPr>
            <w:tcW w:w="4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7B7C80"/>
            </w:tcBorders>
            <w:shd w:val="clear" w:color="auto" w:fill="E7E6E7"/>
          </w:tcPr>
          <w:p>
            <w:pPr>
              <w:jc w:val="right"/>
              <w:ind w:right="8"/>
              <w:spacing w:after="0" w:line="164" w:lineRule="exact"/>
              <w:rPr>
                <w:sz w:val="20"/>
                <w:szCs w:val="20"/>
                <w:color w:val="auto"/>
              </w:rPr>
            </w:pPr>
            <w:r>
              <w:rPr>
                <w:rFonts w:ascii="Arial" w:cs="Arial" w:eastAsia="Arial" w:hAnsi="Arial"/>
                <w:sz w:val="15"/>
                <w:szCs w:val="15"/>
                <w:color w:val="7B7C80"/>
                <w:w w:val="95"/>
              </w:rPr>
              <w:t>183,027</w:t>
            </w:r>
          </w:p>
        </w:tc>
        <w:tc>
          <w:tcPr>
            <w:tcW w:w="860" w:type="dxa"/>
            <w:vAlign w:val="bottom"/>
            <w:tcBorders>
              <w:bottom w:val="single" w:sz="8" w:color="7B7C80"/>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$ 0</w:t>
            </w:r>
          </w:p>
        </w:tc>
        <w:tc>
          <w:tcPr>
            <w:tcW w:w="1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w w:val="98"/>
              </w:rPr>
              <w:t>23,484,717</w:t>
            </w:r>
          </w:p>
        </w:tc>
      </w:tr>
      <w:tr>
        <w:trPr>
          <w:trHeight w:val="163"/>
        </w:trPr>
        <w:tc>
          <w:tcPr>
            <w:tcW w:w="21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Strable</w:t>
            </w:r>
          </w:p>
        </w:tc>
        <w:tc>
          <w:tcPr>
            <w:tcW w:w="1580" w:type="dxa"/>
            <w:vAlign w:val="bottom"/>
            <w:tcBorders>
              <w:bottom w:val="single" w:sz="8" w:color="7B7C80"/>
            </w:tcBorders>
          </w:tcPr>
          <w:p>
            <w:pPr>
              <w:jc w:val="right"/>
              <w:ind w:right="9"/>
              <w:spacing w:after="0" w:line="164" w:lineRule="exact"/>
              <w:rPr>
                <w:sz w:val="20"/>
                <w:szCs w:val="20"/>
                <w:color w:val="auto"/>
              </w:rPr>
            </w:pPr>
            <w:r>
              <w:rPr>
                <w:rFonts w:ascii="Arial" w:cs="Arial" w:eastAsia="Arial" w:hAnsi="Arial"/>
                <w:sz w:val="15"/>
                <w:szCs w:val="15"/>
                <w:color w:val="7B7C80"/>
              </w:rPr>
              <w:t>$2,810,000</w:t>
            </w:r>
          </w:p>
        </w:tc>
        <w:tc>
          <w:tcPr>
            <w:tcW w:w="900" w:type="dxa"/>
            <w:vAlign w:val="bottom"/>
            <w:tcBorders>
              <w:bottom w:val="single" w:sz="8" w:color="7B7C80"/>
            </w:tcBorders>
          </w:tcPr>
          <w:p>
            <w:pPr>
              <w:jc w:val="right"/>
              <w:ind w:right="11"/>
              <w:spacing w:after="0" w:line="164" w:lineRule="exact"/>
              <w:rPr>
                <w:sz w:val="20"/>
                <w:szCs w:val="20"/>
                <w:color w:val="auto"/>
              </w:rPr>
            </w:pPr>
            <w:r>
              <w:rPr>
                <w:rFonts w:ascii="Arial" w:cs="Arial" w:eastAsia="Arial" w:hAnsi="Arial"/>
                <w:sz w:val="15"/>
                <w:szCs w:val="15"/>
                <w:color w:val="7B7C80"/>
              </w:rPr>
              <w:t>$2,037,350</w:t>
            </w:r>
          </w:p>
        </w:tc>
        <w:tc>
          <w:tcPr>
            <w:tcW w:w="920" w:type="dxa"/>
            <w:vAlign w:val="bottom"/>
            <w:tcBorders>
              <w:bottom w:val="single" w:sz="8" w:color="7B7C80"/>
            </w:tcBorders>
          </w:tcPr>
          <w:p>
            <w:pPr>
              <w:jc w:val="right"/>
              <w:ind w:right="13"/>
              <w:spacing w:after="0" w:line="164" w:lineRule="exact"/>
              <w:rPr>
                <w:sz w:val="20"/>
                <w:szCs w:val="20"/>
                <w:color w:val="auto"/>
              </w:rPr>
            </w:pPr>
            <w:r>
              <w:rPr>
                <w:rFonts w:ascii="Arial" w:cs="Arial" w:eastAsia="Arial" w:hAnsi="Arial"/>
                <w:sz w:val="15"/>
                <w:szCs w:val="15"/>
                <w:color w:val="7B7C80"/>
              </w:rPr>
              <w:t>$3,611,543</w:t>
            </w:r>
          </w:p>
        </w:tc>
        <w:tc>
          <w:tcPr>
            <w:tcW w:w="4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7B7C80"/>
            </w:tcBorders>
          </w:tcPr>
          <w:p>
            <w:pPr>
              <w:jc w:val="right"/>
              <w:ind w:right="8"/>
              <w:spacing w:after="0" w:line="164" w:lineRule="exact"/>
              <w:rPr>
                <w:sz w:val="20"/>
                <w:szCs w:val="20"/>
                <w:color w:val="auto"/>
              </w:rPr>
            </w:pPr>
            <w:r>
              <w:rPr>
                <w:rFonts w:ascii="Arial" w:cs="Arial" w:eastAsia="Arial" w:hAnsi="Arial"/>
                <w:sz w:val="15"/>
                <w:szCs w:val="15"/>
                <w:color w:val="7B7C80"/>
                <w:w w:val="95"/>
              </w:rPr>
              <w:t>112,009</w:t>
            </w:r>
          </w:p>
        </w:tc>
        <w:tc>
          <w:tcPr>
            <w:tcW w:w="860" w:type="dxa"/>
            <w:vAlign w:val="bottom"/>
            <w:tcBorders>
              <w:bottom w:val="single" w:sz="8" w:color="7B7C80"/>
            </w:tcBorders>
          </w:tcPr>
          <w:p>
            <w:pPr>
              <w:jc w:val="right"/>
              <w:ind w:right="11"/>
              <w:spacing w:after="0" w:line="164" w:lineRule="exact"/>
              <w:rPr>
                <w:sz w:val="20"/>
                <w:szCs w:val="20"/>
                <w:color w:val="auto"/>
              </w:rPr>
            </w:pPr>
            <w:r>
              <w:rPr>
                <w:rFonts w:ascii="Arial" w:cs="Arial" w:eastAsia="Arial" w:hAnsi="Arial"/>
                <w:sz w:val="15"/>
                <w:szCs w:val="15"/>
                <w:color w:val="7B7C80"/>
              </w:rPr>
              <w:t>$ 0</w:t>
            </w:r>
          </w:p>
        </w:tc>
        <w:tc>
          <w:tcPr>
            <w:tcW w:w="16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8,570,902</w:t>
            </w:r>
          </w:p>
        </w:tc>
      </w:tr>
      <w:tr>
        <w:trPr>
          <w:trHeight w:val="163"/>
        </w:trPr>
        <w:tc>
          <w:tcPr>
            <w:tcW w:w="218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Everett</w:t>
            </w:r>
          </w:p>
        </w:tc>
        <w:tc>
          <w:tcPr>
            <w:tcW w:w="1580" w:type="dxa"/>
            <w:vAlign w:val="bottom"/>
            <w:tcBorders>
              <w:bottom w:val="single" w:sz="8" w:color="7B7C80"/>
            </w:tcBorders>
            <w:shd w:val="clear" w:color="auto" w:fill="E7E6E7"/>
          </w:tcPr>
          <w:p>
            <w:pPr>
              <w:jc w:val="right"/>
              <w:ind w:right="9"/>
              <w:spacing w:after="0" w:line="164" w:lineRule="exact"/>
              <w:rPr>
                <w:sz w:val="20"/>
                <w:szCs w:val="20"/>
                <w:color w:val="auto"/>
              </w:rPr>
            </w:pPr>
            <w:r>
              <w:rPr>
                <w:rFonts w:ascii="Arial" w:cs="Arial" w:eastAsia="Arial" w:hAnsi="Arial"/>
                <w:sz w:val="15"/>
                <w:szCs w:val="15"/>
                <w:color w:val="7B7C80"/>
              </w:rPr>
              <w:t>$2,118,000</w:t>
            </w:r>
          </w:p>
        </w:tc>
        <w:tc>
          <w:tcPr>
            <w:tcW w:w="900" w:type="dxa"/>
            <w:vAlign w:val="bottom"/>
            <w:tcBorders>
              <w:bottom w:val="single" w:sz="8" w:color="7B7C80"/>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$1,789,967</w:t>
            </w:r>
          </w:p>
        </w:tc>
        <w:tc>
          <w:tcPr>
            <w:tcW w:w="920" w:type="dxa"/>
            <w:vAlign w:val="bottom"/>
            <w:tcBorders>
              <w:bottom w:val="single" w:sz="8" w:color="7B7C80"/>
            </w:tcBorders>
            <w:shd w:val="clear" w:color="auto" w:fill="E7E6E7"/>
          </w:tcPr>
          <w:p>
            <w:pPr>
              <w:jc w:val="right"/>
              <w:ind w:right="13"/>
              <w:spacing w:after="0" w:line="164" w:lineRule="exact"/>
              <w:rPr>
                <w:sz w:val="20"/>
                <w:szCs w:val="20"/>
                <w:color w:val="auto"/>
              </w:rPr>
            </w:pPr>
            <w:r>
              <w:rPr>
                <w:rFonts w:ascii="Arial" w:cs="Arial" w:eastAsia="Arial" w:hAnsi="Arial"/>
                <w:sz w:val="15"/>
                <w:szCs w:val="15"/>
                <w:color w:val="7B7C80"/>
              </w:rPr>
              <w:t>$2,354,728</w:t>
            </w:r>
          </w:p>
        </w:tc>
        <w:tc>
          <w:tcPr>
            <w:tcW w:w="42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7B7C80"/>
            </w:tcBorders>
            <w:shd w:val="clear" w:color="auto" w:fill="E7E6E7"/>
          </w:tcPr>
          <w:p>
            <w:pPr>
              <w:jc w:val="right"/>
              <w:ind w:right="8"/>
              <w:spacing w:after="0" w:line="164" w:lineRule="exact"/>
              <w:rPr>
                <w:sz w:val="20"/>
                <w:szCs w:val="20"/>
                <w:color w:val="auto"/>
              </w:rPr>
            </w:pPr>
            <w:r>
              <w:rPr>
                <w:rFonts w:ascii="Arial" w:cs="Arial" w:eastAsia="Arial" w:hAnsi="Arial"/>
                <w:sz w:val="15"/>
                <w:szCs w:val="15"/>
                <w:color w:val="7B7C80"/>
              </w:rPr>
              <w:t>95,697</w:t>
            </w:r>
          </w:p>
        </w:tc>
        <w:tc>
          <w:tcPr>
            <w:tcW w:w="860" w:type="dxa"/>
            <w:vAlign w:val="bottom"/>
            <w:tcBorders>
              <w:bottom w:val="single" w:sz="8" w:color="7B7C80"/>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$ 0</w:t>
            </w:r>
          </w:p>
        </w:tc>
        <w:tc>
          <w:tcPr>
            <w:tcW w:w="1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6,358,392</w:t>
            </w:r>
          </w:p>
        </w:tc>
      </w:tr>
      <w:tr>
        <w:trPr>
          <w:trHeight w:val="163"/>
        </w:trPr>
        <w:tc>
          <w:tcPr>
            <w:tcW w:w="218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McCaughan</w:t>
            </w:r>
          </w:p>
        </w:tc>
        <w:tc>
          <w:tcPr>
            <w:tcW w:w="1580" w:type="dxa"/>
            <w:vAlign w:val="bottom"/>
            <w:tcBorders>
              <w:bottom w:val="single" w:sz="8" w:color="7B7C80"/>
            </w:tcBorders>
          </w:tcPr>
          <w:p>
            <w:pPr>
              <w:jc w:val="right"/>
              <w:ind w:right="9"/>
              <w:spacing w:after="0" w:line="164" w:lineRule="exact"/>
              <w:rPr>
                <w:sz w:val="20"/>
                <w:szCs w:val="20"/>
                <w:color w:val="auto"/>
              </w:rPr>
            </w:pPr>
            <w:r>
              <w:rPr>
                <w:rFonts w:ascii="Arial" w:cs="Arial" w:eastAsia="Arial" w:hAnsi="Arial"/>
                <w:sz w:val="15"/>
                <w:szCs w:val="15"/>
                <w:color w:val="7B7C80"/>
              </w:rPr>
              <w:t>$6,795,000</w:t>
            </w:r>
          </w:p>
        </w:tc>
        <w:tc>
          <w:tcPr>
            <w:tcW w:w="900" w:type="dxa"/>
            <w:vAlign w:val="bottom"/>
            <w:tcBorders>
              <w:bottom w:val="single" w:sz="8" w:color="7B7C80"/>
            </w:tcBorders>
          </w:tcPr>
          <w:p>
            <w:pPr>
              <w:jc w:val="right"/>
              <w:ind w:right="11"/>
              <w:spacing w:after="0" w:line="164" w:lineRule="exact"/>
              <w:rPr>
                <w:sz w:val="20"/>
                <w:szCs w:val="20"/>
                <w:color w:val="auto"/>
              </w:rPr>
            </w:pPr>
            <w:r>
              <w:rPr>
                <w:rFonts w:ascii="Arial" w:cs="Arial" w:eastAsia="Arial" w:hAnsi="Arial"/>
                <w:sz w:val="15"/>
                <w:szCs w:val="15"/>
                <w:color w:val="7B7C80"/>
              </w:rPr>
              <w:t>$3,624,038</w:t>
            </w:r>
          </w:p>
        </w:tc>
        <w:tc>
          <w:tcPr>
            <w:tcW w:w="920" w:type="dxa"/>
            <w:vAlign w:val="bottom"/>
            <w:tcBorders>
              <w:bottom w:val="single" w:sz="8" w:color="7B7C80"/>
            </w:tcBorders>
          </w:tcPr>
          <w:p>
            <w:pPr>
              <w:jc w:val="right"/>
              <w:ind w:right="13"/>
              <w:spacing w:after="0" w:line="164" w:lineRule="exact"/>
              <w:rPr>
                <w:sz w:val="20"/>
                <w:szCs w:val="20"/>
                <w:color w:val="auto"/>
              </w:rPr>
            </w:pPr>
            <w:r>
              <w:rPr>
                <w:rFonts w:ascii="Arial" w:cs="Arial" w:eastAsia="Arial" w:hAnsi="Arial"/>
                <w:sz w:val="15"/>
                <w:szCs w:val="15"/>
                <w:color w:val="7B7C80"/>
              </w:rPr>
              <w:t>$4,838,087</w:t>
            </w:r>
          </w:p>
        </w:tc>
        <w:tc>
          <w:tcPr>
            <w:tcW w:w="42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7B7C80"/>
            </w:tcBorders>
          </w:tcPr>
          <w:p>
            <w:pPr>
              <w:jc w:val="right"/>
              <w:ind w:right="8"/>
              <w:spacing w:after="0" w:line="164" w:lineRule="exact"/>
              <w:rPr>
                <w:sz w:val="20"/>
                <w:szCs w:val="20"/>
                <w:color w:val="auto"/>
              </w:rPr>
            </w:pPr>
            <w:r>
              <w:rPr>
                <w:rFonts w:ascii="Arial" w:cs="Arial" w:eastAsia="Arial" w:hAnsi="Arial"/>
                <w:sz w:val="15"/>
                <w:szCs w:val="15"/>
                <w:color w:val="7B7C80"/>
                <w:w w:val="95"/>
              </w:rPr>
              <w:t>137,202</w:t>
            </w:r>
          </w:p>
        </w:tc>
        <w:tc>
          <w:tcPr>
            <w:tcW w:w="860" w:type="dxa"/>
            <w:vAlign w:val="bottom"/>
            <w:tcBorders>
              <w:bottom w:val="single" w:sz="8" w:color="7B7C80"/>
            </w:tcBorders>
          </w:tcPr>
          <w:p>
            <w:pPr>
              <w:jc w:val="right"/>
              <w:ind w:right="11"/>
              <w:spacing w:after="0" w:line="164" w:lineRule="exact"/>
              <w:rPr>
                <w:sz w:val="20"/>
                <w:szCs w:val="20"/>
                <w:color w:val="auto"/>
              </w:rPr>
            </w:pPr>
            <w:r>
              <w:rPr>
                <w:rFonts w:ascii="Arial" w:cs="Arial" w:eastAsia="Arial" w:hAnsi="Arial"/>
                <w:sz w:val="15"/>
                <w:szCs w:val="15"/>
                <w:color w:val="7B7C80"/>
              </w:rPr>
              <w:t>$ 0</w:t>
            </w:r>
          </w:p>
        </w:tc>
        <w:tc>
          <w:tcPr>
            <w:tcW w:w="16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w w:val="98"/>
              </w:rPr>
              <w:t>15,394,327</w:t>
            </w:r>
          </w:p>
        </w:tc>
      </w:tr>
      <w:tr>
        <w:trPr>
          <w:trHeight w:val="166"/>
        </w:trPr>
        <w:tc>
          <w:tcPr>
            <w:tcW w:w="2180" w:type="dxa"/>
            <w:vAlign w:val="bottom"/>
            <w:tcBorders>
              <w:bottom w:val="single" w:sz="8" w:color="009CCC"/>
            </w:tcBorders>
            <w:shd w:val="clear" w:color="auto" w:fill="E7E6E7"/>
          </w:tcPr>
          <w:p>
            <w:pPr>
              <w:spacing w:after="0" w:line="164" w:lineRule="exact"/>
              <w:rPr>
                <w:sz w:val="20"/>
                <w:szCs w:val="20"/>
                <w:color w:val="auto"/>
              </w:rPr>
            </w:pPr>
            <w:r>
              <w:rPr>
                <w:rFonts w:ascii="Arial" w:cs="Arial" w:eastAsia="Arial" w:hAnsi="Arial"/>
                <w:sz w:val="15"/>
                <w:szCs w:val="15"/>
                <w:color w:val="7B7C80"/>
              </w:rPr>
              <w:t>Valdés</w:t>
            </w:r>
          </w:p>
        </w:tc>
        <w:tc>
          <w:tcPr>
            <w:tcW w:w="1580" w:type="dxa"/>
            <w:vAlign w:val="bottom"/>
            <w:tcBorders>
              <w:bottom w:val="single" w:sz="8" w:color="009CCC"/>
            </w:tcBorders>
            <w:shd w:val="clear" w:color="auto" w:fill="E7E6E7"/>
          </w:tcPr>
          <w:p>
            <w:pPr>
              <w:jc w:val="right"/>
              <w:ind w:right="9"/>
              <w:spacing w:after="0" w:line="164" w:lineRule="exact"/>
              <w:rPr>
                <w:sz w:val="20"/>
                <w:szCs w:val="20"/>
                <w:color w:val="auto"/>
              </w:rPr>
            </w:pPr>
            <w:r>
              <w:rPr>
                <w:rFonts w:ascii="Arial" w:cs="Arial" w:eastAsia="Arial" w:hAnsi="Arial"/>
                <w:sz w:val="15"/>
                <w:szCs w:val="15"/>
                <w:color w:val="7B7C80"/>
              </w:rPr>
              <w:t>$2,414,000</w:t>
            </w:r>
          </w:p>
        </w:tc>
        <w:tc>
          <w:tcPr>
            <w:tcW w:w="900" w:type="dxa"/>
            <w:vAlign w:val="bottom"/>
            <w:tcBorders>
              <w:bottom w:val="single" w:sz="8" w:color="009CCC"/>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$2,446,448</w:t>
            </w:r>
          </w:p>
        </w:tc>
        <w:tc>
          <w:tcPr>
            <w:tcW w:w="920" w:type="dxa"/>
            <w:vAlign w:val="bottom"/>
            <w:tcBorders>
              <w:bottom w:val="single" w:sz="8" w:color="009CCC"/>
            </w:tcBorders>
            <w:shd w:val="clear" w:color="auto" w:fill="E7E6E7"/>
          </w:tcPr>
          <w:p>
            <w:pPr>
              <w:jc w:val="right"/>
              <w:ind w:right="13"/>
              <w:spacing w:after="0" w:line="164" w:lineRule="exact"/>
              <w:rPr>
                <w:sz w:val="20"/>
                <w:szCs w:val="20"/>
                <w:color w:val="auto"/>
              </w:rPr>
            </w:pPr>
            <w:r>
              <w:rPr>
                <w:rFonts w:ascii="Arial" w:cs="Arial" w:eastAsia="Arial" w:hAnsi="Arial"/>
                <w:sz w:val="15"/>
                <w:szCs w:val="15"/>
                <w:color w:val="7B7C80"/>
              </w:rPr>
              <w:t>$3,240,115</w:t>
            </w:r>
          </w:p>
        </w:tc>
        <w:tc>
          <w:tcPr>
            <w:tcW w:w="420" w:type="dxa"/>
            <w:vAlign w:val="bottom"/>
            <w:tcBorders>
              <w:bottom w:val="single" w:sz="8" w:color="009CCC"/>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620" w:type="dxa"/>
            <w:vAlign w:val="bottom"/>
            <w:tcBorders>
              <w:bottom w:val="single" w:sz="8" w:color="009CCC"/>
            </w:tcBorders>
            <w:shd w:val="clear" w:color="auto" w:fill="E7E6E7"/>
          </w:tcPr>
          <w:p>
            <w:pPr>
              <w:jc w:val="right"/>
              <w:ind w:right="8"/>
              <w:spacing w:after="0" w:line="164" w:lineRule="exact"/>
              <w:rPr>
                <w:sz w:val="20"/>
                <w:szCs w:val="20"/>
                <w:color w:val="auto"/>
              </w:rPr>
            </w:pPr>
            <w:r>
              <w:rPr>
                <w:rFonts w:ascii="Arial" w:cs="Arial" w:eastAsia="Arial" w:hAnsi="Arial"/>
                <w:sz w:val="15"/>
                <w:szCs w:val="15"/>
                <w:color w:val="7B7C80"/>
                <w:w w:val="95"/>
              </w:rPr>
              <w:t>138,552</w:t>
            </w:r>
          </w:p>
        </w:tc>
        <w:tc>
          <w:tcPr>
            <w:tcW w:w="860" w:type="dxa"/>
            <w:vAlign w:val="bottom"/>
            <w:tcBorders>
              <w:bottom w:val="single" w:sz="8" w:color="009CCC"/>
            </w:tcBorders>
            <w:shd w:val="clear" w:color="auto" w:fill="E7E6E7"/>
          </w:tcPr>
          <w:p>
            <w:pPr>
              <w:jc w:val="right"/>
              <w:ind w:right="11"/>
              <w:spacing w:after="0" w:line="164" w:lineRule="exact"/>
              <w:rPr>
                <w:sz w:val="20"/>
                <w:szCs w:val="20"/>
                <w:color w:val="auto"/>
              </w:rPr>
            </w:pPr>
            <w:r>
              <w:rPr>
                <w:rFonts w:ascii="Arial" w:cs="Arial" w:eastAsia="Arial" w:hAnsi="Arial"/>
                <w:sz w:val="15"/>
                <w:szCs w:val="15"/>
                <w:color w:val="7B7C80"/>
              </w:rPr>
              <w:t>$ 0</w:t>
            </w:r>
          </w:p>
        </w:tc>
        <w:tc>
          <w:tcPr>
            <w:tcW w:w="160" w:type="dxa"/>
            <w:vAlign w:val="bottom"/>
            <w:tcBorders>
              <w:bottom w:val="single" w:sz="8" w:color="009CCC"/>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760" w:type="dxa"/>
            <w:vAlign w:val="bottom"/>
            <w:tcBorders>
              <w:bottom w:val="single" w:sz="8" w:color="009CCC"/>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8,239,115</w:t>
            </w:r>
          </w:p>
        </w:tc>
      </w:tr>
    </w:tbl>
    <w:p>
      <w:pPr>
        <w:spacing w:after="0" w:line="187" w:lineRule="exact"/>
        <w:rPr>
          <w:sz w:val="20"/>
          <w:szCs w:val="20"/>
          <w:color w:val="auto"/>
        </w:rPr>
      </w:pPr>
    </w:p>
    <w:p>
      <w:pPr>
        <w:ind w:left="1828" w:right="20" w:hanging="455"/>
        <w:spacing w:after="0" w:line="253" w:lineRule="auto"/>
        <w:tabs>
          <w:tab w:leader="none" w:pos="1828" w:val="left"/>
        </w:tabs>
        <w:numPr>
          <w:ilvl w:val="0"/>
          <w:numId w:val="68"/>
        </w:numPr>
        <w:rPr>
          <w:rFonts w:ascii="Arial" w:cs="Arial" w:eastAsia="Arial" w:hAnsi="Arial"/>
          <w:sz w:val="12"/>
          <w:szCs w:val="12"/>
          <w:color w:val="7B7C80"/>
        </w:rPr>
      </w:pPr>
      <w:r>
        <w:rPr>
          <w:rFonts w:ascii="Arial" w:cs="Arial" w:eastAsia="Arial" w:hAnsi="Arial"/>
          <w:sz w:val="12"/>
          <w:szCs w:val="12"/>
          <w:color w:val="7B7C80"/>
        </w:rPr>
        <w:t>Cash severance equals two times the sum of base salary and target annual bonus. In addition, the Named Executive Officers would be entitled to a pro rata bonus for the year of termination.</w:t>
      </w:r>
    </w:p>
    <w:p>
      <w:pPr>
        <w:spacing w:after="0" w:line="121" w:lineRule="exact"/>
        <w:rPr>
          <w:rFonts w:ascii="Arial" w:cs="Arial" w:eastAsia="Arial" w:hAnsi="Arial"/>
          <w:sz w:val="12"/>
          <w:szCs w:val="12"/>
          <w:color w:val="7B7C80"/>
        </w:rPr>
      </w:pPr>
    </w:p>
    <w:p>
      <w:pPr>
        <w:ind w:left="1828" w:right="20" w:hanging="455"/>
        <w:spacing w:after="0" w:line="253" w:lineRule="auto"/>
        <w:tabs>
          <w:tab w:leader="none" w:pos="1828" w:val="left"/>
        </w:tabs>
        <w:numPr>
          <w:ilvl w:val="0"/>
          <w:numId w:val="68"/>
        </w:numPr>
        <w:rPr>
          <w:rFonts w:ascii="Arial" w:cs="Arial" w:eastAsia="Arial" w:hAnsi="Arial"/>
          <w:sz w:val="12"/>
          <w:szCs w:val="12"/>
          <w:color w:val="7B7C80"/>
        </w:rPr>
      </w:pPr>
      <w:r>
        <w:rPr>
          <w:rFonts w:ascii="Arial" w:cs="Arial" w:eastAsia="Arial" w:hAnsi="Arial"/>
          <w:sz w:val="12"/>
          <w:szCs w:val="12"/>
          <w:color w:val="7B7C80"/>
        </w:rPr>
        <w:t>Equals the full value of unvested restricted shares and unearned performance shares as of December 29, 2017, where vesting would be accelerated, at a stock price of $70.56. Performance shares granted in 2016 and 2017 are valued at target, based on Company performance to date as of December 30, 2017.</w:t>
      </w:r>
    </w:p>
    <w:p>
      <w:pPr>
        <w:spacing w:after="0" w:line="121" w:lineRule="exact"/>
        <w:rPr>
          <w:rFonts w:ascii="Arial" w:cs="Arial" w:eastAsia="Arial" w:hAnsi="Arial"/>
          <w:sz w:val="12"/>
          <w:szCs w:val="12"/>
          <w:color w:val="7B7C80"/>
        </w:rPr>
      </w:pPr>
    </w:p>
    <w:p>
      <w:pPr>
        <w:ind w:left="1828" w:right="20" w:hanging="455"/>
        <w:spacing w:after="0" w:line="253" w:lineRule="auto"/>
        <w:tabs>
          <w:tab w:leader="none" w:pos="1828" w:val="left"/>
        </w:tabs>
        <w:numPr>
          <w:ilvl w:val="0"/>
          <w:numId w:val="68"/>
        </w:numPr>
        <w:rPr>
          <w:rFonts w:ascii="Arial" w:cs="Arial" w:eastAsia="Arial" w:hAnsi="Arial"/>
          <w:sz w:val="12"/>
          <w:szCs w:val="12"/>
          <w:color w:val="7B7C80"/>
        </w:rPr>
      </w:pPr>
      <w:r>
        <w:rPr>
          <w:rFonts w:ascii="Arial" w:cs="Arial" w:eastAsia="Arial" w:hAnsi="Arial"/>
          <w:sz w:val="12"/>
          <w:szCs w:val="12"/>
          <w:color w:val="7B7C80"/>
        </w:rPr>
        <w:t>Includes the estimated cost of continued medical, dental, vision, and life insurance coverage for three years after the Named Executive Officer's termination and outplacement services.</w:t>
      </w:r>
    </w:p>
    <w:p>
      <w:pPr>
        <w:spacing w:after="0" w:line="121" w:lineRule="exact"/>
        <w:rPr>
          <w:rFonts w:ascii="Arial" w:cs="Arial" w:eastAsia="Arial" w:hAnsi="Arial"/>
          <w:sz w:val="12"/>
          <w:szCs w:val="12"/>
          <w:color w:val="7B7C80"/>
        </w:rPr>
      </w:pPr>
    </w:p>
    <w:p>
      <w:pPr>
        <w:ind w:left="1828" w:hanging="455"/>
        <w:spacing w:after="0"/>
        <w:tabs>
          <w:tab w:leader="none" w:pos="1828" w:val="left"/>
        </w:tabs>
        <w:numPr>
          <w:ilvl w:val="0"/>
          <w:numId w:val="68"/>
        </w:numPr>
        <w:rPr>
          <w:rFonts w:ascii="Arial" w:cs="Arial" w:eastAsia="Arial" w:hAnsi="Arial"/>
          <w:sz w:val="12"/>
          <w:szCs w:val="12"/>
          <w:color w:val="7B7C80"/>
        </w:rPr>
      </w:pPr>
      <w:r>
        <w:rPr>
          <w:rFonts w:ascii="Arial" w:cs="Arial" w:eastAsia="Arial" w:hAnsi="Arial"/>
          <w:sz w:val="12"/>
          <w:szCs w:val="12"/>
          <w:color w:val="7B7C80"/>
        </w:rPr>
        <w:t>Represents the lump sum present value of the accelerated vesting of unvested retirement benefits. All of the Named Executive Officers are fully vested in their pension benefit.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113665</wp:posOffset>
            </wp:positionV>
            <wp:extent cx="960120" cy="28384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9"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55</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58" w:name="page59"/>
    <w:bookmarkEnd w:id="58"/>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p>
      <w:pPr>
        <w:jc w:val="center"/>
        <w:ind w:right="72"/>
        <w:spacing w:after="0"/>
        <w:rPr>
          <w:sz w:val="20"/>
          <w:szCs w:val="20"/>
          <w:color w:val="auto"/>
        </w:rPr>
      </w:pPr>
      <w:r>
        <w:rPr>
          <w:rFonts w:ascii="Arial" w:cs="Arial" w:eastAsia="Arial" w:hAnsi="Arial"/>
          <w:sz w:val="27"/>
          <w:szCs w:val="27"/>
          <w:b w:val="1"/>
          <w:bCs w:val="1"/>
          <w:color w:val="7B7C80"/>
        </w:rPr>
        <w:t>Proposal Two—Advisory Vote to Approve Executive Compensation</w:t>
      </w:r>
    </w:p>
    <w:p>
      <w:pPr>
        <w:spacing w:after="0" w:line="227" w:lineRule="exact"/>
        <w:rPr>
          <w:sz w:val="20"/>
          <w:szCs w:val="20"/>
          <w:color w:val="auto"/>
        </w:rPr>
      </w:pPr>
    </w:p>
    <w:p>
      <w:pPr>
        <w:jc w:val="both"/>
        <w:ind w:left="8"/>
        <w:spacing w:after="0" w:line="241" w:lineRule="auto"/>
        <w:rPr>
          <w:sz w:val="20"/>
          <w:szCs w:val="20"/>
          <w:color w:val="auto"/>
        </w:rPr>
      </w:pPr>
      <w:r>
        <w:rPr>
          <w:rFonts w:ascii="Arial" w:cs="Arial" w:eastAsia="Arial" w:hAnsi="Arial"/>
          <w:sz w:val="15"/>
          <w:szCs w:val="15"/>
          <w:color w:val="7B7C80"/>
        </w:rPr>
        <w:t>The Company's Executive compensation program is designed to reward Executives who contribute to the achievement of the Company's business objectives and to attract, retain and motivate talented Executives to perform at the highest level and contribute significantly to the Company's success. The program is designed to tie the delivery of Executive compensation to the achievement of the Company's long and short term financial and strategic goals and to align the interests of Executives and shareholders. The purposes and objectives of, and the rationale behind, the Company's compensation program are described in significant detail in the Compensation Discussion and Analysis, starting on page 24. Of particular note are the following policies and practices aligned with recognized corporate governance best practice:</w:t>
      </w:r>
    </w:p>
    <w:p>
      <w:pPr>
        <w:spacing w:after="0" w:line="176" w:lineRule="exact"/>
        <w:rPr>
          <w:sz w:val="20"/>
          <w:szCs w:val="20"/>
          <w:color w:val="auto"/>
        </w:rPr>
      </w:pPr>
    </w:p>
    <w:p>
      <w:pPr>
        <w:ind w:left="448" w:hanging="448"/>
        <w:spacing w:after="0" w:line="247" w:lineRule="auto"/>
        <w:tabs>
          <w:tab w:leader="none" w:pos="448" w:val="left"/>
        </w:tabs>
        <w:numPr>
          <w:ilvl w:val="0"/>
          <w:numId w:val="69"/>
        </w:numPr>
        <w:rPr>
          <w:rFonts w:ascii="Arial" w:cs="Arial" w:eastAsia="Arial" w:hAnsi="Arial"/>
          <w:sz w:val="15"/>
          <w:szCs w:val="15"/>
          <w:color w:val="7B7C80"/>
        </w:rPr>
      </w:pPr>
      <w:r>
        <w:rPr>
          <w:rFonts w:ascii="Arial" w:cs="Arial" w:eastAsia="Arial" w:hAnsi="Arial"/>
          <w:sz w:val="15"/>
          <w:szCs w:val="15"/>
          <w:color w:val="7B7C80"/>
        </w:rPr>
        <w:t>Our Executive compensation is, in large measure, highly variable and directly linked to our short term and long term financial and strategic goals and the performance of the Company's stock price over time.</w:t>
      </w:r>
    </w:p>
    <w:p>
      <w:pPr>
        <w:spacing w:after="0" w:line="171" w:lineRule="exact"/>
        <w:rPr>
          <w:rFonts w:ascii="Arial" w:cs="Arial" w:eastAsia="Arial" w:hAnsi="Arial"/>
          <w:sz w:val="15"/>
          <w:szCs w:val="15"/>
          <w:color w:val="7B7C80"/>
        </w:rPr>
      </w:pPr>
    </w:p>
    <w:p>
      <w:pPr>
        <w:ind w:left="448" w:hanging="448"/>
        <w:spacing w:after="0" w:line="247" w:lineRule="auto"/>
        <w:tabs>
          <w:tab w:leader="none" w:pos="448" w:val="left"/>
        </w:tabs>
        <w:numPr>
          <w:ilvl w:val="0"/>
          <w:numId w:val="69"/>
        </w:numPr>
        <w:rPr>
          <w:rFonts w:ascii="Arial" w:cs="Arial" w:eastAsia="Arial" w:hAnsi="Arial"/>
          <w:sz w:val="15"/>
          <w:szCs w:val="15"/>
          <w:color w:val="7B7C80"/>
        </w:rPr>
      </w:pPr>
      <w:r>
        <w:rPr>
          <w:rFonts w:ascii="Arial" w:cs="Arial" w:eastAsia="Arial" w:hAnsi="Arial"/>
          <w:sz w:val="15"/>
          <w:szCs w:val="15"/>
          <w:color w:val="7B7C80"/>
        </w:rPr>
        <w:t>Executives receive a significant portion of total compensation opportunity in the form of equity based long term incentives and are required to own stock in Principal to ensure their interests are aligned with the shareholders' interests and long term performance of Principal.</w:t>
      </w:r>
    </w:p>
    <w:p>
      <w:pPr>
        <w:spacing w:after="0" w:line="160" w:lineRule="exact"/>
        <w:rPr>
          <w:rFonts w:ascii="Arial" w:cs="Arial" w:eastAsia="Arial" w:hAnsi="Arial"/>
          <w:sz w:val="15"/>
          <w:szCs w:val="15"/>
          <w:color w:val="7B7C80"/>
        </w:rPr>
      </w:pPr>
    </w:p>
    <w:p>
      <w:pPr>
        <w:jc w:val="both"/>
        <w:ind w:left="448" w:hanging="448"/>
        <w:spacing w:after="0" w:line="243" w:lineRule="auto"/>
        <w:tabs>
          <w:tab w:leader="none" w:pos="448" w:val="left"/>
        </w:tabs>
        <w:numPr>
          <w:ilvl w:val="0"/>
          <w:numId w:val="69"/>
        </w:numPr>
        <w:rPr>
          <w:rFonts w:ascii="Arial" w:cs="Arial" w:eastAsia="Arial" w:hAnsi="Arial"/>
          <w:sz w:val="15"/>
          <w:szCs w:val="15"/>
          <w:color w:val="7B7C80"/>
        </w:rPr>
      </w:pPr>
      <w:r>
        <w:rPr>
          <w:rFonts w:ascii="Arial" w:cs="Arial" w:eastAsia="Arial" w:hAnsi="Arial"/>
          <w:sz w:val="15"/>
          <w:szCs w:val="15"/>
          <w:color w:val="7B7C80"/>
        </w:rPr>
        <w:t>Principal prohibits all employees, including Executives, from: purchasing Company securities on margin, except for the exercise of employee stock options; short sales; trading in put or call options; and purchasing, directly or through a designee, any financial instrument (including prepaid variable forward contracts, equity swaps, collars and exchange funds) that is designed to hedge or offset any decrease in the market value of Company securities.</w:t>
      </w:r>
    </w:p>
    <w:p>
      <w:pPr>
        <w:spacing w:after="0" w:line="163" w:lineRule="exact"/>
        <w:rPr>
          <w:rFonts w:ascii="Arial" w:cs="Arial" w:eastAsia="Arial" w:hAnsi="Arial"/>
          <w:sz w:val="15"/>
          <w:szCs w:val="15"/>
          <w:color w:val="7B7C80"/>
        </w:rPr>
      </w:pPr>
    </w:p>
    <w:p>
      <w:pPr>
        <w:jc w:val="both"/>
        <w:ind w:left="448" w:hanging="448"/>
        <w:spacing w:after="0" w:line="242" w:lineRule="auto"/>
        <w:tabs>
          <w:tab w:leader="none" w:pos="448" w:val="left"/>
        </w:tabs>
        <w:numPr>
          <w:ilvl w:val="0"/>
          <w:numId w:val="69"/>
        </w:numPr>
        <w:rPr>
          <w:rFonts w:ascii="Arial" w:cs="Arial" w:eastAsia="Arial" w:hAnsi="Arial"/>
          <w:sz w:val="15"/>
          <w:szCs w:val="15"/>
          <w:color w:val="7B7C80"/>
        </w:rPr>
      </w:pPr>
      <w:r>
        <w:rPr>
          <w:rFonts w:ascii="Arial" w:cs="Arial" w:eastAsia="Arial" w:hAnsi="Arial"/>
          <w:sz w:val="15"/>
          <w:szCs w:val="15"/>
          <w:color w:val="7B7C80"/>
        </w:rPr>
        <w:t>Principal has a compensation recovery policy to recover incentive compensation paid to Executives if the amount of the compensation was based on achievement of financial results that were subsequently restated, if, in the opinion of the Committee, the Executive engaged in fraud or intentional misconduct that caused the restatement of the Company's financial statements, and if the amount of the Executive's incentive compensation or equity award would have been lower had the financial results been properly reported.</w:t>
      </w:r>
    </w:p>
    <w:p>
      <w:pPr>
        <w:spacing w:after="0" w:line="174" w:lineRule="exact"/>
        <w:rPr>
          <w:rFonts w:ascii="Arial" w:cs="Arial" w:eastAsia="Arial" w:hAnsi="Arial"/>
          <w:sz w:val="15"/>
          <w:szCs w:val="15"/>
          <w:color w:val="7B7C80"/>
        </w:rPr>
      </w:pPr>
    </w:p>
    <w:p>
      <w:pPr>
        <w:ind w:left="448" w:hanging="448"/>
        <w:spacing w:after="0"/>
        <w:tabs>
          <w:tab w:leader="none" w:pos="448" w:val="left"/>
        </w:tabs>
        <w:numPr>
          <w:ilvl w:val="0"/>
          <w:numId w:val="69"/>
        </w:numPr>
        <w:rPr>
          <w:rFonts w:ascii="Arial" w:cs="Arial" w:eastAsia="Arial" w:hAnsi="Arial"/>
          <w:sz w:val="15"/>
          <w:szCs w:val="15"/>
          <w:color w:val="7B7C80"/>
        </w:rPr>
      </w:pPr>
      <w:r>
        <w:rPr>
          <w:rFonts w:ascii="Arial" w:cs="Arial" w:eastAsia="Arial" w:hAnsi="Arial"/>
          <w:sz w:val="15"/>
          <w:szCs w:val="15"/>
          <w:color w:val="7B7C80"/>
        </w:rPr>
        <w:t>Our Executive Change of Control Employment Agreements provide market-based service protection and do not contain excise tax gross ups.</w:t>
      </w:r>
    </w:p>
    <w:p>
      <w:pPr>
        <w:spacing w:after="0" w:line="171" w:lineRule="exact"/>
        <w:rPr>
          <w:rFonts w:ascii="Arial" w:cs="Arial" w:eastAsia="Arial" w:hAnsi="Arial"/>
          <w:sz w:val="15"/>
          <w:szCs w:val="15"/>
          <w:color w:val="7B7C80"/>
        </w:rPr>
      </w:pPr>
    </w:p>
    <w:p>
      <w:pPr>
        <w:ind w:left="448" w:right="20" w:hanging="448"/>
        <w:spacing w:after="0" w:line="247" w:lineRule="auto"/>
        <w:tabs>
          <w:tab w:leader="none" w:pos="448" w:val="left"/>
        </w:tabs>
        <w:numPr>
          <w:ilvl w:val="0"/>
          <w:numId w:val="69"/>
        </w:numPr>
        <w:rPr>
          <w:rFonts w:ascii="Arial" w:cs="Arial" w:eastAsia="Arial" w:hAnsi="Arial"/>
          <w:sz w:val="15"/>
          <w:szCs w:val="15"/>
          <w:color w:val="7B7C80"/>
        </w:rPr>
      </w:pPr>
      <w:r>
        <w:rPr>
          <w:rFonts w:ascii="Arial" w:cs="Arial" w:eastAsia="Arial" w:hAnsi="Arial"/>
          <w:sz w:val="15"/>
          <w:szCs w:val="15"/>
          <w:color w:val="7B7C80"/>
        </w:rPr>
        <w:t>We provide limited perquisites to Executives—one physical examination per year, business spousal travel, and gifts of nominal value given to all sales conference attendees.</w:t>
      </w:r>
    </w:p>
    <w:p>
      <w:pPr>
        <w:spacing w:after="0" w:line="160" w:lineRule="exact"/>
        <w:rPr>
          <w:rFonts w:ascii="Arial" w:cs="Arial" w:eastAsia="Arial" w:hAnsi="Arial"/>
          <w:sz w:val="15"/>
          <w:szCs w:val="15"/>
          <w:color w:val="7B7C80"/>
        </w:rPr>
      </w:pPr>
    </w:p>
    <w:p>
      <w:pPr>
        <w:ind w:left="448" w:right="20" w:hanging="448"/>
        <w:spacing w:after="0" w:line="247" w:lineRule="auto"/>
        <w:tabs>
          <w:tab w:leader="none" w:pos="448" w:val="left"/>
        </w:tabs>
        <w:numPr>
          <w:ilvl w:val="0"/>
          <w:numId w:val="69"/>
        </w:numPr>
        <w:rPr>
          <w:rFonts w:ascii="Arial" w:cs="Arial" w:eastAsia="Arial" w:hAnsi="Arial"/>
          <w:sz w:val="15"/>
          <w:szCs w:val="15"/>
          <w:color w:val="7B7C80"/>
        </w:rPr>
      </w:pPr>
      <w:r>
        <w:rPr>
          <w:rFonts w:ascii="Arial" w:cs="Arial" w:eastAsia="Arial" w:hAnsi="Arial"/>
          <w:sz w:val="15"/>
          <w:szCs w:val="15"/>
          <w:color w:val="7B7C80"/>
        </w:rPr>
        <w:t>Our programs are designed to be financially efficient from tax, accounting, cash flow and share dilution perspectives. We make efforts to ensure tax deductibility to Principal of all compensation to the extent practicable.</w:t>
      </w:r>
    </w:p>
    <w:p>
      <w:pPr>
        <w:spacing w:after="0" w:line="172" w:lineRule="exact"/>
        <w:rPr>
          <w:sz w:val="20"/>
          <w:szCs w:val="20"/>
          <w:color w:val="auto"/>
        </w:rPr>
      </w:pPr>
    </w:p>
    <w:p>
      <w:pPr>
        <w:jc w:val="both"/>
        <w:ind w:left="8" w:right="20"/>
        <w:spacing w:after="0" w:line="247" w:lineRule="auto"/>
        <w:rPr>
          <w:sz w:val="20"/>
          <w:szCs w:val="20"/>
          <w:color w:val="auto"/>
        </w:rPr>
      </w:pPr>
      <w:r>
        <w:rPr>
          <w:rFonts w:ascii="Arial" w:cs="Arial" w:eastAsia="Arial" w:hAnsi="Arial"/>
          <w:sz w:val="15"/>
          <w:szCs w:val="15"/>
          <w:color w:val="7B7C80"/>
        </w:rPr>
        <w:t>Shareholders are being asked to vote on the Company's compensation policies and procedures for the Named Executive Officers, as described in the Compensation Discussion and Analysis and the compensation tables and the accompanying narratives in this Proxy Statement.</w:t>
      </w:r>
    </w:p>
    <w:p>
      <w:pPr>
        <w:spacing w:after="0" w:line="172"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This vote is not intended to address any specific item of compensation, but the Company's overall compensation related to our Named Executive Officers. Because your vote is advisory, it will not be binding on the Board and will not overrule any decision by the Board or require the Board to take any action. However, the Human Resources Committee, which is responsible for designing and administering the Company's Executive compensation program, values shareholder opinions and will consider the outcome of the vote when making future compensation decisions for the Named Executive Officers.</w:t>
      </w:r>
    </w:p>
    <w:p>
      <w:pPr>
        <w:spacing w:after="0" w:line="175" w:lineRule="exact"/>
        <w:rPr>
          <w:sz w:val="20"/>
          <w:szCs w:val="20"/>
          <w:color w:val="auto"/>
        </w:rPr>
      </w:pPr>
    </w:p>
    <w:p>
      <w:pPr>
        <w:ind w:left="8"/>
        <w:spacing w:after="0"/>
        <w:rPr>
          <w:sz w:val="20"/>
          <w:szCs w:val="20"/>
          <w:color w:val="auto"/>
        </w:rPr>
      </w:pPr>
      <w:r>
        <w:rPr>
          <w:rFonts w:ascii="Arial" w:cs="Arial" w:eastAsia="Arial" w:hAnsi="Arial"/>
          <w:sz w:val="15"/>
          <w:szCs w:val="15"/>
          <w:color w:val="7B7C80"/>
        </w:rPr>
        <w:t>In 2017, 89% of shareholders voted to retain an annual advisory vote on Executive Compensation, and the Board approved continuing this practice.</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4"/>
          <w:szCs w:val="14"/>
          <w:color w:val="7B7C80"/>
        </w:rPr>
        <w:t>This proposal, commonly known as a "say on pay" proposal, gives shareholders the opportunity to vote on an advisory, nonbinding basis to approve the compensation of our</w:t>
      </w:r>
    </w:p>
    <w:p>
      <w:pPr>
        <w:spacing w:after="0" w:line="11" w:lineRule="exact"/>
        <w:rPr>
          <w:sz w:val="20"/>
          <w:szCs w:val="20"/>
          <w:color w:val="auto"/>
        </w:rPr>
      </w:pPr>
    </w:p>
    <w:p>
      <w:pPr>
        <w:ind w:left="8"/>
        <w:spacing w:after="0"/>
        <w:rPr>
          <w:sz w:val="20"/>
          <w:szCs w:val="20"/>
          <w:color w:val="auto"/>
        </w:rPr>
      </w:pPr>
      <w:r>
        <w:rPr>
          <w:rFonts w:ascii="Arial" w:cs="Arial" w:eastAsia="Arial" w:hAnsi="Arial"/>
          <w:sz w:val="15"/>
          <w:szCs w:val="15"/>
          <w:color w:val="7B7C80"/>
        </w:rPr>
        <w:t>Named Executive Officers as disclosed in this proxy statement pursuant to SEC rules through the following resolution:</w:t>
      </w:r>
    </w:p>
    <w:p>
      <w:pPr>
        <w:spacing w:after="0" w:line="183" w:lineRule="exact"/>
        <w:rPr>
          <w:sz w:val="20"/>
          <w:szCs w:val="20"/>
          <w:color w:val="auto"/>
        </w:rPr>
      </w:pPr>
    </w:p>
    <w:p>
      <w:pPr>
        <w:jc w:val="both"/>
        <w:ind w:left="8"/>
        <w:spacing w:after="0" w:line="247" w:lineRule="auto"/>
        <w:rPr>
          <w:sz w:val="20"/>
          <w:szCs w:val="20"/>
          <w:color w:val="auto"/>
        </w:rPr>
      </w:pPr>
      <w:r>
        <w:rPr>
          <w:rFonts w:ascii="Arial" w:cs="Arial" w:eastAsia="Arial" w:hAnsi="Arial"/>
          <w:sz w:val="15"/>
          <w:szCs w:val="15"/>
          <w:color w:val="7B7C80"/>
        </w:rPr>
        <w:t>RESOLVED, that the compensation paid to the Company's Named Executive Officers, as disclosed pursuant to Item 402 of Regulation S-K, including the Compensation Discussion and Analysis, compensation tables and narrative discussion, is hereby approved.</w:t>
      </w:r>
    </w:p>
    <w:p>
      <w:pPr>
        <w:spacing w:after="0" w:line="154"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7B7C80"/>
        </w:rPr>
        <w:t>The Board of Directors recommends that shareholders vote "For" this resolution.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125730</wp:posOffset>
            </wp:positionV>
            <wp:extent cx="960120" cy="2838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318"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56</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59" w:name="page60"/>
    <w:bookmarkEnd w:id="59"/>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p>
      <w:pPr>
        <w:ind w:left="2600"/>
        <w:spacing w:after="0"/>
        <w:rPr>
          <w:sz w:val="20"/>
          <w:szCs w:val="20"/>
          <w:color w:val="auto"/>
        </w:rPr>
      </w:pPr>
      <w:r>
        <w:rPr>
          <w:rFonts w:ascii="Arial" w:cs="Arial" w:eastAsia="Arial" w:hAnsi="Arial"/>
          <w:sz w:val="27"/>
          <w:szCs w:val="27"/>
          <w:b w:val="1"/>
          <w:bCs w:val="1"/>
          <w:color w:val="7B7C80"/>
        </w:rPr>
        <w:t>Proposal Three—Ratification of Appointment of</w:t>
      </w:r>
    </w:p>
    <w:p>
      <w:pPr>
        <w:spacing w:after="0" w:line="44" w:lineRule="exact"/>
        <w:rPr>
          <w:sz w:val="20"/>
          <w:szCs w:val="20"/>
          <w:color w:val="auto"/>
        </w:rPr>
      </w:pPr>
    </w:p>
    <w:p>
      <w:pPr>
        <w:ind w:left="2780"/>
        <w:spacing w:after="0"/>
        <w:rPr>
          <w:sz w:val="20"/>
          <w:szCs w:val="20"/>
          <w:color w:val="auto"/>
        </w:rPr>
      </w:pPr>
      <w:r>
        <w:rPr>
          <w:rFonts w:ascii="Arial" w:cs="Arial" w:eastAsia="Arial" w:hAnsi="Arial"/>
          <w:sz w:val="27"/>
          <w:szCs w:val="27"/>
          <w:b w:val="1"/>
          <w:bCs w:val="1"/>
          <w:color w:val="7B7C80"/>
        </w:rPr>
        <w:t>Independent Registered Public Accountants</w:t>
      </w:r>
    </w:p>
    <w:p>
      <w:pPr>
        <w:spacing w:after="0" w:line="193"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Subject to shareholder ratification, the Audit Committee has appointed the firm of Ernst &amp; Young LLP to audit the consolidated financial statements of the Company for the fiscal year ending December 31, 2017. In order to assure continuing auditor independence, the Audit Committee periodically considers the advisability and potential impact of selecting a different independent external audit firm. Ernst &amp; Young LLP has served as the Company's independent registered public accountant since it became a publicly traded company in 2001, and Principal Life has used Ernst &amp; Young LLP as its independent registered public accountant for many years prior thereto. The Audit Committee and the Board of Directors believe, after the consideration of a variety of factors, that the continued retention of Ernst &amp; Young LLP is in the best interest of the Company and its shareholders. Ratification of the appointment of the independent registered public accountants requires the affirmative vote of a majority of the shares represented at the meeting and voting on the matter. If the shareholders do not ratify this appointment, the Audit Committee will consider the matter of the appointment of the independent registered public accountants.</w:t>
      </w:r>
    </w:p>
    <w:p>
      <w:pPr>
        <w:spacing w:after="0" w:line="178" w:lineRule="exact"/>
        <w:rPr>
          <w:sz w:val="20"/>
          <w:szCs w:val="20"/>
          <w:color w:val="auto"/>
        </w:rPr>
      </w:pPr>
    </w:p>
    <w:p>
      <w:pPr>
        <w:jc w:val="both"/>
        <w:ind w:right="20"/>
        <w:spacing w:after="0" w:line="247" w:lineRule="auto"/>
        <w:rPr>
          <w:sz w:val="20"/>
          <w:szCs w:val="20"/>
          <w:color w:val="auto"/>
        </w:rPr>
      </w:pPr>
      <w:r>
        <w:rPr>
          <w:rFonts w:ascii="Arial" w:cs="Arial" w:eastAsia="Arial" w:hAnsi="Arial"/>
          <w:sz w:val="15"/>
          <w:szCs w:val="15"/>
          <w:color w:val="7B7C80"/>
        </w:rPr>
        <w:t>RESOLVED, that the appointment of Ernst &amp; Young, LLP to audit the consolidated financial statements of the Company for the fiscal year ending December 31, 2018 be ratified.</w:t>
      </w:r>
    </w:p>
    <w:p>
      <w:pPr>
        <w:spacing w:after="0" w:line="154" w:lineRule="exact"/>
        <w:rPr>
          <w:sz w:val="20"/>
          <w:szCs w:val="20"/>
          <w:color w:val="auto"/>
        </w:rPr>
      </w:pPr>
    </w:p>
    <w:p>
      <w:pPr>
        <w:spacing w:after="0"/>
        <w:rPr>
          <w:sz w:val="20"/>
          <w:szCs w:val="20"/>
          <w:color w:val="auto"/>
        </w:rPr>
      </w:pPr>
      <w:r>
        <w:rPr>
          <w:rFonts w:ascii="Arial" w:cs="Arial" w:eastAsia="Arial" w:hAnsi="Arial"/>
          <w:sz w:val="15"/>
          <w:szCs w:val="15"/>
          <w:b w:val="1"/>
          <w:bCs w:val="1"/>
          <w:color w:val="7B7C80"/>
        </w:rPr>
        <w:t>The Board of Directors recommends that shareholders vote "For" this resolution.</w:t>
      </w:r>
    </w:p>
    <w:p>
      <w:pPr>
        <w:spacing w:after="0" w:line="201" w:lineRule="exact"/>
        <w:rPr>
          <w:sz w:val="20"/>
          <w:szCs w:val="20"/>
          <w:color w:val="auto"/>
        </w:rPr>
      </w:pPr>
    </w:p>
    <w:p>
      <w:pPr>
        <w:jc w:val="both"/>
        <w:spacing w:after="0" w:line="247" w:lineRule="auto"/>
        <w:rPr>
          <w:sz w:val="20"/>
          <w:szCs w:val="20"/>
          <w:color w:val="auto"/>
        </w:rPr>
      </w:pPr>
      <w:r>
        <w:rPr>
          <w:rFonts w:ascii="Arial" w:cs="Arial" w:eastAsia="Arial" w:hAnsi="Arial"/>
          <w:sz w:val="15"/>
          <w:szCs w:val="15"/>
          <w:color w:val="7B7C80"/>
        </w:rPr>
        <w:t>Representatives of Ernst &amp; Young LLP will be present at the Annual Meeting, will be given an opportunity to make a statement if they so desire and will be available to respond to appropriate questions relating to the audit of the Company's 2017 consolidated financial statements.</w:t>
      </w:r>
    </w:p>
    <w:p>
      <w:pPr>
        <w:spacing w:after="0" w:line="154"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Audit Fees</w:t>
      </w:r>
    </w:p>
    <w:p>
      <w:pPr>
        <w:spacing w:after="0" w:line="201"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The aggregate fees billed by the Company's independent registered public accounting firm in 2016 and 2015 for professional services rendered in connection with regulatory audits in accordance with US GAAP, statutory, or foreign accounting principles; consultation on matters addressed during these audits; review of documents filed with regulators including the SEC; other engagements required by statute; or engagements that generally only the Company's independent registered public accounting firm can reasonably provide, such as comfort letters or consents, were approximately $11,309,000 in 2017 and $10,390,000 in 2016.</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Audit Related Fees</w:t>
      </w:r>
    </w:p>
    <w:p>
      <w:pPr>
        <w:spacing w:after="0" w:line="201"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The aggregate fees billed by the Company's independent registered public accounting firm in 2017 and 2016 for professional services rendered in connection with audit related services such as financial statement audits of employee benefit plans, financial statement audits not required by statute or regulation, accounting consultations in connection with proposed transactions or emerging accounting standards, and other attest and related advisory services not required by statute or regulation totaled approximately $1,697,000 in 2017 and $1,828,000 in 2016.</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Tax Fees</w:t>
      </w:r>
    </w:p>
    <w:p>
      <w:pPr>
        <w:spacing w:after="0" w:line="201"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The aggregate fees billed by the Company's independent registered public accounting firm for professional services rendered in connection with tax services consisting primarily of tax compliance totaled approximately $111,000 in 2017 and $71,000 in 2016. Tax compliance generally involves preparation, assistance or attestation related to tax filings in various domestic and non-domestic jurisdictions. Tax consultation generally involves assistance in connection with tax audits, filing appeals, and compliance with tax related regulations.</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All Other Fees</w:t>
      </w:r>
    </w:p>
    <w:p>
      <w:pPr>
        <w:spacing w:after="0" w:line="201" w:lineRule="exact"/>
        <w:rPr>
          <w:sz w:val="20"/>
          <w:szCs w:val="20"/>
          <w:color w:val="auto"/>
        </w:rPr>
      </w:pPr>
    </w:p>
    <w:p>
      <w:pPr>
        <w:spacing w:after="0"/>
        <w:rPr>
          <w:sz w:val="20"/>
          <w:szCs w:val="20"/>
          <w:color w:val="auto"/>
        </w:rPr>
      </w:pPr>
      <w:r>
        <w:rPr>
          <w:rFonts w:ascii="Arial" w:cs="Arial" w:eastAsia="Arial" w:hAnsi="Arial"/>
          <w:sz w:val="15"/>
          <w:szCs w:val="15"/>
          <w:color w:val="7B7C80"/>
        </w:rPr>
        <w:t>The Company's independent registered public accounting firm did not bill for professional services rendered in connection with other services in 2016 or 2017.</w:t>
      </w:r>
    </w:p>
    <w:p>
      <w:pPr>
        <w:spacing w:after="0" w:line="183" w:lineRule="exact"/>
        <w:rPr>
          <w:sz w:val="20"/>
          <w:szCs w:val="20"/>
          <w:color w:val="auto"/>
        </w:rPr>
      </w:pPr>
    </w:p>
    <w:p>
      <w:pPr>
        <w:jc w:val="both"/>
        <w:ind w:right="20"/>
        <w:spacing w:after="0" w:line="241" w:lineRule="auto"/>
        <w:rPr>
          <w:sz w:val="20"/>
          <w:szCs w:val="20"/>
          <w:color w:val="auto"/>
        </w:rPr>
      </w:pPr>
      <w:r>
        <w:rPr>
          <w:rFonts w:ascii="Arial" w:cs="Arial" w:eastAsia="Arial" w:hAnsi="Arial"/>
          <w:sz w:val="15"/>
          <w:szCs w:val="15"/>
          <w:color w:val="7B7C80"/>
        </w:rPr>
        <w:t>The Audit Committee has adopted a policy on auditor independence that calls for the Committee to preapprove any service the Company's independent registered public accountant proposes to provide to the Company, its majority owned subsidiaries, employee benefit plans or affiliates which the Company controls or significantly influences. The policy also calls for the Committee to preapprove any audit service any independent auditor proposes to provide to these entities. The purpose of the policy is to assure that the provision of such services does not impair any auditor's independence. The policy provides for the general preapproval of specific types of Audit and Audit Related services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110490</wp:posOffset>
            </wp:positionV>
            <wp:extent cx="960120" cy="28384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4"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57</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60" w:name="page61"/>
    <w:bookmarkEnd w:id="60"/>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3" w:lineRule="exact"/>
        <w:rPr>
          <w:sz w:val="20"/>
          <w:szCs w:val="20"/>
          <w:color w:val="auto"/>
        </w:rPr>
      </w:pPr>
    </w:p>
    <w:p>
      <w:pPr>
        <w:jc w:val="both"/>
        <w:spacing w:after="0"/>
        <w:rPr>
          <w:sz w:val="20"/>
          <w:szCs w:val="20"/>
          <w:color w:val="auto"/>
        </w:rPr>
      </w:pPr>
      <w:r>
        <w:rPr>
          <w:rFonts w:ascii="Arial" w:cs="Arial" w:eastAsia="Arial" w:hAnsi="Arial"/>
          <w:sz w:val="15"/>
          <w:szCs w:val="15"/>
          <w:color w:val="7B7C80"/>
        </w:rPr>
        <w:t>and fees up to an established individual engagement and annual threshold. The policy requires specific preapproval of all other services. Pursuant to the policy, each quarter Principal management presents to the Committee a detailed description of each particular service that meets the definition of services that have been generally approved and each service for which specific preapproval is sought, and an estimate of fees for each service. The policy accords the Audit Committee Chair authority to preapprove services and fees for those services that arise between regularly scheduled meetings of the Audit Committee. In considering whether to preapprove the provision of non audit services by the independent registered public accountant, the Audit Committee will consider whether the services are compatible with the maintenance of the independent registered public accountant's independence. The Audit Committee does not delegate its responsibilities to preapprove services performed by an independent auditor to management.</w:t>
      </w:r>
    </w:p>
    <w:p>
      <w:pPr>
        <w:spacing w:after="0" w:line="179" w:lineRule="exact"/>
        <w:rPr>
          <w:sz w:val="20"/>
          <w:szCs w:val="20"/>
          <w:color w:val="auto"/>
        </w:rPr>
      </w:pPr>
    </w:p>
    <w:p>
      <w:pPr>
        <w:jc w:val="both"/>
        <w:ind w:right="20"/>
        <w:spacing w:after="0" w:line="247" w:lineRule="auto"/>
        <w:rPr>
          <w:sz w:val="20"/>
          <w:szCs w:val="20"/>
          <w:color w:val="auto"/>
        </w:rPr>
      </w:pPr>
      <w:r>
        <w:rPr>
          <w:rFonts w:ascii="Arial" w:cs="Arial" w:eastAsia="Arial" w:hAnsi="Arial"/>
          <w:sz w:val="15"/>
          <w:szCs w:val="15"/>
          <w:color w:val="7B7C80"/>
        </w:rPr>
        <w:t>The Audit Committee did not approve the services described above under the captions Audit Related Fees, Tax Fees and All Other Fees by utilizing the de minimis exception of SEC Rule 2-01(c)(7)(i)(C).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3195320</wp:posOffset>
            </wp:positionH>
            <wp:positionV relativeFrom="paragraph">
              <wp:posOffset>107315</wp:posOffset>
            </wp:positionV>
            <wp:extent cx="960120" cy="2838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9" w:lineRule="exact"/>
        <w:rPr>
          <w:sz w:val="20"/>
          <w:szCs w:val="20"/>
          <w:color w:val="auto"/>
        </w:rPr>
      </w:pPr>
    </w:p>
    <w:p>
      <w:pPr>
        <w:spacing w:after="0"/>
        <w:tabs>
          <w:tab w:leader="none" w:pos="460" w:val="left"/>
        </w:tabs>
        <w:rPr>
          <w:sz w:val="20"/>
          <w:szCs w:val="20"/>
          <w:color w:val="auto"/>
        </w:rPr>
      </w:pPr>
      <w:r>
        <w:rPr>
          <w:rFonts w:ascii="Arial" w:cs="Arial" w:eastAsia="Arial" w:hAnsi="Arial"/>
          <w:sz w:val="15"/>
          <w:szCs w:val="15"/>
          <w:color w:val="009CCC"/>
        </w:rPr>
        <w:t>58</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61" w:name="page62"/>
    <w:bookmarkEnd w:id="61"/>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Security Ownership of Certain Beneficial Owners and Management</w:t>
      </w:r>
    </w:p>
    <w:p>
      <w:pPr>
        <w:spacing w:after="0" w:line="227"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Except as otherwise indicated below, the following table shows, as of March 16, 2018, beneficial ownership of shares of Common Stock by (i) the only shareholders known to the Company to beneficially own more than 5% of the outstanding shares of Common Stock, (ii) each Director, (iii) each Named Executive Officer and (iv) all current Directors and Executive Officers as a group. Except as otherwise indicated below, each of the individuals named in the table has sole voting and investment power, or shares such powers with his or her spouse, for the shares set forth opposite his or her name.</w:t>
      </w:r>
    </w:p>
    <w:p>
      <w:pPr>
        <w:spacing w:after="0" w:line="172" w:lineRule="exact"/>
        <w:rPr>
          <w:sz w:val="20"/>
          <w:szCs w:val="20"/>
          <w:color w:val="auto"/>
        </w:rPr>
      </w:pPr>
    </w:p>
    <w:tbl>
      <w:tblPr>
        <w:tblLayout w:type="fixed"/>
        <w:tblInd w:w="0" w:type="dxa"/>
        <w:tblCellMar>
          <w:top w:w="0" w:type="dxa"/>
          <w:left w:w="0" w:type="dxa"/>
          <w:bottom w:w="0" w:type="dxa"/>
          <w:right w:w="0" w:type="dxa"/>
        </w:tblCellMar>
      </w:tblPr>
      <w:tr>
        <w:trPr>
          <w:trHeight w:val="20"/>
        </w:trPr>
        <w:tc>
          <w:tcPr>
            <w:tcW w:w="1360" w:type="dxa"/>
            <w:vAlign w:val="bottom"/>
          </w:tcPr>
          <w:p>
            <w:pPr>
              <w:spacing w:after="0" w:line="20" w:lineRule="exact"/>
              <w:rPr>
                <w:sz w:val="1"/>
                <w:szCs w:val="1"/>
                <w:color w:val="auto"/>
              </w:rPr>
            </w:pPr>
          </w:p>
        </w:tc>
        <w:tc>
          <w:tcPr>
            <w:tcW w:w="5840" w:type="dxa"/>
            <w:vAlign w:val="bottom"/>
            <w:shd w:val="clear" w:color="auto" w:fill="009CCC"/>
          </w:tcPr>
          <w:p>
            <w:pPr>
              <w:spacing w:after="0" w:line="20" w:lineRule="exact"/>
              <w:rPr>
                <w:sz w:val="1"/>
                <w:szCs w:val="1"/>
                <w:color w:val="auto"/>
              </w:rPr>
            </w:pPr>
          </w:p>
        </w:tc>
        <w:tc>
          <w:tcPr>
            <w:tcW w:w="1580" w:type="dxa"/>
            <w:vAlign w:val="bottom"/>
            <w:shd w:val="clear" w:color="auto" w:fill="009CCC"/>
          </w:tcPr>
          <w:p>
            <w:pPr>
              <w:spacing w:after="0" w:line="20" w:lineRule="exact"/>
              <w:rPr>
                <w:sz w:val="1"/>
                <w:szCs w:val="1"/>
                <w:color w:val="auto"/>
              </w:rPr>
            </w:pPr>
          </w:p>
        </w:tc>
        <w:tc>
          <w:tcPr>
            <w:tcW w:w="980" w:type="dxa"/>
            <w:vAlign w:val="bottom"/>
            <w:shd w:val="clear" w:color="auto" w:fill="009CCC"/>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9"/>
        </w:trPr>
        <w:tc>
          <w:tcPr>
            <w:tcW w:w="1360" w:type="dxa"/>
            <w:vAlign w:val="bottom"/>
          </w:tcPr>
          <w:p>
            <w:pPr>
              <w:spacing w:after="0"/>
              <w:rPr>
                <w:sz w:val="10"/>
                <w:szCs w:val="10"/>
                <w:color w:val="auto"/>
              </w:rPr>
            </w:pPr>
          </w:p>
        </w:tc>
        <w:tc>
          <w:tcPr>
            <w:tcW w:w="5840" w:type="dxa"/>
            <w:vAlign w:val="bottom"/>
          </w:tcPr>
          <w:p>
            <w:pPr>
              <w:spacing w:after="0"/>
              <w:rPr>
                <w:sz w:val="10"/>
                <w:szCs w:val="10"/>
                <w:color w:val="auto"/>
              </w:rPr>
            </w:pPr>
          </w:p>
        </w:tc>
        <w:tc>
          <w:tcPr>
            <w:tcW w:w="1580" w:type="dxa"/>
            <w:vAlign w:val="bottom"/>
            <w:vMerge w:val="restart"/>
          </w:tcPr>
          <w:p>
            <w:pPr>
              <w:jc w:val="right"/>
              <w:ind w:right="27"/>
              <w:spacing w:after="0"/>
              <w:rPr>
                <w:sz w:val="20"/>
                <w:szCs w:val="20"/>
                <w:color w:val="auto"/>
              </w:rPr>
            </w:pPr>
            <w:r>
              <w:rPr>
                <w:rFonts w:ascii="Arial" w:cs="Arial" w:eastAsia="Arial" w:hAnsi="Arial"/>
                <w:sz w:val="12"/>
                <w:szCs w:val="12"/>
                <w:b w:val="1"/>
                <w:bCs w:val="1"/>
                <w:color w:val="009CCC"/>
              </w:rPr>
              <w:t>Number of Shares</w:t>
            </w:r>
          </w:p>
        </w:tc>
        <w:tc>
          <w:tcPr>
            <w:tcW w:w="2320" w:type="dxa"/>
            <w:vAlign w:val="bottom"/>
            <w:gridSpan w:val="2"/>
          </w:tcPr>
          <w:p>
            <w:pPr>
              <w:jc w:val="right"/>
              <w:ind w:right="1340"/>
              <w:spacing w:after="0" w:line="119" w:lineRule="exact"/>
              <w:rPr>
                <w:sz w:val="20"/>
                <w:szCs w:val="20"/>
                <w:color w:val="auto"/>
              </w:rPr>
            </w:pPr>
            <w:r>
              <w:rPr>
                <w:rFonts w:ascii="Arial" w:cs="Arial" w:eastAsia="Arial" w:hAnsi="Arial"/>
                <w:sz w:val="12"/>
                <w:szCs w:val="12"/>
                <w:b w:val="1"/>
                <w:bCs w:val="1"/>
                <w:color w:val="009CCC"/>
              </w:rPr>
              <w:t>Percent of</w:t>
            </w:r>
          </w:p>
        </w:tc>
        <w:tc>
          <w:tcPr>
            <w:tcW w:w="3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5"/>
        </w:trPr>
        <w:tc>
          <w:tcPr>
            <w:tcW w:w="1360" w:type="dxa"/>
            <w:vAlign w:val="bottom"/>
          </w:tcPr>
          <w:p>
            <w:pPr>
              <w:spacing w:after="0"/>
              <w:rPr>
                <w:sz w:val="10"/>
                <w:szCs w:val="10"/>
                <w:color w:val="auto"/>
              </w:rPr>
            </w:pPr>
          </w:p>
        </w:tc>
        <w:tc>
          <w:tcPr>
            <w:tcW w:w="584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2320" w:type="dxa"/>
            <w:vAlign w:val="bottom"/>
            <w:gridSpan w:val="2"/>
          </w:tcPr>
          <w:p>
            <w:pPr>
              <w:jc w:val="right"/>
              <w:ind w:right="1340"/>
              <w:spacing w:after="0" w:line="125" w:lineRule="exact"/>
              <w:rPr>
                <w:sz w:val="20"/>
                <w:szCs w:val="20"/>
                <w:color w:val="auto"/>
              </w:rPr>
            </w:pPr>
            <w:r>
              <w:rPr>
                <w:rFonts w:ascii="Arial" w:cs="Arial" w:eastAsia="Arial" w:hAnsi="Arial"/>
                <w:sz w:val="12"/>
                <w:szCs w:val="12"/>
                <w:b w:val="1"/>
                <w:bCs w:val="1"/>
                <w:color w:val="009CCC"/>
              </w:rPr>
              <w:t>Common Stock</w:t>
            </w:r>
          </w:p>
        </w:tc>
        <w:tc>
          <w:tcPr>
            <w:tcW w:w="3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0"/>
        </w:trPr>
        <w:tc>
          <w:tcPr>
            <w:tcW w:w="1360" w:type="dxa"/>
            <w:vAlign w:val="bottom"/>
          </w:tcPr>
          <w:p>
            <w:pPr>
              <w:spacing w:after="0"/>
              <w:rPr>
                <w:sz w:val="13"/>
                <w:szCs w:val="13"/>
                <w:color w:val="auto"/>
              </w:rPr>
            </w:pPr>
          </w:p>
        </w:tc>
        <w:tc>
          <w:tcPr>
            <w:tcW w:w="5840" w:type="dxa"/>
            <w:vAlign w:val="bottom"/>
          </w:tcPr>
          <w:p>
            <w:pPr>
              <w:spacing w:after="0"/>
              <w:rPr>
                <w:sz w:val="20"/>
                <w:szCs w:val="20"/>
                <w:color w:val="auto"/>
              </w:rPr>
            </w:pPr>
            <w:r>
              <w:rPr>
                <w:rFonts w:ascii="Arial" w:cs="Arial" w:eastAsia="Arial" w:hAnsi="Arial"/>
                <w:sz w:val="12"/>
                <w:szCs w:val="12"/>
                <w:b w:val="1"/>
                <w:bCs w:val="1"/>
                <w:color w:val="009CCC"/>
              </w:rPr>
              <w:t>Name</w:t>
            </w:r>
          </w:p>
        </w:tc>
        <w:tc>
          <w:tcPr>
            <w:tcW w:w="1580" w:type="dxa"/>
            <w:vAlign w:val="bottom"/>
          </w:tcPr>
          <w:p>
            <w:pPr>
              <w:jc w:val="right"/>
              <w:ind w:right="27"/>
              <w:spacing w:after="0" w:line="160" w:lineRule="exact"/>
              <w:rPr>
                <w:sz w:val="20"/>
                <w:szCs w:val="20"/>
                <w:color w:val="auto"/>
              </w:rPr>
            </w:pPr>
            <w:r>
              <w:rPr>
                <w:rFonts w:ascii="Arial" w:cs="Arial" w:eastAsia="Arial" w:hAnsi="Arial"/>
                <w:sz w:val="12"/>
                <w:szCs w:val="12"/>
                <w:b w:val="1"/>
                <w:bCs w:val="1"/>
                <w:color w:val="009CCC"/>
              </w:rPr>
              <w:t>Beneficially Owned</w:t>
            </w:r>
            <w:r>
              <w:rPr>
                <w:rFonts w:ascii="Arial" w:cs="Arial" w:eastAsia="Arial" w:hAnsi="Arial"/>
                <w:sz w:val="18"/>
                <w:szCs w:val="18"/>
                <w:b w:val="1"/>
                <w:bCs w:val="1"/>
                <w:color w:val="009CCC"/>
                <w:vertAlign w:val="superscript"/>
              </w:rPr>
              <w:t>(1)</w:t>
            </w:r>
          </w:p>
        </w:tc>
        <w:tc>
          <w:tcPr>
            <w:tcW w:w="2320" w:type="dxa"/>
            <w:vAlign w:val="bottom"/>
            <w:gridSpan w:val="2"/>
          </w:tcPr>
          <w:p>
            <w:pPr>
              <w:jc w:val="right"/>
              <w:ind w:right="1340"/>
              <w:spacing w:after="0"/>
              <w:rPr>
                <w:sz w:val="20"/>
                <w:szCs w:val="20"/>
                <w:color w:val="auto"/>
              </w:rPr>
            </w:pPr>
            <w:r>
              <w:rPr>
                <w:rFonts w:ascii="Arial" w:cs="Arial" w:eastAsia="Arial" w:hAnsi="Arial"/>
                <w:sz w:val="12"/>
                <w:szCs w:val="12"/>
                <w:b w:val="1"/>
                <w:bCs w:val="1"/>
                <w:color w:val="009CCC"/>
              </w:rPr>
              <w:t>Outstanding</w:t>
            </w:r>
          </w:p>
        </w:tc>
        <w:tc>
          <w:tcPr>
            <w:tcW w:w="3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98"/>
        </w:trPr>
        <w:tc>
          <w:tcPr>
            <w:tcW w:w="1360" w:type="dxa"/>
            <w:vAlign w:val="bottom"/>
          </w:tcPr>
          <w:p>
            <w:pPr>
              <w:spacing w:after="0"/>
              <w:rPr>
                <w:sz w:val="17"/>
                <w:szCs w:val="17"/>
                <w:color w:val="auto"/>
              </w:rPr>
            </w:pPr>
          </w:p>
        </w:tc>
        <w:tc>
          <w:tcPr>
            <w:tcW w:w="5840" w:type="dxa"/>
            <w:vAlign w:val="bottom"/>
            <w:tcBorders>
              <w:top w:val="single" w:sz="8" w:color="7B7C80"/>
            </w:tcBorders>
            <w:shd w:val="clear" w:color="auto" w:fill="E7E6E7"/>
          </w:tcPr>
          <w:p>
            <w:pPr>
              <w:spacing w:after="0" w:line="198" w:lineRule="exact"/>
              <w:rPr>
                <w:sz w:val="20"/>
                <w:szCs w:val="20"/>
                <w:color w:val="auto"/>
              </w:rPr>
            </w:pPr>
            <w:r>
              <w:rPr>
                <w:rFonts w:ascii="Arial" w:cs="Arial" w:eastAsia="Arial" w:hAnsi="Arial"/>
                <w:sz w:val="14"/>
                <w:szCs w:val="14"/>
                <w:color w:val="7B7C80"/>
              </w:rPr>
              <w:t>The Vanguard Group</w:t>
            </w:r>
            <w:r>
              <w:rPr>
                <w:rFonts w:ascii="Arial" w:cs="Arial" w:eastAsia="Arial" w:hAnsi="Arial"/>
                <w:sz w:val="22"/>
                <w:szCs w:val="22"/>
                <w:color w:val="7B7C80"/>
                <w:vertAlign w:val="superscript"/>
              </w:rPr>
              <w:t>(2)</w:t>
            </w:r>
          </w:p>
        </w:tc>
        <w:tc>
          <w:tcPr>
            <w:tcW w:w="1580" w:type="dxa"/>
            <w:vAlign w:val="bottom"/>
            <w:tcBorders>
              <w:top w:val="single" w:sz="8" w:color="7B7C80"/>
            </w:tcBorders>
            <w:shd w:val="clear" w:color="auto" w:fill="E7E6E7"/>
          </w:tcPr>
          <w:p>
            <w:pPr>
              <w:jc w:val="right"/>
              <w:ind w:right="27"/>
              <w:spacing w:after="0"/>
              <w:rPr>
                <w:sz w:val="20"/>
                <w:szCs w:val="20"/>
                <w:color w:val="auto"/>
              </w:rPr>
            </w:pPr>
            <w:r>
              <w:rPr>
                <w:rFonts w:ascii="Arial" w:cs="Arial" w:eastAsia="Arial" w:hAnsi="Arial"/>
                <w:sz w:val="15"/>
                <w:szCs w:val="15"/>
                <w:color w:val="7B7C80"/>
              </w:rPr>
              <w:t>31,021,112</w:t>
            </w:r>
          </w:p>
        </w:tc>
        <w:tc>
          <w:tcPr>
            <w:tcW w:w="980" w:type="dxa"/>
            <w:vAlign w:val="bottom"/>
            <w:tcBorders>
              <w:top w:val="single" w:sz="8" w:color="7B7C80"/>
            </w:tcBorders>
            <w:shd w:val="clear" w:color="auto" w:fill="E7E6E7"/>
          </w:tcPr>
          <w:p>
            <w:pPr>
              <w:jc w:val="right"/>
              <w:spacing w:after="0"/>
              <w:rPr>
                <w:sz w:val="20"/>
                <w:szCs w:val="20"/>
                <w:color w:val="auto"/>
              </w:rPr>
            </w:pPr>
            <w:r>
              <w:rPr>
                <w:rFonts w:ascii="Arial" w:cs="Arial" w:eastAsia="Arial" w:hAnsi="Arial"/>
                <w:sz w:val="15"/>
                <w:szCs w:val="15"/>
                <w:color w:val="7B7C80"/>
              </w:rPr>
              <w:t>10.74</w:t>
            </w:r>
          </w:p>
        </w:tc>
        <w:tc>
          <w:tcPr>
            <w:tcW w:w="13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75"/>
        </w:trPr>
        <w:tc>
          <w:tcPr>
            <w:tcW w:w="1360" w:type="dxa"/>
            <w:vAlign w:val="bottom"/>
          </w:tcPr>
          <w:p>
            <w:pPr>
              <w:spacing w:after="0"/>
              <w:rPr>
                <w:sz w:val="15"/>
                <w:szCs w:val="15"/>
                <w:color w:val="auto"/>
              </w:rPr>
            </w:pPr>
          </w:p>
        </w:tc>
        <w:tc>
          <w:tcPr>
            <w:tcW w:w="5840" w:type="dxa"/>
            <w:vAlign w:val="bottom"/>
            <w:shd w:val="clear" w:color="auto" w:fill="E7E6E7"/>
          </w:tcPr>
          <w:p>
            <w:pPr>
              <w:ind w:left="180"/>
              <w:spacing w:after="0"/>
              <w:rPr>
                <w:sz w:val="20"/>
                <w:szCs w:val="20"/>
                <w:color w:val="auto"/>
              </w:rPr>
            </w:pPr>
            <w:r>
              <w:rPr>
                <w:rFonts w:ascii="Arial" w:cs="Arial" w:eastAsia="Arial" w:hAnsi="Arial"/>
                <w:sz w:val="15"/>
                <w:szCs w:val="15"/>
                <w:color w:val="7B7C80"/>
              </w:rPr>
              <w:t>100 Vanguard Boulevard</w:t>
            </w:r>
          </w:p>
        </w:tc>
        <w:tc>
          <w:tcPr>
            <w:tcW w:w="1580" w:type="dxa"/>
            <w:vAlign w:val="bottom"/>
            <w:shd w:val="clear" w:color="auto" w:fill="E7E6E7"/>
          </w:tcPr>
          <w:p>
            <w:pPr>
              <w:spacing w:after="0"/>
              <w:rPr>
                <w:sz w:val="15"/>
                <w:szCs w:val="15"/>
                <w:color w:val="auto"/>
              </w:rPr>
            </w:pPr>
          </w:p>
        </w:tc>
        <w:tc>
          <w:tcPr>
            <w:tcW w:w="980" w:type="dxa"/>
            <w:vAlign w:val="bottom"/>
            <w:shd w:val="clear" w:color="auto" w:fill="E7E6E7"/>
          </w:tcPr>
          <w:p>
            <w:pPr>
              <w:spacing w:after="0"/>
              <w:rPr>
                <w:sz w:val="15"/>
                <w:szCs w:val="15"/>
                <w:color w:val="auto"/>
              </w:rPr>
            </w:pPr>
          </w:p>
        </w:tc>
        <w:tc>
          <w:tcPr>
            <w:tcW w:w="134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9"/>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ind w:left="140"/>
              <w:spacing w:after="0" w:line="169" w:lineRule="exact"/>
              <w:rPr>
                <w:sz w:val="20"/>
                <w:szCs w:val="20"/>
                <w:color w:val="auto"/>
              </w:rPr>
            </w:pPr>
            <w:r>
              <w:rPr>
                <w:rFonts w:ascii="Arial" w:cs="Arial" w:eastAsia="Arial" w:hAnsi="Arial"/>
                <w:sz w:val="15"/>
                <w:szCs w:val="15"/>
                <w:color w:val="7B7C80"/>
              </w:rPr>
              <w:t>Malvern, Pennsylvania 19355</w:t>
            </w:r>
          </w:p>
        </w:tc>
        <w:tc>
          <w:tcPr>
            <w:tcW w:w="1580" w:type="dxa"/>
            <w:vAlign w:val="bottom"/>
            <w:tcBorders>
              <w:bottom w:val="single" w:sz="8" w:color="7B7C80"/>
            </w:tcBorders>
            <w:shd w:val="clear" w:color="auto" w:fill="E7E6E7"/>
          </w:tcPr>
          <w:p>
            <w:pPr>
              <w:spacing w:after="0"/>
              <w:rPr>
                <w:sz w:val="14"/>
                <w:szCs w:val="14"/>
                <w:color w:val="auto"/>
              </w:rPr>
            </w:pPr>
          </w:p>
        </w:tc>
        <w:tc>
          <w:tcPr>
            <w:tcW w:w="980" w:type="dxa"/>
            <w:vAlign w:val="bottom"/>
            <w:tcBorders>
              <w:bottom w:val="single" w:sz="8" w:color="7B7C80"/>
            </w:tcBorders>
            <w:shd w:val="clear" w:color="auto" w:fill="E7E6E7"/>
          </w:tcPr>
          <w:p>
            <w:pPr>
              <w:spacing w:after="0"/>
              <w:rPr>
                <w:sz w:val="14"/>
                <w:szCs w:val="14"/>
                <w:color w:val="auto"/>
              </w:rPr>
            </w:pP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0"/>
        </w:trPr>
        <w:tc>
          <w:tcPr>
            <w:tcW w:w="1360" w:type="dxa"/>
            <w:vAlign w:val="bottom"/>
          </w:tcPr>
          <w:p>
            <w:pPr>
              <w:spacing w:after="0"/>
              <w:rPr>
                <w:sz w:val="17"/>
                <w:szCs w:val="17"/>
                <w:color w:val="auto"/>
              </w:rPr>
            </w:pPr>
          </w:p>
        </w:tc>
        <w:tc>
          <w:tcPr>
            <w:tcW w:w="5840" w:type="dxa"/>
            <w:vAlign w:val="bottom"/>
          </w:tcPr>
          <w:p>
            <w:pPr>
              <w:spacing w:after="0" w:line="200" w:lineRule="exact"/>
              <w:rPr>
                <w:sz w:val="20"/>
                <w:szCs w:val="20"/>
                <w:color w:val="auto"/>
              </w:rPr>
            </w:pPr>
            <w:r>
              <w:rPr>
                <w:rFonts w:ascii="Arial" w:cs="Arial" w:eastAsia="Arial" w:hAnsi="Arial"/>
                <w:sz w:val="14"/>
                <w:szCs w:val="14"/>
                <w:color w:val="7B7C80"/>
              </w:rPr>
              <w:t>Nippon Life Insurance Company</w:t>
            </w:r>
            <w:r>
              <w:rPr>
                <w:rFonts w:ascii="Arial" w:cs="Arial" w:eastAsia="Arial" w:hAnsi="Arial"/>
                <w:sz w:val="23"/>
                <w:szCs w:val="23"/>
                <w:color w:val="7B7C80"/>
                <w:vertAlign w:val="superscript"/>
              </w:rPr>
              <w:t>(3)</w:t>
            </w:r>
          </w:p>
        </w:tc>
        <w:tc>
          <w:tcPr>
            <w:tcW w:w="1580" w:type="dxa"/>
            <w:vAlign w:val="bottom"/>
          </w:tcPr>
          <w:p>
            <w:pPr>
              <w:jc w:val="right"/>
              <w:ind w:right="27"/>
              <w:spacing w:after="0"/>
              <w:rPr>
                <w:sz w:val="20"/>
                <w:szCs w:val="20"/>
                <w:color w:val="auto"/>
              </w:rPr>
            </w:pPr>
            <w:r>
              <w:rPr>
                <w:rFonts w:ascii="Arial" w:cs="Arial" w:eastAsia="Arial" w:hAnsi="Arial"/>
                <w:sz w:val="15"/>
                <w:szCs w:val="15"/>
                <w:color w:val="7B7C80"/>
              </w:rPr>
              <w:t>18,137,000</w:t>
            </w:r>
          </w:p>
        </w:tc>
        <w:tc>
          <w:tcPr>
            <w:tcW w:w="980" w:type="dxa"/>
            <w:vAlign w:val="bottom"/>
          </w:tcPr>
          <w:p>
            <w:pPr>
              <w:jc w:val="right"/>
              <w:spacing w:after="0"/>
              <w:rPr>
                <w:sz w:val="20"/>
                <w:szCs w:val="20"/>
                <w:color w:val="auto"/>
              </w:rPr>
            </w:pPr>
            <w:r>
              <w:rPr>
                <w:rFonts w:ascii="Arial" w:cs="Arial" w:eastAsia="Arial" w:hAnsi="Arial"/>
                <w:sz w:val="15"/>
                <w:szCs w:val="15"/>
                <w:color w:val="7B7C80"/>
              </w:rPr>
              <w:t>6.29</w:t>
            </w:r>
          </w:p>
        </w:tc>
        <w:tc>
          <w:tcPr>
            <w:tcW w:w="13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72"/>
        </w:trPr>
        <w:tc>
          <w:tcPr>
            <w:tcW w:w="1360" w:type="dxa"/>
            <w:vAlign w:val="bottom"/>
          </w:tcPr>
          <w:p>
            <w:pPr>
              <w:spacing w:after="0"/>
              <w:rPr>
                <w:sz w:val="14"/>
                <w:szCs w:val="14"/>
                <w:color w:val="auto"/>
              </w:rPr>
            </w:pPr>
          </w:p>
        </w:tc>
        <w:tc>
          <w:tcPr>
            <w:tcW w:w="5840" w:type="dxa"/>
            <w:vAlign w:val="bottom"/>
          </w:tcPr>
          <w:p>
            <w:pPr>
              <w:ind w:left="180"/>
              <w:spacing w:after="0"/>
              <w:rPr>
                <w:sz w:val="20"/>
                <w:szCs w:val="20"/>
                <w:color w:val="auto"/>
              </w:rPr>
            </w:pPr>
            <w:r>
              <w:rPr>
                <w:rFonts w:ascii="Arial" w:cs="Arial" w:eastAsia="Arial" w:hAnsi="Arial"/>
                <w:sz w:val="15"/>
                <w:szCs w:val="15"/>
                <w:color w:val="7B7C80"/>
              </w:rPr>
              <w:t>3-5-12 Imabashi</w:t>
            </w:r>
          </w:p>
        </w:tc>
        <w:tc>
          <w:tcPr>
            <w:tcW w:w="15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1360" w:type="dxa"/>
            <w:vAlign w:val="bottom"/>
          </w:tcPr>
          <w:p>
            <w:pPr>
              <w:spacing w:after="0"/>
              <w:rPr>
                <w:sz w:val="14"/>
                <w:szCs w:val="14"/>
                <w:color w:val="auto"/>
              </w:rPr>
            </w:pPr>
          </w:p>
        </w:tc>
        <w:tc>
          <w:tcPr>
            <w:tcW w:w="5840" w:type="dxa"/>
            <w:vAlign w:val="bottom"/>
          </w:tcPr>
          <w:p>
            <w:pPr>
              <w:ind w:left="140"/>
              <w:spacing w:after="0"/>
              <w:rPr>
                <w:sz w:val="20"/>
                <w:szCs w:val="20"/>
                <w:color w:val="auto"/>
              </w:rPr>
            </w:pPr>
            <w:r>
              <w:rPr>
                <w:rFonts w:ascii="Arial" w:cs="Arial" w:eastAsia="Arial" w:hAnsi="Arial"/>
                <w:sz w:val="15"/>
                <w:szCs w:val="15"/>
                <w:color w:val="7B7C80"/>
              </w:rPr>
              <w:t>Chuo-ku</w:t>
            </w:r>
          </w:p>
        </w:tc>
        <w:tc>
          <w:tcPr>
            <w:tcW w:w="15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1360" w:type="dxa"/>
            <w:vAlign w:val="bottom"/>
          </w:tcPr>
          <w:p>
            <w:pPr>
              <w:spacing w:after="0"/>
              <w:rPr>
                <w:sz w:val="14"/>
                <w:szCs w:val="14"/>
                <w:color w:val="auto"/>
              </w:rPr>
            </w:pPr>
          </w:p>
        </w:tc>
        <w:tc>
          <w:tcPr>
            <w:tcW w:w="5840" w:type="dxa"/>
            <w:vAlign w:val="bottom"/>
            <w:tcBorders>
              <w:bottom w:val="single" w:sz="8" w:color="7B7C80"/>
            </w:tcBorders>
          </w:tcPr>
          <w:p>
            <w:pPr>
              <w:ind w:left="140"/>
              <w:spacing w:after="0" w:line="169" w:lineRule="exact"/>
              <w:rPr>
                <w:sz w:val="20"/>
                <w:szCs w:val="20"/>
                <w:color w:val="auto"/>
              </w:rPr>
            </w:pPr>
            <w:r>
              <w:rPr>
                <w:rFonts w:ascii="Arial" w:cs="Arial" w:eastAsia="Arial" w:hAnsi="Arial"/>
                <w:sz w:val="15"/>
                <w:szCs w:val="15"/>
                <w:color w:val="7B7C80"/>
              </w:rPr>
              <w:t>Osaka, 541-8501, Japan</w:t>
            </w:r>
          </w:p>
        </w:tc>
        <w:tc>
          <w:tcPr>
            <w:tcW w:w="1580" w:type="dxa"/>
            <w:vAlign w:val="bottom"/>
            <w:tcBorders>
              <w:bottom w:val="single" w:sz="8" w:color="7B7C80"/>
            </w:tcBorders>
          </w:tcPr>
          <w:p>
            <w:pPr>
              <w:spacing w:after="0"/>
              <w:rPr>
                <w:sz w:val="14"/>
                <w:szCs w:val="14"/>
                <w:color w:val="auto"/>
              </w:rPr>
            </w:pPr>
          </w:p>
        </w:tc>
        <w:tc>
          <w:tcPr>
            <w:tcW w:w="980" w:type="dxa"/>
            <w:vAlign w:val="bottom"/>
            <w:tcBorders>
              <w:bottom w:val="single" w:sz="8" w:color="7B7C80"/>
            </w:tcBorders>
          </w:tcPr>
          <w:p>
            <w:pPr>
              <w:spacing w:after="0"/>
              <w:rPr>
                <w:sz w:val="14"/>
                <w:szCs w:val="14"/>
                <w:color w:val="auto"/>
              </w:rPr>
            </w:pP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8"/>
        </w:trPr>
        <w:tc>
          <w:tcPr>
            <w:tcW w:w="1360" w:type="dxa"/>
            <w:vAlign w:val="bottom"/>
          </w:tcPr>
          <w:p>
            <w:pPr>
              <w:spacing w:after="0"/>
              <w:rPr>
                <w:sz w:val="17"/>
                <w:szCs w:val="17"/>
                <w:color w:val="auto"/>
              </w:rPr>
            </w:pPr>
          </w:p>
        </w:tc>
        <w:tc>
          <w:tcPr>
            <w:tcW w:w="5840" w:type="dxa"/>
            <w:vAlign w:val="bottom"/>
            <w:shd w:val="clear" w:color="auto" w:fill="E7E6E7"/>
          </w:tcPr>
          <w:p>
            <w:pPr>
              <w:spacing w:after="0" w:line="198" w:lineRule="exact"/>
              <w:rPr>
                <w:sz w:val="20"/>
                <w:szCs w:val="20"/>
                <w:color w:val="auto"/>
              </w:rPr>
            </w:pPr>
            <w:r>
              <w:rPr>
                <w:rFonts w:ascii="Arial" w:cs="Arial" w:eastAsia="Arial" w:hAnsi="Arial"/>
                <w:sz w:val="14"/>
                <w:szCs w:val="14"/>
                <w:color w:val="7B7C80"/>
              </w:rPr>
              <w:t>Capital Research Global Investors</w:t>
            </w:r>
            <w:r>
              <w:rPr>
                <w:rFonts w:ascii="Arial" w:cs="Arial" w:eastAsia="Arial" w:hAnsi="Arial"/>
                <w:sz w:val="22"/>
                <w:szCs w:val="22"/>
                <w:color w:val="7B7C80"/>
                <w:vertAlign w:val="superscript"/>
              </w:rPr>
              <w:t>(4)</w:t>
            </w:r>
          </w:p>
        </w:tc>
        <w:tc>
          <w:tcPr>
            <w:tcW w:w="1580" w:type="dxa"/>
            <w:vAlign w:val="bottom"/>
            <w:shd w:val="clear" w:color="auto" w:fill="E7E6E7"/>
          </w:tcPr>
          <w:p>
            <w:pPr>
              <w:jc w:val="right"/>
              <w:ind w:right="27"/>
              <w:spacing w:after="0"/>
              <w:rPr>
                <w:sz w:val="20"/>
                <w:szCs w:val="20"/>
                <w:color w:val="auto"/>
              </w:rPr>
            </w:pPr>
            <w:r>
              <w:rPr>
                <w:rFonts w:ascii="Arial" w:cs="Arial" w:eastAsia="Arial" w:hAnsi="Arial"/>
                <w:sz w:val="15"/>
                <w:szCs w:val="15"/>
                <w:color w:val="7B7C80"/>
              </w:rPr>
              <w:t>15,028,500</w:t>
            </w:r>
          </w:p>
        </w:tc>
        <w:tc>
          <w:tcPr>
            <w:tcW w:w="980" w:type="dxa"/>
            <w:vAlign w:val="bottom"/>
            <w:shd w:val="clear" w:color="auto" w:fill="E7E6E7"/>
          </w:tcPr>
          <w:p>
            <w:pPr>
              <w:jc w:val="right"/>
              <w:spacing w:after="0"/>
              <w:rPr>
                <w:sz w:val="20"/>
                <w:szCs w:val="20"/>
                <w:color w:val="auto"/>
              </w:rPr>
            </w:pPr>
            <w:r>
              <w:rPr>
                <w:rFonts w:ascii="Arial" w:cs="Arial" w:eastAsia="Arial" w:hAnsi="Arial"/>
                <w:sz w:val="15"/>
                <w:szCs w:val="15"/>
                <w:color w:val="7B7C80"/>
              </w:rPr>
              <w:t>5.20</w:t>
            </w:r>
          </w:p>
        </w:tc>
        <w:tc>
          <w:tcPr>
            <w:tcW w:w="13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75"/>
        </w:trPr>
        <w:tc>
          <w:tcPr>
            <w:tcW w:w="1360" w:type="dxa"/>
            <w:vAlign w:val="bottom"/>
          </w:tcPr>
          <w:p>
            <w:pPr>
              <w:spacing w:after="0"/>
              <w:rPr>
                <w:sz w:val="15"/>
                <w:szCs w:val="15"/>
                <w:color w:val="auto"/>
              </w:rPr>
            </w:pPr>
          </w:p>
        </w:tc>
        <w:tc>
          <w:tcPr>
            <w:tcW w:w="5840" w:type="dxa"/>
            <w:vAlign w:val="bottom"/>
            <w:shd w:val="clear" w:color="auto" w:fill="E7E6E7"/>
          </w:tcPr>
          <w:p>
            <w:pPr>
              <w:ind w:left="180"/>
              <w:spacing w:after="0"/>
              <w:rPr>
                <w:sz w:val="20"/>
                <w:szCs w:val="20"/>
                <w:color w:val="auto"/>
              </w:rPr>
            </w:pPr>
            <w:r>
              <w:rPr>
                <w:rFonts w:ascii="Arial" w:cs="Arial" w:eastAsia="Arial" w:hAnsi="Arial"/>
                <w:sz w:val="15"/>
                <w:szCs w:val="15"/>
                <w:color w:val="7B7C80"/>
              </w:rPr>
              <w:t>333 South Hope Street</w:t>
            </w:r>
          </w:p>
        </w:tc>
        <w:tc>
          <w:tcPr>
            <w:tcW w:w="1580" w:type="dxa"/>
            <w:vAlign w:val="bottom"/>
            <w:shd w:val="clear" w:color="auto" w:fill="E7E6E7"/>
          </w:tcPr>
          <w:p>
            <w:pPr>
              <w:spacing w:after="0"/>
              <w:rPr>
                <w:sz w:val="15"/>
                <w:szCs w:val="15"/>
                <w:color w:val="auto"/>
              </w:rPr>
            </w:pPr>
          </w:p>
        </w:tc>
        <w:tc>
          <w:tcPr>
            <w:tcW w:w="980" w:type="dxa"/>
            <w:vAlign w:val="bottom"/>
            <w:shd w:val="clear" w:color="auto" w:fill="E7E6E7"/>
          </w:tcPr>
          <w:p>
            <w:pPr>
              <w:spacing w:after="0"/>
              <w:rPr>
                <w:sz w:val="15"/>
                <w:szCs w:val="15"/>
                <w:color w:val="auto"/>
              </w:rPr>
            </w:pPr>
          </w:p>
        </w:tc>
        <w:tc>
          <w:tcPr>
            <w:tcW w:w="134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9"/>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ind w:left="140"/>
              <w:spacing w:after="0" w:line="169" w:lineRule="exact"/>
              <w:rPr>
                <w:sz w:val="20"/>
                <w:szCs w:val="20"/>
                <w:color w:val="auto"/>
              </w:rPr>
            </w:pPr>
            <w:r>
              <w:rPr>
                <w:rFonts w:ascii="Arial" w:cs="Arial" w:eastAsia="Arial" w:hAnsi="Arial"/>
                <w:sz w:val="15"/>
                <w:szCs w:val="15"/>
                <w:color w:val="7B7C80"/>
              </w:rPr>
              <w:t>Los Angeles, California 90071</w:t>
            </w:r>
          </w:p>
        </w:tc>
        <w:tc>
          <w:tcPr>
            <w:tcW w:w="1580" w:type="dxa"/>
            <w:vAlign w:val="bottom"/>
            <w:tcBorders>
              <w:bottom w:val="single" w:sz="8" w:color="7B7C80"/>
            </w:tcBorders>
            <w:shd w:val="clear" w:color="auto" w:fill="E7E6E7"/>
          </w:tcPr>
          <w:p>
            <w:pPr>
              <w:spacing w:after="0"/>
              <w:rPr>
                <w:sz w:val="14"/>
                <w:szCs w:val="14"/>
                <w:color w:val="auto"/>
              </w:rPr>
            </w:pPr>
          </w:p>
        </w:tc>
        <w:tc>
          <w:tcPr>
            <w:tcW w:w="980" w:type="dxa"/>
            <w:vAlign w:val="bottom"/>
            <w:tcBorders>
              <w:bottom w:val="single" w:sz="8" w:color="7B7C80"/>
            </w:tcBorders>
            <w:shd w:val="clear" w:color="auto" w:fill="E7E6E7"/>
          </w:tcPr>
          <w:p>
            <w:pPr>
              <w:spacing w:after="0"/>
              <w:rPr>
                <w:sz w:val="14"/>
                <w:szCs w:val="14"/>
                <w:color w:val="auto"/>
              </w:rPr>
            </w:pP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0"/>
        </w:trPr>
        <w:tc>
          <w:tcPr>
            <w:tcW w:w="1360" w:type="dxa"/>
            <w:vAlign w:val="bottom"/>
          </w:tcPr>
          <w:p>
            <w:pPr>
              <w:spacing w:after="0"/>
              <w:rPr>
                <w:sz w:val="17"/>
                <w:szCs w:val="17"/>
                <w:color w:val="auto"/>
              </w:rPr>
            </w:pPr>
          </w:p>
        </w:tc>
        <w:tc>
          <w:tcPr>
            <w:tcW w:w="5840" w:type="dxa"/>
            <w:vAlign w:val="bottom"/>
          </w:tcPr>
          <w:p>
            <w:pPr>
              <w:spacing w:after="0" w:line="200" w:lineRule="exact"/>
              <w:rPr>
                <w:sz w:val="20"/>
                <w:szCs w:val="20"/>
                <w:color w:val="auto"/>
              </w:rPr>
            </w:pPr>
            <w:r>
              <w:rPr>
                <w:rFonts w:ascii="Arial" w:cs="Arial" w:eastAsia="Arial" w:hAnsi="Arial"/>
                <w:sz w:val="14"/>
                <w:szCs w:val="14"/>
                <w:color w:val="7B7C80"/>
              </w:rPr>
              <w:t>BlackRock Inc.</w:t>
            </w:r>
            <w:r>
              <w:rPr>
                <w:rFonts w:ascii="Arial" w:cs="Arial" w:eastAsia="Arial" w:hAnsi="Arial"/>
                <w:sz w:val="23"/>
                <w:szCs w:val="23"/>
                <w:color w:val="7B7C80"/>
                <w:vertAlign w:val="superscript"/>
              </w:rPr>
              <w:t>(5)</w:t>
            </w:r>
          </w:p>
        </w:tc>
        <w:tc>
          <w:tcPr>
            <w:tcW w:w="1580" w:type="dxa"/>
            <w:vAlign w:val="bottom"/>
          </w:tcPr>
          <w:p>
            <w:pPr>
              <w:jc w:val="right"/>
              <w:ind w:right="27"/>
              <w:spacing w:after="0"/>
              <w:rPr>
                <w:sz w:val="20"/>
                <w:szCs w:val="20"/>
                <w:color w:val="auto"/>
              </w:rPr>
            </w:pPr>
            <w:r>
              <w:rPr>
                <w:rFonts w:ascii="Arial" w:cs="Arial" w:eastAsia="Arial" w:hAnsi="Arial"/>
                <w:sz w:val="15"/>
                <w:szCs w:val="15"/>
                <w:color w:val="7B7C80"/>
              </w:rPr>
              <w:t>19,698,655</w:t>
            </w:r>
          </w:p>
        </w:tc>
        <w:tc>
          <w:tcPr>
            <w:tcW w:w="980" w:type="dxa"/>
            <w:vAlign w:val="bottom"/>
          </w:tcPr>
          <w:p>
            <w:pPr>
              <w:jc w:val="right"/>
              <w:spacing w:after="0"/>
              <w:rPr>
                <w:sz w:val="20"/>
                <w:szCs w:val="20"/>
                <w:color w:val="auto"/>
              </w:rPr>
            </w:pPr>
            <w:r>
              <w:rPr>
                <w:rFonts w:ascii="Arial" w:cs="Arial" w:eastAsia="Arial" w:hAnsi="Arial"/>
                <w:sz w:val="15"/>
                <w:szCs w:val="15"/>
                <w:color w:val="7B7C80"/>
              </w:rPr>
              <w:t>6.80</w:t>
            </w:r>
          </w:p>
        </w:tc>
        <w:tc>
          <w:tcPr>
            <w:tcW w:w="13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7"/>
        </w:trPr>
        <w:tc>
          <w:tcPr>
            <w:tcW w:w="1360" w:type="dxa"/>
            <w:vAlign w:val="bottom"/>
          </w:tcPr>
          <w:p>
            <w:pPr>
              <w:spacing w:after="0"/>
              <w:rPr>
                <w:sz w:val="17"/>
                <w:szCs w:val="17"/>
                <w:color w:val="auto"/>
              </w:rPr>
            </w:pPr>
          </w:p>
        </w:tc>
        <w:tc>
          <w:tcPr>
            <w:tcW w:w="5840" w:type="dxa"/>
            <w:vAlign w:val="bottom"/>
          </w:tcPr>
          <w:p>
            <w:pPr>
              <w:ind w:left="180"/>
              <w:spacing w:after="0" w:line="207" w:lineRule="exact"/>
              <w:rPr>
                <w:sz w:val="20"/>
                <w:szCs w:val="20"/>
                <w:color w:val="auto"/>
              </w:rPr>
            </w:pPr>
            <w:r>
              <w:rPr>
                <w:rFonts w:ascii="Arial" w:cs="Arial" w:eastAsia="Arial" w:hAnsi="Arial"/>
                <w:sz w:val="14"/>
                <w:szCs w:val="14"/>
                <w:color w:val="7B7C80"/>
              </w:rPr>
              <w:t>55 East 52</w:t>
            </w:r>
            <w:r>
              <w:rPr>
                <w:rFonts w:ascii="Arial" w:cs="Arial" w:eastAsia="Arial" w:hAnsi="Arial"/>
                <w:sz w:val="23"/>
                <w:szCs w:val="23"/>
                <w:color w:val="7B7C80"/>
                <w:vertAlign w:val="superscript"/>
              </w:rPr>
              <w:t>nd</w:t>
            </w:r>
            <w:r>
              <w:rPr>
                <w:rFonts w:ascii="Arial" w:cs="Arial" w:eastAsia="Arial" w:hAnsi="Arial"/>
                <w:sz w:val="14"/>
                <w:szCs w:val="14"/>
                <w:color w:val="7B7C80"/>
              </w:rPr>
              <w:t xml:space="preserve"> Street</w:t>
            </w:r>
          </w:p>
        </w:tc>
        <w:tc>
          <w:tcPr>
            <w:tcW w:w="158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69"/>
        </w:trPr>
        <w:tc>
          <w:tcPr>
            <w:tcW w:w="1360" w:type="dxa"/>
            <w:vAlign w:val="bottom"/>
          </w:tcPr>
          <w:p>
            <w:pPr>
              <w:spacing w:after="0"/>
              <w:rPr>
                <w:sz w:val="14"/>
                <w:szCs w:val="14"/>
                <w:color w:val="auto"/>
              </w:rPr>
            </w:pPr>
          </w:p>
        </w:tc>
        <w:tc>
          <w:tcPr>
            <w:tcW w:w="5840" w:type="dxa"/>
            <w:vAlign w:val="bottom"/>
            <w:tcBorders>
              <w:bottom w:val="single" w:sz="8" w:color="7B7C80"/>
            </w:tcBorders>
          </w:tcPr>
          <w:p>
            <w:pPr>
              <w:ind w:left="140"/>
              <w:spacing w:after="0" w:line="169" w:lineRule="exact"/>
              <w:rPr>
                <w:sz w:val="20"/>
                <w:szCs w:val="20"/>
                <w:color w:val="auto"/>
              </w:rPr>
            </w:pPr>
            <w:r>
              <w:rPr>
                <w:rFonts w:ascii="Arial" w:cs="Arial" w:eastAsia="Arial" w:hAnsi="Arial"/>
                <w:sz w:val="15"/>
                <w:szCs w:val="15"/>
                <w:color w:val="7B7C80"/>
              </w:rPr>
              <w:t>New York, NY 10055</w:t>
            </w:r>
          </w:p>
        </w:tc>
        <w:tc>
          <w:tcPr>
            <w:tcW w:w="1580" w:type="dxa"/>
            <w:vAlign w:val="bottom"/>
            <w:tcBorders>
              <w:bottom w:val="single" w:sz="8" w:color="7B7C80"/>
            </w:tcBorders>
          </w:tcPr>
          <w:p>
            <w:pPr>
              <w:spacing w:after="0"/>
              <w:rPr>
                <w:sz w:val="14"/>
                <w:szCs w:val="14"/>
                <w:color w:val="auto"/>
              </w:rPr>
            </w:pPr>
          </w:p>
        </w:tc>
        <w:tc>
          <w:tcPr>
            <w:tcW w:w="980" w:type="dxa"/>
            <w:vAlign w:val="bottom"/>
            <w:tcBorders>
              <w:bottom w:val="single" w:sz="8" w:color="7B7C80"/>
            </w:tcBorders>
          </w:tcPr>
          <w:p>
            <w:pPr>
              <w:spacing w:after="0"/>
              <w:rPr>
                <w:sz w:val="14"/>
                <w:szCs w:val="14"/>
                <w:color w:val="auto"/>
              </w:rPr>
            </w:pP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Betsy J. Bernard</w:t>
            </w:r>
          </w:p>
        </w:tc>
        <w:tc>
          <w:tcPr>
            <w:tcW w:w="1580" w:type="dxa"/>
            <w:vAlign w:val="bottom"/>
            <w:tcBorders>
              <w:bottom w:val="single" w:sz="8" w:color="7B7C80"/>
            </w:tcBorders>
            <w:shd w:val="clear" w:color="auto" w:fill="E7E6E7"/>
          </w:tcPr>
          <w:p>
            <w:pPr>
              <w:jc w:val="right"/>
              <w:ind w:right="27"/>
              <w:spacing w:after="0" w:line="164" w:lineRule="exact"/>
              <w:rPr>
                <w:sz w:val="20"/>
                <w:szCs w:val="20"/>
                <w:color w:val="auto"/>
              </w:rPr>
            </w:pPr>
            <w:r>
              <w:rPr>
                <w:rFonts w:ascii="Arial" w:cs="Arial" w:eastAsia="Arial" w:hAnsi="Arial"/>
                <w:sz w:val="15"/>
                <w:szCs w:val="15"/>
                <w:color w:val="7B7C80"/>
              </w:rPr>
              <w:t>41,647</w:t>
            </w:r>
          </w:p>
        </w:tc>
        <w:tc>
          <w:tcPr>
            <w:tcW w:w="9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Jocelyn Carter-Miller</w:t>
            </w:r>
          </w:p>
        </w:tc>
        <w:tc>
          <w:tcPr>
            <w:tcW w:w="1580" w:type="dxa"/>
            <w:vAlign w:val="bottom"/>
            <w:tcBorders>
              <w:bottom w:val="single" w:sz="8" w:color="7B7C80"/>
            </w:tcBorders>
          </w:tcPr>
          <w:p>
            <w:pPr>
              <w:jc w:val="right"/>
              <w:ind w:right="27"/>
              <w:spacing w:after="0" w:line="164" w:lineRule="exact"/>
              <w:rPr>
                <w:sz w:val="20"/>
                <w:szCs w:val="20"/>
                <w:color w:val="auto"/>
              </w:rPr>
            </w:pPr>
            <w:r>
              <w:rPr>
                <w:rFonts w:ascii="Arial" w:cs="Arial" w:eastAsia="Arial" w:hAnsi="Arial"/>
                <w:sz w:val="15"/>
                <w:szCs w:val="15"/>
                <w:color w:val="7B7C80"/>
              </w:rPr>
              <w:t>42,238</w:t>
            </w:r>
          </w:p>
        </w:tc>
        <w:tc>
          <w:tcPr>
            <w:tcW w:w="9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Michael T. Dan</w:t>
            </w:r>
          </w:p>
        </w:tc>
        <w:tc>
          <w:tcPr>
            <w:tcW w:w="1580" w:type="dxa"/>
            <w:vAlign w:val="bottom"/>
            <w:tcBorders>
              <w:bottom w:val="single" w:sz="8" w:color="7B7C80"/>
            </w:tcBorders>
            <w:shd w:val="clear" w:color="auto" w:fill="E7E6E7"/>
          </w:tcPr>
          <w:p>
            <w:pPr>
              <w:jc w:val="right"/>
              <w:ind w:right="27"/>
              <w:spacing w:after="0" w:line="164" w:lineRule="exact"/>
              <w:rPr>
                <w:sz w:val="20"/>
                <w:szCs w:val="20"/>
                <w:color w:val="auto"/>
              </w:rPr>
            </w:pPr>
            <w:r>
              <w:rPr>
                <w:rFonts w:ascii="Arial" w:cs="Arial" w:eastAsia="Arial" w:hAnsi="Arial"/>
                <w:sz w:val="15"/>
                <w:szCs w:val="15"/>
                <w:color w:val="7B7C80"/>
              </w:rPr>
              <w:t>47,247</w:t>
            </w:r>
          </w:p>
        </w:tc>
        <w:tc>
          <w:tcPr>
            <w:tcW w:w="9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Dennis H. Ferro</w:t>
            </w:r>
          </w:p>
        </w:tc>
        <w:tc>
          <w:tcPr>
            <w:tcW w:w="1580" w:type="dxa"/>
            <w:vAlign w:val="bottom"/>
            <w:tcBorders>
              <w:bottom w:val="single" w:sz="8" w:color="7B7C80"/>
            </w:tcBorders>
          </w:tcPr>
          <w:p>
            <w:pPr>
              <w:jc w:val="right"/>
              <w:ind w:right="27"/>
              <w:spacing w:after="0" w:line="164" w:lineRule="exact"/>
              <w:rPr>
                <w:sz w:val="20"/>
                <w:szCs w:val="20"/>
                <w:color w:val="auto"/>
              </w:rPr>
            </w:pPr>
            <w:r>
              <w:rPr>
                <w:rFonts w:ascii="Arial" w:cs="Arial" w:eastAsia="Arial" w:hAnsi="Arial"/>
                <w:sz w:val="15"/>
                <w:szCs w:val="15"/>
                <w:color w:val="7B7C80"/>
              </w:rPr>
              <w:t>24,917</w:t>
            </w:r>
          </w:p>
        </w:tc>
        <w:tc>
          <w:tcPr>
            <w:tcW w:w="9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C. Daniel Gelatt</w:t>
            </w:r>
          </w:p>
        </w:tc>
        <w:tc>
          <w:tcPr>
            <w:tcW w:w="1580" w:type="dxa"/>
            <w:vAlign w:val="bottom"/>
            <w:tcBorders>
              <w:bottom w:val="single" w:sz="8" w:color="7B7C80"/>
            </w:tcBorders>
            <w:shd w:val="clear" w:color="auto" w:fill="E7E6E7"/>
          </w:tcPr>
          <w:p>
            <w:pPr>
              <w:jc w:val="right"/>
              <w:ind w:right="27"/>
              <w:spacing w:after="0" w:line="164" w:lineRule="exact"/>
              <w:rPr>
                <w:sz w:val="20"/>
                <w:szCs w:val="20"/>
                <w:color w:val="auto"/>
              </w:rPr>
            </w:pPr>
            <w:r>
              <w:rPr>
                <w:rFonts w:ascii="Arial" w:cs="Arial" w:eastAsia="Arial" w:hAnsi="Arial"/>
                <w:sz w:val="15"/>
                <w:szCs w:val="15"/>
                <w:color w:val="7B7C80"/>
              </w:rPr>
              <w:t>108,494</w:t>
            </w:r>
          </w:p>
        </w:tc>
        <w:tc>
          <w:tcPr>
            <w:tcW w:w="9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Sandra L. Helton</w:t>
            </w:r>
          </w:p>
        </w:tc>
        <w:tc>
          <w:tcPr>
            <w:tcW w:w="1580" w:type="dxa"/>
            <w:vAlign w:val="bottom"/>
            <w:tcBorders>
              <w:bottom w:val="single" w:sz="8" w:color="7B7C80"/>
            </w:tcBorders>
          </w:tcPr>
          <w:p>
            <w:pPr>
              <w:jc w:val="right"/>
              <w:ind w:right="27"/>
              <w:spacing w:after="0" w:line="164" w:lineRule="exact"/>
              <w:rPr>
                <w:sz w:val="20"/>
                <w:szCs w:val="20"/>
                <w:color w:val="auto"/>
              </w:rPr>
            </w:pPr>
            <w:r>
              <w:rPr>
                <w:rFonts w:ascii="Arial" w:cs="Arial" w:eastAsia="Arial" w:hAnsi="Arial"/>
                <w:sz w:val="15"/>
                <w:szCs w:val="15"/>
                <w:color w:val="7B7C80"/>
              </w:rPr>
              <w:t>40,979</w:t>
            </w:r>
          </w:p>
        </w:tc>
        <w:tc>
          <w:tcPr>
            <w:tcW w:w="9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Roger C. Hochschild</w:t>
            </w:r>
          </w:p>
        </w:tc>
        <w:tc>
          <w:tcPr>
            <w:tcW w:w="1580" w:type="dxa"/>
            <w:vAlign w:val="bottom"/>
            <w:tcBorders>
              <w:bottom w:val="single" w:sz="8" w:color="7B7C80"/>
            </w:tcBorders>
            <w:shd w:val="clear" w:color="auto" w:fill="E7E6E7"/>
          </w:tcPr>
          <w:p>
            <w:pPr>
              <w:jc w:val="right"/>
              <w:ind w:right="27"/>
              <w:spacing w:after="0" w:line="164" w:lineRule="exact"/>
              <w:rPr>
                <w:sz w:val="20"/>
                <w:szCs w:val="20"/>
                <w:color w:val="auto"/>
              </w:rPr>
            </w:pPr>
            <w:r>
              <w:rPr>
                <w:rFonts w:ascii="Arial" w:cs="Arial" w:eastAsia="Arial" w:hAnsi="Arial"/>
                <w:sz w:val="15"/>
                <w:szCs w:val="15"/>
                <w:color w:val="7B7C80"/>
              </w:rPr>
              <w:t>6,282</w:t>
            </w:r>
          </w:p>
        </w:tc>
        <w:tc>
          <w:tcPr>
            <w:tcW w:w="9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Scott M. Mills</w:t>
            </w:r>
          </w:p>
        </w:tc>
        <w:tc>
          <w:tcPr>
            <w:tcW w:w="1580" w:type="dxa"/>
            <w:vAlign w:val="bottom"/>
            <w:tcBorders>
              <w:bottom w:val="single" w:sz="8" w:color="7B7C80"/>
            </w:tcBorders>
          </w:tcPr>
          <w:p>
            <w:pPr>
              <w:jc w:val="right"/>
              <w:ind w:right="27"/>
              <w:spacing w:after="0" w:line="164" w:lineRule="exact"/>
              <w:rPr>
                <w:sz w:val="20"/>
                <w:szCs w:val="20"/>
                <w:color w:val="auto"/>
              </w:rPr>
            </w:pPr>
            <w:r>
              <w:rPr>
                <w:rFonts w:ascii="Arial" w:cs="Arial" w:eastAsia="Arial" w:hAnsi="Arial"/>
                <w:sz w:val="15"/>
                <w:szCs w:val="15"/>
                <w:color w:val="7B7C80"/>
              </w:rPr>
              <w:t>2,447</w:t>
            </w:r>
          </w:p>
        </w:tc>
        <w:tc>
          <w:tcPr>
            <w:tcW w:w="9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Diane C. Nordin</w:t>
            </w:r>
          </w:p>
        </w:tc>
        <w:tc>
          <w:tcPr>
            <w:tcW w:w="1580" w:type="dxa"/>
            <w:vAlign w:val="bottom"/>
            <w:tcBorders>
              <w:bottom w:val="single" w:sz="8" w:color="7B7C80"/>
            </w:tcBorders>
            <w:shd w:val="clear" w:color="auto" w:fill="E7E6E7"/>
          </w:tcPr>
          <w:p>
            <w:pPr>
              <w:jc w:val="right"/>
              <w:ind w:right="27"/>
              <w:spacing w:after="0" w:line="164" w:lineRule="exact"/>
              <w:rPr>
                <w:sz w:val="20"/>
                <w:szCs w:val="20"/>
                <w:color w:val="auto"/>
              </w:rPr>
            </w:pPr>
            <w:r>
              <w:rPr>
                <w:rFonts w:ascii="Arial" w:cs="Arial" w:eastAsia="Arial" w:hAnsi="Arial"/>
                <w:sz w:val="15"/>
                <w:szCs w:val="15"/>
                <w:color w:val="7B7C80"/>
              </w:rPr>
              <w:t>0</w:t>
            </w:r>
          </w:p>
        </w:tc>
        <w:tc>
          <w:tcPr>
            <w:tcW w:w="9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Blair C. Pickerell</w:t>
            </w:r>
          </w:p>
        </w:tc>
        <w:tc>
          <w:tcPr>
            <w:tcW w:w="1580" w:type="dxa"/>
            <w:vAlign w:val="bottom"/>
            <w:tcBorders>
              <w:bottom w:val="single" w:sz="8" w:color="7B7C80"/>
            </w:tcBorders>
          </w:tcPr>
          <w:p>
            <w:pPr>
              <w:jc w:val="right"/>
              <w:ind w:right="27"/>
              <w:spacing w:after="0" w:line="164" w:lineRule="exact"/>
              <w:rPr>
                <w:sz w:val="20"/>
                <w:szCs w:val="20"/>
                <w:color w:val="auto"/>
              </w:rPr>
            </w:pPr>
            <w:r>
              <w:rPr>
                <w:rFonts w:ascii="Arial" w:cs="Arial" w:eastAsia="Arial" w:hAnsi="Arial"/>
                <w:sz w:val="15"/>
                <w:szCs w:val="15"/>
                <w:color w:val="7B7C80"/>
              </w:rPr>
              <w:t>5,095</w:t>
            </w:r>
          </w:p>
        </w:tc>
        <w:tc>
          <w:tcPr>
            <w:tcW w:w="9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Elizabeth E. Tallett</w:t>
            </w:r>
          </w:p>
        </w:tc>
        <w:tc>
          <w:tcPr>
            <w:tcW w:w="1580" w:type="dxa"/>
            <w:vAlign w:val="bottom"/>
            <w:tcBorders>
              <w:bottom w:val="single" w:sz="8" w:color="7B7C80"/>
            </w:tcBorders>
            <w:shd w:val="clear" w:color="auto" w:fill="E7E6E7"/>
          </w:tcPr>
          <w:p>
            <w:pPr>
              <w:jc w:val="right"/>
              <w:ind w:right="27"/>
              <w:spacing w:after="0" w:line="164" w:lineRule="exact"/>
              <w:rPr>
                <w:sz w:val="20"/>
                <w:szCs w:val="20"/>
                <w:color w:val="auto"/>
              </w:rPr>
            </w:pPr>
            <w:r>
              <w:rPr>
                <w:rFonts w:ascii="Arial" w:cs="Arial" w:eastAsia="Arial" w:hAnsi="Arial"/>
                <w:sz w:val="15"/>
                <w:szCs w:val="15"/>
                <w:color w:val="7B7C80"/>
              </w:rPr>
              <w:t>47,057</w:t>
            </w:r>
          </w:p>
        </w:tc>
        <w:tc>
          <w:tcPr>
            <w:tcW w:w="9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Nora M. Everett</w:t>
            </w:r>
          </w:p>
        </w:tc>
        <w:tc>
          <w:tcPr>
            <w:tcW w:w="1580" w:type="dxa"/>
            <w:vAlign w:val="bottom"/>
            <w:tcBorders>
              <w:bottom w:val="single" w:sz="8" w:color="7B7C80"/>
            </w:tcBorders>
          </w:tcPr>
          <w:p>
            <w:pPr>
              <w:jc w:val="right"/>
              <w:ind w:right="27"/>
              <w:spacing w:after="0" w:line="164" w:lineRule="exact"/>
              <w:rPr>
                <w:sz w:val="20"/>
                <w:szCs w:val="20"/>
                <w:color w:val="auto"/>
              </w:rPr>
            </w:pPr>
            <w:r>
              <w:rPr>
                <w:rFonts w:ascii="Arial" w:cs="Arial" w:eastAsia="Arial" w:hAnsi="Arial"/>
                <w:sz w:val="15"/>
                <w:szCs w:val="15"/>
                <w:color w:val="7B7C80"/>
              </w:rPr>
              <w:t>132,859</w:t>
            </w:r>
          </w:p>
        </w:tc>
        <w:tc>
          <w:tcPr>
            <w:tcW w:w="9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Daniel J. Houston</w:t>
            </w:r>
          </w:p>
        </w:tc>
        <w:tc>
          <w:tcPr>
            <w:tcW w:w="1580" w:type="dxa"/>
            <w:vAlign w:val="bottom"/>
            <w:tcBorders>
              <w:bottom w:val="single" w:sz="8" w:color="7B7C80"/>
            </w:tcBorders>
            <w:shd w:val="clear" w:color="auto" w:fill="E7E6E7"/>
          </w:tcPr>
          <w:p>
            <w:pPr>
              <w:jc w:val="right"/>
              <w:ind w:right="27"/>
              <w:spacing w:after="0" w:line="164" w:lineRule="exact"/>
              <w:rPr>
                <w:sz w:val="20"/>
                <w:szCs w:val="20"/>
                <w:color w:val="auto"/>
              </w:rPr>
            </w:pPr>
            <w:r>
              <w:rPr>
                <w:rFonts w:ascii="Arial" w:cs="Arial" w:eastAsia="Arial" w:hAnsi="Arial"/>
                <w:sz w:val="15"/>
                <w:szCs w:val="15"/>
                <w:color w:val="7B7C80"/>
              </w:rPr>
              <w:t>478,450</w:t>
            </w:r>
          </w:p>
        </w:tc>
        <w:tc>
          <w:tcPr>
            <w:tcW w:w="9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tcPr>
          <w:p>
            <w:pPr>
              <w:spacing w:after="0" w:line="164" w:lineRule="exact"/>
              <w:rPr>
                <w:sz w:val="20"/>
                <w:szCs w:val="20"/>
                <w:color w:val="auto"/>
              </w:rPr>
            </w:pPr>
            <w:r>
              <w:rPr>
                <w:rFonts w:ascii="Arial" w:cs="Arial" w:eastAsia="Arial" w:hAnsi="Arial"/>
                <w:sz w:val="15"/>
                <w:szCs w:val="15"/>
                <w:color w:val="7B7C80"/>
              </w:rPr>
              <w:t>Terrance J. Lillis</w:t>
            </w:r>
          </w:p>
        </w:tc>
        <w:tc>
          <w:tcPr>
            <w:tcW w:w="1580" w:type="dxa"/>
            <w:vAlign w:val="bottom"/>
            <w:tcBorders>
              <w:bottom w:val="single" w:sz="8" w:color="7B7C80"/>
            </w:tcBorders>
          </w:tcPr>
          <w:p>
            <w:pPr>
              <w:jc w:val="right"/>
              <w:ind w:right="27"/>
              <w:spacing w:after="0" w:line="164" w:lineRule="exact"/>
              <w:rPr>
                <w:sz w:val="20"/>
                <w:szCs w:val="20"/>
                <w:color w:val="auto"/>
              </w:rPr>
            </w:pPr>
            <w:r>
              <w:rPr>
                <w:rFonts w:ascii="Arial" w:cs="Arial" w:eastAsia="Arial" w:hAnsi="Arial"/>
                <w:sz w:val="15"/>
                <w:szCs w:val="15"/>
                <w:color w:val="7B7C80"/>
              </w:rPr>
              <w:t>226,589</w:t>
            </w:r>
          </w:p>
        </w:tc>
        <w:tc>
          <w:tcPr>
            <w:tcW w:w="980" w:type="dxa"/>
            <w:vAlign w:val="bottom"/>
            <w:tcBorders>
              <w:bottom w:val="single" w:sz="8" w:color="7B7C80"/>
            </w:tcBorders>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James P. McCaughan</w:t>
            </w:r>
          </w:p>
        </w:tc>
        <w:tc>
          <w:tcPr>
            <w:tcW w:w="1580" w:type="dxa"/>
            <w:vAlign w:val="bottom"/>
            <w:tcBorders>
              <w:bottom w:val="single" w:sz="8" w:color="7B7C80"/>
            </w:tcBorders>
            <w:shd w:val="clear" w:color="auto" w:fill="E7E6E7"/>
          </w:tcPr>
          <w:p>
            <w:pPr>
              <w:jc w:val="right"/>
              <w:ind w:right="27"/>
              <w:spacing w:after="0" w:line="164" w:lineRule="exact"/>
              <w:rPr>
                <w:sz w:val="20"/>
                <w:szCs w:val="20"/>
                <w:color w:val="auto"/>
              </w:rPr>
            </w:pPr>
            <w:r>
              <w:rPr>
                <w:rFonts w:ascii="Arial" w:cs="Arial" w:eastAsia="Arial" w:hAnsi="Arial"/>
                <w:sz w:val="15"/>
                <w:szCs w:val="15"/>
                <w:color w:val="7B7C80"/>
              </w:rPr>
              <w:t>435,507</w:t>
            </w:r>
          </w:p>
        </w:tc>
        <w:tc>
          <w:tcPr>
            <w:tcW w:w="9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8"/>
        </w:trPr>
        <w:tc>
          <w:tcPr>
            <w:tcW w:w="1360" w:type="dxa"/>
            <w:vAlign w:val="bottom"/>
          </w:tcPr>
          <w:p>
            <w:pPr>
              <w:spacing w:after="0"/>
              <w:rPr>
                <w:sz w:val="17"/>
                <w:szCs w:val="17"/>
                <w:color w:val="auto"/>
              </w:rPr>
            </w:pPr>
          </w:p>
        </w:tc>
        <w:tc>
          <w:tcPr>
            <w:tcW w:w="5840" w:type="dxa"/>
            <w:vAlign w:val="bottom"/>
            <w:tcBorders>
              <w:bottom w:val="single" w:sz="8" w:color="7B7C80"/>
            </w:tcBorders>
          </w:tcPr>
          <w:p>
            <w:pPr>
              <w:spacing w:after="0" w:line="198" w:lineRule="exact"/>
              <w:rPr>
                <w:sz w:val="20"/>
                <w:szCs w:val="20"/>
                <w:color w:val="auto"/>
              </w:rPr>
            </w:pPr>
            <w:r>
              <w:rPr>
                <w:rFonts w:ascii="Arial" w:cs="Arial" w:eastAsia="Arial" w:hAnsi="Arial"/>
                <w:sz w:val="14"/>
                <w:szCs w:val="14"/>
                <w:color w:val="7B7C80"/>
              </w:rPr>
              <w:t>Deanna D. Strable</w:t>
            </w:r>
            <w:r>
              <w:rPr>
                <w:rFonts w:ascii="Arial" w:cs="Arial" w:eastAsia="Arial" w:hAnsi="Arial"/>
                <w:sz w:val="22"/>
                <w:szCs w:val="22"/>
                <w:color w:val="7B7C80"/>
                <w:vertAlign w:val="superscript"/>
              </w:rPr>
              <w:t>(6)</w:t>
            </w:r>
          </w:p>
        </w:tc>
        <w:tc>
          <w:tcPr>
            <w:tcW w:w="1580" w:type="dxa"/>
            <w:vAlign w:val="bottom"/>
            <w:tcBorders>
              <w:bottom w:val="single" w:sz="8" w:color="7B7C80"/>
            </w:tcBorders>
          </w:tcPr>
          <w:p>
            <w:pPr>
              <w:jc w:val="right"/>
              <w:ind w:right="27"/>
              <w:spacing w:after="0"/>
              <w:rPr>
                <w:sz w:val="20"/>
                <w:szCs w:val="20"/>
                <w:color w:val="auto"/>
              </w:rPr>
            </w:pPr>
            <w:r>
              <w:rPr>
                <w:rFonts w:ascii="Arial" w:cs="Arial" w:eastAsia="Arial" w:hAnsi="Arial"/>
                <w:sz w:val="15"/>
                <w:szCs w:val="15"/>
                <w:color w:val="7B7C80"/>
              </w:rPr>
              <w:t>264,914</w:t>
            </w:r>
          </w:p>
        </w:tc>
        <w:tc>
          <w:tcPr>
            <w:tcW w:w="980" w:type="dxa"/>
            <w:vAlign w:val="bottom"/>
            <w:tcBorders>
              <w:bottom w:val="single" w:sz="8" w:color="7B7C80"/>
            </w:tcBorders>
          </w:tcPr>
          <w:p>
            <w:pPr>
              <w:jc w:val="right"/>
              <w:spacing w:after="0"/>
              <w:rPr>
                <w:sz w:val="20"/>
                <w:szCs w:val="20"/>
                <w:color w:val="auto"/>
              </w:rPr>
            </w:pPr>
            <w:r>
              <w:rPr>
                <w:rFonts w:ascii="Arial" w:cs="Arial" w:eastAsia="Arial" w:hAnsi="Arial"/>
                <w:sz w:val="15"/>
                <w:szCs w:val="15"/>
                <w:color w:val="7B7C80"/>
              </w:rPr>
              <w:t>*</w:t>
            </w:r>
          </w:p>
        </w:tc>
        <w:tc>
          <w:tcPr>
            <w:tcW w:w="13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63"/>
        </w:trPr>
        <w:tc>
          <w:tcPr>
            <w:tcW w:w="1360" w:type="dxa"/>
            <w:vAlign w:val="bottom"/>
          </w:tcPr>
          <w:p>
            <w:pPr>
              <w:spacing w:after="0"/>
              <w:rPr>
                <w:sz w:val="14"/>
                <w:szCs w:val="14"/>
                <w:color w:val="auto"/>
              </w:rPr>
            </w:pPr>
          </w:p>
        </w:tc>
        <w:tc>
          <w:tcPr>
            <w:tcW w:w="5840" w:type="dxa"/>
            <w:vAlign w:val="bottom"/>
            <w:tcBorders>
              <w:bottom w:val="single" w:sz="8" w:color="7B7C80"/>
            </w:tcBorders>
            <w:shd w:val="clear" w:color="auto" w:fill="E7E6E7"/>
          </w:tcPr>
          <w:p>
            <w:pPr>
              <w:spacing w:after="0" w:line="164" w:lineRule="exact"/>
              <w:rPr>
                <w:sz w:val="20"/>
                <w:szCs w:val="20"/>
                <w:color w:val="auto"/>
              </w:rPr>
            </w:pPr>
            <w:r>
              <w:rPr>
                <w:rFonts w:ascii="Arial" w:cs="Arial" w:eastAsia="Arial" w:hAnsi="Arial"/>
                <w:sz w:val="15"/>
                <w:szCs w:val="15"/>
                <w:color w:val="7B7C80"/>
              </w:rPr>
              <w:t>Luis Valdés</w:t>
            </w:r>
          </w:p>
        </w:tc>
        <w:tc>
          <w:tcPr>
            <w:tcW w:w="1580" w:type="dxa"/>
            <w:vAlign w:val="bottom"/>
            <w:tcBorders>
              <w:bottom w:val="single" w:sz="8" w:color="7B7C80"/>
            </w:tcBorders>
            <w:shd w:val="clear" w:color="auto" w:fill="E7E6E7"/>
          </w:tcPr>
          <w:p>
            <w:pPr>
              <w:jc w:val="right"/>
              <w:ind w:right="27"/>
              <w:spacing w:after="0" w:line="164" w:lineRule="exact"/>
              <w:rPr>
                <w:sz w:val="20"/>
                <w:szCs w:val="20"/>
                <w:color w:val="auto"/>
              </w:rPr>
            </w:pPr>
            <w:r>
              <w:rPr>
                <w:rFonts w:ascii="Arial" w:cs="Arial" w:eastAsia="Arial" w:hAnsi="Arial"/>
                <w:sz w:val="15"/>
                <w:szCs w:val="15"/>
                <w:color w:val="7B7C80"/>
              </w:rPr>
              <w:t>89,833</w:t>
            </w:r>
          </w:p>
        </w:tc>
        <w:tc>
          <w:tcPr>
            <w:tcW w:w="980" w:type="dxa"/>
            <w:vAlign w:val="bottom"/>
            <w:tcBorders>
              <w:bottom w:val="single" w:sz="8" w:color="7B7C80"/>
            </w:tcBorders>
            <w:shd w:val="clear" w:color="auto" w:fill="E7E6E7"/>
          </w:tcPr>
          <w:p>
            <w:pPr>
              <w:jc w:val="right"/>
              <w:spacing w:after="0" w:line="164" w:lineRule="exact"/>
              <w:rPr>
                <w:sz w:val="20"/>
                <w:szCs w:val="20"/>
                <w:color w:val="auto"/>
              </w:rPr>
            </w:pPr>
            <w:r>
              <w:rPr>
                <w:rFonts w:ascii="Arial" w:cs="Arial" w:eastAsia="Arial" w:hAnsi="Arial"/>
                <w:sz w:val="15"/>
                <w:szCs w:val="15"/>
                <w:color w:val="7B7C80"/>
              </w:rPr>
              <w:t>*</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360" w:type="dxa"/>
            <w:vAlign w:val="bottom"/>
          </w:tcPr>
          <w:p>
            <w:pPr>
              <w:spacing w:after="0"/>
              <w:rPr>
                <w:sz w:val="14"/>
                <w:szCs w:val="14"/>
                <w:color w:val="auto"/>
              </w:rPr>
            </w:pPr>
          </w:p>
        </w:tc>
        <w:tc>
          <w:tcPr>
            <w:tcW w:w="5840" w:type="dxa"/>
            <w:vAlign w:val="bottom"/>
            <w:tcBorders>
              <w:bottom w:val="single" w:sz="8" w:color="009CCC"/>
            </w:tcBorders>
          </w:tcPr>
          <w:p>
            <w:pPr>
              <w:spacing w:after="0" w:line="164" w:lineRule="exact"/>
              <w:rPr>
                <w:sz w:val="20"/>
                <w:szCs w:val="20"/>
                <w:color w:val="auto"/>
              </w:rPr>
            </w:pPr>
            <w:r>
              <w:rPr>
                <w:rFonts w:ascii="Arial" w:cs="Arial" w:eastAsia="Arial" w:hAnsi="Arial"/>
                <w:sz w:val="15"/>
                <w:szCs w:val="15"/>
                <w:color w:val="7B7C80"/>
              </w:rPr>
              <w:t>All Directors and Executive Officers as a group (22 persons)</w:t>
            </w:r>
          </w:p>
        </w:tc>
        <w:tc>
          <w:tcPr>
            <w:tcW w:w="1580" w:type="dxa"/>
            <w:vAlign w:val="bottom"/>
            <w:tcBorders>
              <w:bottom w:val="single" w:sz="8" w:color="009CCC"/>
            </w:tcBorders>
          </w:tcPr>
          <w:p>
            <w:pPr>
              <w:jc w:val="right"/>
              <w:ind w:right="27"/>
              <w:spacing w:after="0" w:line="164" w:lineRule="exact"/>
              <w:rPr>
                <w:sz w:val="20"/>
                <w:szCs w:val="20"/>
                <w:color w:val="auto"/>
              </w:rPr>
            </w:pPr>
            <w:r>
              <w:rPr>
                <w:rFonts w:ascii="Arial" w:cs="Arial" w:eastAsia="Arial" w:hAnsi="Arial"/>
                <w:sz w:val="15"/>
                <w:szCs w:val="15"/>
                <w:color w:val="7B7C80"/>
              </w:rPr>
              <w:t>4,311,330</w:t>
            </w:r>
          </w:p>
        </w:tc>
        <w:tc>
          <w:tcPr>
            <w:tcW w:w="980" w:type="dxa"/>
            <w:vAlign w:val="bottom"/>
            <w:tcBorders>
              <w:bottom w:val="single" w:sz="8" w:color="009CCC"/>
            </w:tcBorders>
          </w:tcPr>
          <w:p>
            <w:pPr>
              <w:jc w:val="right"/>
              <w:spacing w:after="0" w:line="164" w:lineRule="exact"/>
              <w:rPr>
                <w:sz w:val="20"/>
                <w:szCs w:val="20"/>
                <w:color w:val="auto"/>
              </w:rPr>
            </w:pPr>
            <w:r>
              <w:rPr>
                <w:rFonts w:ascii="Arial" w:cs="Arial" w:eastAsia="Arial" w:hAnsi="Arial"/>
                <w:sz w:val="15"/>
                <w:szCs w:val="15"/>
                <w:color w:val="7B7C80"/>
              </w:rPr>
              <w:t>1.50</w:t>
            </w:r>
          </w:p>
        </w:tc>
        <w:tc>
          <w:tcPr>
            <w:tcW w:w="13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502"/>
        </w:trPr>
        <w:tc>
          <w:tcPr>
            <w:tcW w:w="1360" w:type="dxa"/>
            <w:vAlign w:val="bottom"/>
          </w:tcPr>
          <w:p>
            <w:pPr>
              <w:spacing w:after="0"/>
              <w:rPr>
                <w:sz w:val="24"/>
                <w:szCs w:val="24"/>
                <w:color w:val="auto"/>
              </w:rPr>
            </w:pPr>
          </w:p>
        </w:tc>
        <w:tc>
          <w:tcPr>
            <w:tcW w:w="58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320" w:type="dxa"/>
            <w:vAlign w:val="bottom"/>
            <w:gridSpan w:val="2"/>
          </w:tcPr>
          <w:p>
            <w:pPr>
              <w:jc w:val="right"/>
              <w:ind w:right="1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59</w:t>
            </w:r>
          </w:p>
        </w:tc>
        <w:tc>
          <w:tcPr>
            <w:tcW w:w="0" w:type="dxa"/>
            <w:vAlign w:val="bottom"/>
          </w:tcPr>
          <w:p>
            <w:pPr>
              <w:spacing w:after="0"/>
              <w:rPr>
                <w:sz w:val="1"/>
                <w:szCs w:val="1"/>
                <w:color w:val="auto"/>
              </w:rPr>
            </w:pPr>
          </w:p>
        </w:tc>
      </w:tr>
      <w:tr>
        <w:trPr>
          <w:trHeight w:val="318"/>
        </w:trPr>
        <w:tc>
          <w:tcPr>
            <w:tcW w:w="1360" w:type="dxa"/>
            <w:vAlign w:val="bottom"/>
            <w:tcBorders>
              <w:bottom w:val="single" w:sz="8" w:color="808080"/>
            </w:tcBorders>
          </w:tcPr>
          <w:p>
            <w:pPr>
              <w:spacing w:after="0"/>
              <w:rPr>
                <w:sz w:val="24"/>
                <w:szCs w:val="24"/>
                <w:color w:val="auto"/>
              </w:rPr>
            </w:pPr>
          </w:p>
        </w:tc>
        <w:tc>
          <w:tcPr>
            <w:tcW w:w="5840" w:type="dxa"/>
            <w:vAlign w:val="bottom"/>
            <w:tcBorders>
              <w:bottom w:val="single" w:sz="8" w:color="808080"/>
            </w:tcBorders>
          </w:tcPr>
          <w:p>
            <w:pPr>
              <w:spacing w:after="0"/>
              <w:rPr>
                <w:sz w:val="24"/>
                <w:szCs w:val="24"/>
                <w:color w:val="auto"/>
              </w:rPr>
            </w:pPr>
          </w:p>
        </w:tc>
        <w:tc>
          <w:tcPr>
            <w:tcW w:w="1580" w:type="dxa"/>
            <w:vAlign w:val="bottom"/>
            <w:tcBorders>
              <w:bottom w:val="single" w:sz="8" w:color="808080"/>
            </w:tcBorders>
          </w:tcPr>
          <w:p>
            <w:pPr>
              <w:spacing w:after="0"/>
              <w:rPr>
                <w:sz w:val="24"/>
                <w:szCs w:val="24"/>
                <w:color w:val="auto"/>
              </w:rPr>
            </w:pPr>
          </w:p>
        </w:tc>
        <w:tc>
          <w:tcPr>
            <w:tcW w:w="980" w:type="dxa"/>
            <w:vAlign w:val="bottom"/>
            <w:tcBorders>
              <w:bottom w:val="single" w:sz="8" w:color="808080"/>
            </w:tcBorders>
          </w:tcPr>
          <w:p>
            <w:pPr>
              <w:spacing w:after="0"/>
              <w:rPr>
                <w:sz w:val="24"/>
                <w:szCs w:val="24"/>
                <w:color w:val="auto"/>
              </w:rPr>
            </w:pPr>
          </w:p>
        </w:tc>
        <w:tc>
          <w:tcPr>
            <w:tcW w:w="134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3072130</wp:posOffset>
            </wp:positionH>
            <wp:positionV relativeFrom="paragraph">
              <wp:posOffset>-416560</wp:posOffset>
            </wp:positionV>
            <wp:extent cx="960120" cy="28384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62" w:name="page63"/>
    <w:bookmarkEnd w:id="62"/>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84" w:lineRule="exact"/>
        <w:rPr>
          <w:sz w:val="20"/>
          <w:szCs w:val="20"/>
          <w:color w:val="auto"/>
        </w:rPr>
      </w:pPr>
    </w:p>
    <w:p>
      <w:pPr>
        <w:ind w:left="448" w:hanging="448"/>
        <w:spacing w:after="0"/>
        <w:tabs>
          <w:tab w:leader="none" w:pos="448" w:val="left"/>
        </w:tabs>
        <w:numPr>
          <w:ilvl w:val="0"/>
          <w:numId w:val="70"/>
        </w:numPr>
        <w:rPr>
          <w:rFonts w:ascii="Arial" w:cs="Arial" w:eastAsia="Arial" w:hAnsi="Arial"/>
          <w:sz w:val="12"/>
          <w:szCs w:val="12"/>
          <w:color w:val="7B7C80"/>
        </w:rPr>
      </w:pPr>
      <w:r>
        <w:rPr>
          <w:rFonts w:ascii="Arial" w:cs="Arial" w:eastAsia="Arial" w:hAnsi="Arial"/>
          <w:sz w:val="12"/>
          <w:szCs w:val="12"/>
          <w:color w:val="7B7C80"/>
        </w:rPr>
        <w:t>The number of shares represents less than one percent of the number of shares of Common Stock outstanding.</w:t>
      </w:r>
    </w:p>
    <w:p>
      <w:pPr>
        <w:spacing w:after="0" w:line="137" w:lineRule="exact"/>
        <w:rPr>
          <w:sz w:val="20"/>
          <w:szCs w:val="20"/>
          <w:color w:val="auto"/>
        </w:rPr>
      </w:pPr>
    </w:p>
    <w:p>
      <w:pPr>
        <w:jc w:val="both"/>
        <w:ind w:left="448" w:hanging="448"/>
        <w:spacing w:after="0" w:line="244" w:lineRule="auto"/>
        <w:tabs>
          <w:tab w:leader="none" w:pos="448" w:val="left"/>
        </w:tabs>
        <w:numPr>
          <w:ilvl w:val="0"/>
          <w:numId w:val="71"/>
        </w:numPr>
        <w:rPr>
          <w:rFonts w:ascii="Arial" w:cs="Arial" w:eastAsia="Arial" w:hAnsi="Arial"/>
          <w:sz w:val="12"/>
          <w:szCs w:val="12"/>
          <w:color w:val="7B7C80"/>
        </w:rPr>
      </w:pPr>
      <w:r>
        <w:rPr>
          <w:rFonts w:ascii="Arial" w:cs="Arial" w:eastAsia="Arial" w:hAnsi="Arial"/>
          <w:sz w:val="12"/>
          <w:szCs w:val="12"/>
          <w:color w:val="7B7C80"/>
        </w:rPr>
        <w:t>Includes beneficial ownership of shares which each person named in this table has the right to acquire on or before May 15, 2018 pursuant to previously awarded stock options, RSUs, and performance units that, although scheduled to be paid in shares in more than 60 days, would be paid immediately upon termination of service, as follows: Ms. Bernard, 39,867; Ms. Carter Miller, 41,968; Mr. Dan, 37,247; Mr. Ferro, 23,917; Mr. Gelatt, 44,943; Ms. Helton, 39,867; Mr. Hochschild, 6,282; Mr. Mills, 2,447; Ms. Nordin, 0; Mr. Pickerell, 5,095; Ms. Tallett, 44,424; Ms. Everett, 96,124; Mr. Houston, 332,799; Mr. Lillis, 225,814; Mr. McCaughan, 296,976; Ms. Strable, 145,840; Mr. Valdés, 28,254; and all other executive officers as a group, 609,491.</w:t>
      </w:r>
    </w:p>
    <w:p>
      <w:pPr>
        <w:spacing w:after="0" w:line="126" w:lineRule="exact"/>
        <w:rPr>
          <w:rFonts w:ascii="Arial" w:cs="Arial" w:eastAsia="Arial" w:hAnsi="Arial"/>
          <w:sz w:val="12"/>
          <w:szCs w:val="12"/>
          <w:color w:val="7B7C80"/>
        </w:rPr>
      </w:pPr>
    </w:p>
    <w:p>
      <w:pPr>
        <w:jc w:val="both"/>
        <w:ind w:left="448" w:hanging="448"/>
        <w:spacing w:after="0" w:line="246" w:lineRule="auto"/>
        <w:tabs>
          <w:tab w:leader="none" w:pos="448" w:val="left"/>
        </w:tabs>
        <w:numPr>
          <w:ilvl w:val="0"/>
          <w:numId w:val="71"/>
        </w:numPr>
        <w:rPr>
          <w:rFonts w:ascii="Arial" w:cs="Arial" w:eastAsia="Arial" w:hAnsi="Arial"/>
          <w:sz w:val="12"/>
          <w:szCs w:val="12"/>
          <w:color w:val="7B7C80"/>
        </w:rPr>
      </w:pPr>
      <w:r>
        <w:rPr>
          <w:rFonts w:ascii="Arial" w:cs="Arial" w:eastAsia="Arial" w:hAnsi="Arial"/>
          <w:sz w:val="12"/>
          <w:szCs w:val="12"/>
          <w:color w:val="7B7C80"/>
        </w:rPr>
        <w:t>The information regarding beneficial ownership by The Vanguard Group is based solely on an amended Schedule 13G filed by it with the SEC on February 12, 2018, which provided information as of December 31, 2017. According to the Schedule 13G, Vanguard has sole voting power with respect to 384,289 shares; shared voting power with respect to 68,453 shares; sole investment power with respect to 30,578,946 shares; and shared investment power with respect to 442,166 shares.</w:t>
      </w:r>
    </w:p>
    <w:p>
      <w:pPr>
        <w:spacing w:after="0" w:line="125" w:lineRule="exact"/>
        <w:rPr>
          <w:rFonts w:ascii="Arial" w:cs="Arial" w:eastAsia="Arial" w:hAnsi="Arial"/>
          <w:sz w:val="12"/>
          <w:szCs w:val="12"/>
          <w:color w:val="7B7C80"/>
        </w:rPr>
      </w:pPr>
    </w:p>
    <w:p>
      <w:pPr>
        <w:jc w:val="both"/>
        <w:ind w:left="448" w:right="20" w:hanging="448"/>
        <w:spacing w:after="0" w:line="246" w:lineRule="auto"/>
        <w:tabs>
          <w:tab w:leader="none" w:pos="448" w:val="left"/>
        </w:tabs>
        <w:numPr>
          <w:ilvl w:val="0"/>
          <w:numId w:val="71"/>
        </w:numPr>
        <w:rPr>
          <w:rFonts w:ascii="Arial" w:cs="Arial" w:eastAsia="Arial" w:hAnsi="Arial"/>
          <w:sz w:val="12"/>
          <w:szCs w:val="12"/>
          <w:color w:val="7B7C80"/>
        </w:rPr>
      </w:pPr>
      <w:r>
        <w:rPr>
          <w:rFonts w:ascii="Arial" w:cs="Arial" w:eastAsia="Arial" w:hAnsi="Arial"/>
          <w:sz w:val="12"/>
          <w:szCs w:val="12"/>
          <w:color w:val="7B7C80"/>
        </w:rPr>
        <w:t>The information regarding beneficial ownership by Nippon Life Insurance Company is based solely on a Schedule 13G filed by it with the SEC on February 28, 2008, which provided information as of February 21, 2008. According to the Schedule 13G, Nippon Life has sole voting power with respect to 18,137,000 shares; shared voting power with respect to 0 shares; sole investment power with respect to 18,137,000 shares; and shared investment power with respect to 0 shares.</w:t>
      </w:r>
    </w:p>
    <w:p>
      <w:pPr>
        <w:spacing w:after="0" w:line="125" w:lineRule="exact"/>
        <w:rPr>
          <w:rFonts w:ascii="Arial" w:cs="Arial" w:eastAsia="Arial" w:hAnsi="Arial"/>
          <w:sz w:val="12"/>
          <w:szCs w:val="12"/>
          <w:color w:val="7B7C80"/>
        </w:rPr>
      </w:pPr>
    </w:p>
    <w:p>
      <w:pPr>
        <w:jc w:val="both"/>
        <w:ind w:left="448" w:hanging="448"/>
        <w:spacing w:after="0" w:line="246" w:lineRule="auto"/>
        <w:tabs>
          <w:tab w:leader="none" w:pos="448" w:val="left"/>
        </w:tabs>
        <w:numPr>
          <w:ilvl w:val="0"/>
          <w:numId w:val="71"/>
        </w:numPr>
        <w:rPr>
          <w:rFonts w:ascii="Arial" w:cs="Arial" w:eastAsia="Arial" w:hAnsi="Arial"/>
          <w:sz w:val="12"/>
          <w:szCs w:val="12"/>
          <w:color w:val="7B7C80"/>
        </w:rPr>
      </w:pPr>
      <w:r>
        <w:rPr>
          <w:rFonts w:ascii="Arial" w:cs="Arial" w:eastAsia="Arial" w:hAnsi="Arial"/>
          <w:sz w:val="12"/>
          <w:szCs w:val="12"/>
          <w:color w:val="7B7C80"/>
        </w:rPr>
        <w:t>The information regarding beneficial ownership by Capital Research Global Investors is based solely on a Schedule 13G filed by it with the SEC on February 14, 2018, which provided information as of December 29, 2017. According to the Schedule 13G, Capital Research Global Investors has sole voting power with respect to 15,028,500 shares; shared voting power with respect to 0 shares; sole investment power with respect to 15,028,500 shares; and shared investment power with respect to 0 shares.</w:t>
      </w:r>
    </w:p>
    <w:p>
      <w:pPr>
        <w:spacing w:after="0" w:line="125" w:lineRule="exact"/>
        <w:rPr>
          <w:rFonts w:ascii="Arial" w:cs="Arial" w:eastAsia="Arial" w:hAnsi="Arial"/>
          <w:sz w:val="12"/>
          <w:szCs w:val="12"/>
          <w:color w:val="7B7C80"/>
        </w:rPr>
      </w:pPr>
    </w:p>
    <w:p>
      <w:pPr>
        <w:jc w:val="both"/>
        <w:ind w:left="448" w:hanging="448"/>
        <w:spacing w:after="0" w:line="246" w:lineRule="auto"/>
        <w:tabs>
          <w:tab w:leader="none" w:pos="448" w:val="left"/>
        </w:tabs>
        <w:numPr>
          <w:ilvl w:val="0"/>
          <w:numId w:val="71"/>
        </w:numPr>
        <w:rPr>
          <w:rFonts w:ascii="Arial" w:cs="Arial" w:eastAsia="Arial" w:hAnsi="Arial"/>
          <w:sz w:val="12"/>
          <w:szCs w:val="12"/>
          <w:color w:val="7B7C80"/>
        </w:rPr>
      </w:pPr>
      <w:r>
        <w:rPr>
          <w:rFonts w:ascii="Arial" w:cs="Arial" w:eastAsia="Arial" w:hAnsi="Arial"/>
          <w:sz w:val="12"/>
          <w:szCs w:val="12"/>
          <w:color w:val="7B7C80"/>
        </w:rPr>
        <w:t>The information regarding beneficial ownership by BlackRock Inc.is based solely on an amended Schedule 13G filed by it with the SEC on January 29, 2018, which provided information as of December 31, 2017. According to the Schedule 13G, BlackRock has sole voting power with respect to 16,904,572 shares; shared voting power with respect to 0 shares; sole investment power with respect to 19,698,655 shares; and shared investment power with respect to 0 shares.</w:t>
      </w:r>
    </w:p>
    <w:p>
      <w:pPr>
        <w:spacing w:after="0" w:line="125" w:lineRule="exact"/>
        <w:rPr>
          <w:rFonts w:ascii="Arial" w:cs="Arial" w:eastAsia="Arial" w:hAnsi="Arial"/>
          <w:sz w:val="12"/>
          <w:szCs w:val="12"/>
          <w:color w:val="7B7C80"/>
        </w:rPr>
      </w:pPr>
    </w:p>
    <w:p>
      <w:pPr>
        <w:ind w:left="448" w:hanging="448"/>
        <w:spacing w:after="0"/>
        <w:tabs>
          <w:tab w:leader="none" w:pos="448" w:val="left"/>
        </w:tabs>
        <w:numPr>
          <w:ilvl w:val="0"/>
          <w:numId w:val="71"/>
        </w:numPr>
        <w:rPr>
          <w:rFonts w:ascii="Arial" w:cs="Arial" w:eastAsia="Arial" w:hAnsi="Arial"/>
          <w:sz w:val="12"/>
          <w:szCs w:val="12"/>
          <w:color w:val="7B7C80"/>
        </w:rPr>
      </w:pPr>
      <w:r>
        <w:rPr>
          <w:rFonts w:ascii="Arial" w:cs="Arial" w:eastAsia="Arial" w:hAnsi="Arial"/>
          <w:sz w:val="12"/>
          <w:szCs w:val="12"/>
          <w:color w:val="7B7C80"/>
        </w:rPr>
        <w:t>Includes shares owned by Ms. Strable's spouse.</w:t>
      </w:r>
    </w:p>
    <w:p>
      <w:pPr>
        <w:spacing w:after="0" w:line="181" w:lineRule="exact"/>
        <w:rPr>
          <w:sz w:val="20"/>
          <w:szCs w:val="20"/>
          <w:color w:val="auto"/>
        </w:rPr>
      </w:pPr>
    </w:p>
    <w:p>
      <w:pPr>
        <w:jc w:val="both"/>
        <w:ind w:left="8"/>
        <w:spacing w:after="0" w:line="241" w:lineRule="auto"/>
        <w:rPr>
          <w:sz w:val="20"/>
          <w:szCs w:val="20"/>
          <w:color w:val="auto"/>
        </w:rPr>
      </w:pPr>
      <w:r>
        <w:rPr>
          <w:rFonts w:ascii="Arial" w:cs="Arial" w:eastAsia="Arial" w:hAnsi="Arial"/>
          <w:sz w:val="15"/>
          <w:szCs w:val="15"/>
          <w:color w:val="7B7C80"/>
        </w:rPr>
        <w:t>In addition to beneficial ownership of Common Stock, the Company's Directors and Executive Officers also hold different forms of "stock units" that are not reported in the security ownership table but represent additional financial interests that are subject to the same market risk as Common Stock. These units include shares that may be acquired after May 15, 2018, pursuant to previously awarded stock options, RSUs, performance share units and nontransferable accounting entry units such as phantom stock units issued pursuant to Company stock based compensation and benefit plans. The value of such units is the same as the value of the corresponding number of shares of Common Stock.</w:t>
      </w:r>
    </w:p>
    <w:p>
      <w:pPr>
        <w:spacing w:after="0" w:line="177" w:lineRule="exact"/>
        <w:rPr>
          <w:sz w:val="20"/>
          <w:szCs w:val="20"/>
          <w:color w:val="auto"/>
        </w:rPr>
      </w:pPr>
    </w:p>
    <w:p>
      <w:pPr>
        <w:jc w:val="both"/>
        <w:ind w:left="8"/>
        <w:spacing w:after="0" w:line="241" w:lineRule="auto"/>
        <w:rPr>
          <w:sz w:val="20"/>
          <w:szCs w:val="20"/>
          <w:color w:val="auto"/>
        </w:rPr>
      </w:pPr>
      <w:r>
        <w:rPr>
          <w:rFonts w:ascii="Arial" w:cs="Arial" w:eastAsia="Arial" w:hAnsi="Arial"/>
          <w:sz w:val="15"/>
          <w:szCs w:val="15"/>
          <w:color w:val="7B7C80"/>
        </w:rPr>
        <w:t>See "Directors' Compensation" on pages 20-22 for a discussion of the options and RSUs granted to Directors under the Principal Financial Group, Inc. 2014 Directors Stock Plan and the phantom stock units credited to Directors who participate in the Deferred Compensation Plan for nonemployee Directors of Principal Financial Group, Inc. See "Compensation Discussion and Analysis" beginning on page 24 for a discussion of the performance units credited to officers who defer receipt of awards under a long term performance plan, the options and RSUs granted under the 2014 Stock Incentive Plan, and phantom stock units credited to officers that defer salary into an employer stock fund available under the Excess Plan.</w:t>
      </w:r>
    </w:p>
    <w:p>
      <w:pPr>
        <w:spacing w:after="0" w:line="177"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As of March 16, 2018, the Directors and Executive Officers named in the security ownership table hold a pecuniary interest in the following number of units: Ms. Bernard, 2,076; Ms. Carter Miller, 2,076; Mr. Dan, 17,214; Mr. Ferro, 21,882; Dr. Gelatt, 2,076; Ms. Helton, 2,076; Mr. Hochschild, 9,311; Mr. Mills, 4,699; Ms. Nordin, 1,089; Mr. Pickerell, 2,076; Ms. Tallett, 8,837; Ms. Everett, 89,946; Mr. Houston, 411,291; Mr. Lillis, 65,996; Mr. McCaughan, 194,331; Ms. Strable, 122,778; and Mr. Valdés, 112,321.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219710</wp:posOffset>
            </wp:positionV>
            <wp:extent cx="960120" cy="2838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00" w:lineRule="exact"/>
        <w:rPr>
          <w:sz w:val="20"/>
          <w:szCs w:val="20"/>
          <w:color w:val="auto"/>
        </w:rPr>
      </w:pPr>
    </w:p>
    <w:p>
      <w:pPr>
        <w:spacing w:after="0" w:line="266"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60</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63" w:name="page64"/>
    <w:bookmarkEnd w:id="63"/>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Section 16(a) Beneficial Ownership Reporting Compliance</w:t>
      </w:r>
    </w:p>
    <w:p>
      <w:pPr>
        <w:spacing w:after="0" w:line="201"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Section 16(a) of the Securities Exchange Act of 1934 requires the Company's Directors, Executive Officers and persons who own more than ten percent of a registered class of the Company's equity securities (Reporting Persons) to file with the SEC and Nasdaq reports of ownership of the Company's securities and changes in ownership. Reporting Persons required to provide the Company with copies of all Section 16(a) reports they file. Based on a review of the reports provided to the Company or written representations from Reporting Persons, the Company believes that during the fiscal year ended December 31, 2017, all Section 16(a) reports were filed on a timely basis.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109220</wp:posOffset>
            </wp:positionV>
            <wp:extent cx="960120" cy="2838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2"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61</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64" w:name="page65"/>
    <w:bookmarkEnd w:id="64"/>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p>
      <w:pPr>
        <w:jc w:val="center"/>
        <w:ind w:right="-7"/>
        <w:spacing w:after="0"/>
        <w:rPr>
          <w:sz w:val="20"/>
          <w:szCs w:val="20"/>
          <w:color w:val="auto"/>
        </w:rPr>
      </w:pPr>
      <w:r>
        <w:rPr>
          <w:rFonts w:ascii="Arial" w:cs="Arial" w:eastAsia="Arial" w:hAnsi="Arial"/>
          <w:sz w:val="27"/>
          <w:szCs w:val="27"/>
          <w:b w:val="1"/>
          <w:bCs w:val="1"/>
          <w:color w:val="7B7C80"/>
        </w:rPr>
        <w:t>Questions and Answers About the</w:t>
      </w:r>
    </w:p>
    <w:p>
      <w:pPr>
        <w:spacing w:after="0" w:line="44" w:lineRule="exact"/>
        <w:rPr>
          <w:sz w:val="20"/>
          <w:szCs w:val="20"/>
          <w:color w:val="auto"/>
        </w:rPr>
      </w:pPr>
    </w:p>
    <w:p>
      <w:pPr>
        <w:jc w:val="center"/>
        <w:ind w:right="72"/>
        <w:spacing w:after="0"/>
        <w:rPr>
          <w:sz w:val="20"/>
          <w:szCs w:val="20"/>
          <w:color w:val="auto"/>
        </w:rPr>
      </w:pPr>
      <w:r>
        <w:rPr>
          <w:rFonts w:ascii="Arial" w:cs="Arial" w:eastAsia="Arial" w:hAnsi="Arial"/>
          <w:sz w:val="27"/>
          <w:szCs w:val="27"/>
          <w:b w:val="1"/>
          <w:bCs w:val="1"/>
          <w:color w:val="7B7C80"/>
        </w:rPr>
        <w:t>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120650</wp:posOffset>
            </wp:positionV>
            <wp:extent cx="7267575" cy="698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5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Why didn't I receive a copy of the paper proxy materials?</w:t>
      </w:r>
    </w:p>
    <w:p>
      <w:pPr>
        <w:spacing w:after="0" w:line="201" w:lineRule="exact"/>
        <w:rPr>
          <w:sz w:val="20"/>
          <w:szCs w:val="20"/>
          <w:color w:val="auto"/>
        </w:rPr>
      </w:pPr>
    </w:p>
    <w:p>
      <w:pPr>
        <w:jc w:val="both"/>
        <w:ind w:left="8" w:right="20"/>
        <w:spacing w:after="0" w:line="247" w:lineRule="auto"/>
        <w:rPr>
          <w:sz w:val="20"/>
          <w:szCs w:val="20"/>
          <w:color w:val="auto"/>
        </w:rPr>
      </w:pPr>
      <w:r>
        <w:rPr>
          <w:rFonts w:ascii="Arial" w:cs="Arial" w:eastAsia="Arial" w:hAnsi="Arial"/>
          <w:sz w:val="15"/>
          <w:szCs w:val="15"/>
          <w:color w:val="7B7C80"/>
        </w:rPr>
        <w:t>The SEC rules allow companies to notify shareholders that proxy materials are available on the Internet and to provide access to those materials via the Internet. You may obtain paper copies of the proxy materials free of charge by following the instructions provided in the notice of Internet availability of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107315</wp:posOffset>
            </wp:positionV>
            <wp:extent cx="7267575" cy="698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3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Why did I receive notice of and access to this proxy statement?</w:t>
      </w:r>
    </w:p>
    <w:p>
      <w:pPr>
        <w:spacing w:after="0" w:line="201" w:lineRule="exact"/>
        <w:rPr>
          <w:sz w:val="20"/>
          <w:szCs w:val="20"/>
          <w:color w:val="auto"/>
        </w:rPr>
      </w:pPr>
    </w:p>
    <w:p>
      <w:pPr>
        <w:jc w:val="both"/>
        <w:ind w:left="8" w:right="20"/>
        <w:spacing w:after="0" w:line="243" w:lineRule="auto"/>
        <w:rPr>
          <w:sz w:val="20"/>
          <w:szCs w:val="20"/>
          <w:color w:val="auto"/>
        </w:rPr>
      </w:pPr>
      <w:r>
        <w:rPr>
          <w:rFonts w:ascii="Arial" w:cs="Arial" w:eastAsia="Arial" w:hAnsi="Arial"/>
          <w:sz w:val="15"/>
          <w:szCs w:val="15"/>
          <w:color w:val="7B7C80"/>
        </w:rPr>
        <w:t>The Board is soliciting proxies to be voted at the Annual Meeting of shareholders to be held on May 22, 2018, at 9:00 a.m., Central Daylight Savings Time, at 711 High Street, Des Moines, Iowa, and at any adjournment or postponement of the meeting. When the Board asks for your proxy, it must provide you access to proxy materials that contain information required by law. These materials were first made available, or sent to shareholders on April 9,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109220</wp:posOffset>
            </wp:positionV>
            <wp:extent cx="7267575" cy="698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0"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What is a proxy?</w:t>
      </w:r>
    </w:p>
    <w:p>
      <w:pPr>
        <w:spacing w:after="0" w:line="201" w:lineRule="exact"/>
        <w:rPr>
          <w:sz w:val="20"/>
          <w:szCs w:val="20"/>
          <w:color w:val="auto"/>
        </w:rPr>
      </w:pPr>
    </w:p>
    <w:p>
      <w:pPr>
        <w:jc w:val="both"/>
        <w:ind w:left="8"/>
        <w:spacing w:after="0" w:line="242" w:lineRule="auto"/>
        <w:rPr>
          <w:sz w:val="20"/>
          <w:szCs w:val="20"/>
          <w:color w:val="auto"/>
        </w:rPr>
      </w:pPr>
      <w:r>
        <w:rPr>
          <w:rFonts w:ascii="Arial" w:cs="Arial" w:eastAsia="Arial" w:hAnsi="Arial"/>
          <w:sz w:val="15"/>
          <w:szCs w:val="15"/>
          <w:color w:val="7B7C80"/>
        </w:rPr>
        <w:t>It is your legal designation of another person to vote the stock you own. The other person is called a proxy. When you designate someone as your proxy in a written document, that document is also called a proxy or a proxy card. Principal has designated three of Company's officers to act as proxies for the 2018 Annual Meeting: Timothy M. Dunbar, Executive Vice President and Chief Investment Officer; Deanna D. Strable, Executive Vice President and Chief Financial Officer; and Karen E. Shaff, Executive Vice President, General Counsel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109220</wp:posOffset>
            </wp:positionV>
            <wp:extent cx="7267575" cy="698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0"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What will the shareholders vote on at the Annual Meeting?</w:t>
      </w:r>
    </w:p>
    <w:p>
      <w:pPr>
        <w:spacing w:after="0" w:line="201" w:lineRule="exact"/>
        <w:rPr>
          <w:sz w:val="20"/>
          <w:szCs w:val="20"/>
          <w:color w:val="auto"/>
        </w:rPr>
      </w:pPr>
    </w:p>
    <w:p>
      <w:pPr>
        <w:ind w:left="448" w:hanging="448"/>
        <w:spacing w:after="0"/>
        <w:tabs>
          <w:tab w:leader="none" w:pos="448" w:val="left"/>
        </w:tabs>
        <w:numPr>
          <w:ilvl w:val="0"/>
          <w:numId w:val="72"/>
        </w:numPr>
        <w:rPr>
          <w:rFonts w:ascii="Arial" w:cs="Arial" w:eastAsia="Arial" w:hAnsi="Arial"/>
          <w:sz w:val="15"/>
          <w:szCs w:val="15"/>
          <w:color w:val="7B7C80"/>
        </w:rPr>
      </w:pPr>
      <w:r>
        <w:rPr>
          <w:rFonts w:ascii="Arial" w:cs="Arial" w:eastAsia="Arial" w:hAnsi="Arial"/>
          <w:sz w:val="15"/>
          <w:szCs w:val="15"/>
          <w:color w:val="7B7C80"/>
        </w:rPr>
        <w:t>Election of four Directors for three year terms;</w:t>
      </w:r>
    </w:p>
    <w:p>
      <w:pPr>
        <w:spacing w:after="0" w:line="10" w:lineRule="exact"/>
        <w:rPr>
          <w:rFonts w:ascii="Arial" w:cs="Arial" w:eastAsia="Arial" w:hAnsi="Arial"/>
          <w:sz w:val="15"/>
          <w:szCs w:val="15"/>
          <w:color w:val="7B7C80"/>
        </w:rPr>
      </w:pPr>
    </w:p>
    <w:p>
      <w:pPr>
        <w:ind w:left="448" w:hanging="448"/>
        <w:spacing w:after="0"/>
        <w:tabs>
          <w:tab w:leader="none" w:pos="448" w:val="left"/>
        </w:tabs>
        <w:numPr>
          <w:ilvl w:val="0"/>
          <w:numId w:val="72"/>
        </w:numPr>
        <w:rPr>
          <w:rFonts w:ascii="Arial" w:cs="Arial" w:eastAsia="Arial" w:hAnsi="Arial"/>
          <w:sz w:val="15"/>
          <w:szCs w:val="15"/>
          <w:color w:val="7B7C80"/>
        </w:rPr>
      </w:pPr>
      <w:r>
        <w:rPr>
          <w:rFonts w:ascii="Arial" w:cs="Arial" w:eastAsia="Arial" w:hAnsi="Arial"/>
          <w:sz w:val="15"/>
          <w:szCs w:val="15"/>
          <w:color w:val="7B7C80"/>
        </w:rPr>
        <w:t>An advisory vote to approve Named Executive Officer compensation; and</w:t>
      </w:r>
    </w:p>
    <w:p>
      <w:pPr>
        <w:ind w:left="448" w:hanging="448"/>
        <w:spacing w:after="0"/>
        <w:tabs>
          <w:tab w:leader="none" w:pos="448" w:val="left"/>
        </w:tabs>
        <w:numPr>
          <w:ilvl w:val="0"/>
          <w:numId w:val="72"/>
        </w:numPr>
        <w:rPr>
          <w:rFonts w:ascii="Arial" w:cs="Arial" w:eastAsia="Arial" w:hAnsi="Arial"/>
          <w:sz w:val="15"/>
          <w:szCs w:val="15"/>
          <w:color w:val="7B7C80"/>
        </w:rPr>
      </w:pPr>
      <w:r>
        <w:rPr>
          <w:rFonts w:ascii="Arial" w:cs="Arial" w:eastAsia="Arial" w:hAnsi="Arial"/>
          <w:sz w:val="15"/>
          <w:szCs w:val="15"/>
          <w:color w:val="7B7C80"/>
        </w:rPr>
        <w:t>Ratification of the appointment of independent auditors.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114300</wp:posOffset>
            </wp:positionV>
            <wp:extent cx="7267575" cy="698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Will there be any other items of business on the agenda?</w:t>
      </w:r>
    </w:p>
    <w:p>
      <w:pPr>
        <w:spacing w:after="0" w:line="201" w:lineRule="exact"/>
        <w:rPr>
          <w:sz w:val="20"/>
          <w:szCs w:val="20"/>
          <w:color w:val="auto"/>
        </w:rPr>
      </w:pPr>
    </w:p>
    <w:p>
      <w:pPr>
        <w:ind w:left="8" w:right="20"/>
        <w:spacing w:after="0" w:line="247" w:lineRule="auto"/>
        <w:rPr>
          <w:sz w:val="20"/>
          <w:szCs w:val="20"/>
          <w:color w:val="auto"/>
        </w:rPr>
      </w:pPr>
      <w:r>
        <w:rPr>
          <w:rFonts w:ascii="Arial" w:cs="Arial" w:eastAsia="Arial" w:hAnsi="Arial"/>
          <w:sz w:val="15"/>
          <w:szCs w:val="15"/>
          <w:color w:val="7B7C80"/>
        </w:rPr>
        <w:t>Principal does not expect any other items of business because the deadline for shareholder proposals and nominations has passed. However, if any other matter should properly come before the meeting, the people authorized by proxy will vote according to their best judgment.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107315</wp:posOffset>
            </wp:positionV>
            <wp:extent cx="7267575" cy="698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3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Who can vote at the Annual Meeting?</w:t>
      </w:r>
    </w:p>
    <w:p>
      <w:pPr>
        <w:spacing w:after="0" w:line="201" w:lineRule="exact"/>
        <w:rPr>
          <w:sz w:val="20"/>
          <w:szCs w:val="20"/>
          <w:color w:val="auto"/>
        </w:rPr>
      </w:pPr>
    </w:p>
    <w:p>
      <w:pPr>
        <w:ind w:left="8"/>
        <w:spacing w:after="0"/>
        <w:rPr>
          <w:sz w:val="20"/>
          <w:szCs w:val="20"/>
          <w:color w:val="auto"/>
        </w:rPr>
      </w:pPr>
      <w:r>
        <w:rPr>
          <w:rFonts w:ascii="Arial" w:cs="Arial" w:eastAsia="Arial" w:hAnsi="Arial"/>
          <w:sz w:val="15"/>
          <w:szCs w:val="15"/>
          <w:color w:val="7B7C80"/>
        </w:rPr>
        <w:t>Shareholders as of the close of business on March 28, 2018 ("Record Date") can vote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114300</wp:posOffset>
            </wp:positionV>
            <wp:extent cx="7267575" cy="698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How many votes do I have?</w:t>
      </w:r>
    </w:p>
    <w:p>
      <w:pPr>
        <w:spacing w:after="0" w:line="201" w:lineRule="exact"/>
        <w:rPr>
          <w:sz w:val="20"/>
          <w:szCs w:val="20"/>
          <w:color w:val="auto"/>
        </w:rPr>
      </w:pPr>
    </w:p>
    <w:p>
      <w:pPr>
        <w:ind w:left="8"/>
        <w:spacing w:after="0"/>
        <w:rPr>
          <w:sz w:val="20"/>
          <w:szCs w:val="20"/>
          <w:color w:val="auto"/>
        </w:rPr>
      </w:pPr>
      <w:r>
        <w:rPr>
          <w:rFonts w:ascii="Arial" w:cs="Arial" w:eastAsia="Arial" w:hAnsi="Arial"/>
          <w:sz w:val="15"/>
          <w:szCs w:val="15"/>
          <w:color w:val="7B7C80"/>
        </w:rPr>
        <w:t>You will have one vote for every share of Company Common Stock you owned on the Record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114300</wp:posOffset>
            </wp:positionV>
            <wp:extent cx="960120" cy="28384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300"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62</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65" w:name="page66"/>
    <w:bookmarkEnd w:id="65"/>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114300</wp:posOffset>
            </wp:positionV>
            <wp:extent cx="7267575" cy="698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What constitutes a quorum?</w:t>
      </w:r>
    </w:p>
    <w:p>
      <w:pPr>
        <w:spacing w:after="0" w:line="201" w:lineRule="exact"/>
        <w:rPr>
          <w:sz w:val="20"/>
          <w:szCs w:val="20"/>
          <w:color w:val="auto"/>
        </w:rPr>
      </w:pPr>
    </w:p>
    <w:p>
      <w:pPr>
        <w:ind w:left="8" w:right="20"/>
        <w:spacing w:after="0" w:line="247" w:lineRule="auto"/>
        <w:rPr>
          <w:sz w:val="20"/>
          <w:szCs w:val="20"/>
          <w:color w:val="auto"/>
        </w:rPr>
      </w:pPr>
      <w:r>
        <w:rPr>
          <w:rFonts w:ascii="Arial" w:cs="Arial" w:eastAsia="Arial" w:hAnsi="Arial"/>
          <w:sz w:val="15"/>
          <w:szCs w:val="15"/>
          <w:color w:val="7B7C80"/>
        </w:rPr>
        <w:t>One third of the outstanding shares of Common Stock as of the Record Date. On the Record Date, there were 287,820,537 shares of Common Stock outstanding. A quorum must be present, in person or by proxy, before any action can be taken at the Annual Meeting, except an action to adjourn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107315</wp:posOffset>
            </wp:positionV>
            <wp:extent cx="7267575" cy="698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3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How many votes are required for the approval of each item?</w:t>
      </w:r>
    </w:p>
    <w:p>
      <w:pPr>
        <w:spacing w:after="0" w:line="201" w:lineRule="exact"/>
        <w:rPr>
          <w:sz w:val="20"/>
          <w:szCs w:val="20"/>
          <w:color w:val="auto"/>
        </w:rPr>
      </w:pPr>
    </w:p>
    <w:p>
      <w:pPr>
        <w:ind w:left="448" w:hanging="448"/>
        <w:spacing w:after="0" w:line="247" w:lineRule="auto"/>
        <w:tabs>
          <w:tab w:leader="none" w:pos="448" w:val="left"/>
        </w:tabs>
        <w:numPr>
          <w:ilvl w:val="0"/>
          <w:numId w:val="73"/>
        </w:numPr>
        <w:rPr>
          <w:rFonts w:ascii="Arial" w:cs="Arial" w:eastAsia="Arial" w:hAnsi="Arial"/>
          <w:sz w:val="15"/>
          <w:szCs w:val="15"/>
          <w:color w:val="7B7C80"/>
        </w:rPr>
      </w:pPr>
      <w:r>
        <w:rPr>
          <w:rFonts w:ascii="Arial" w:cs="Arial" w:eastAsia="Arial" w:hAnsi="Arial"/>
          <w:sz w:val="15"/>
          <w:szCs w:val="15"/>
          <w:color w:val="7B7C80"/>
        </w:rPr>
        <w:t>Each nominee for Director will be elected if there are more votes for the nominee than votes against the nominee. Directors are elected by the majority of votes cast in uncontested Director elections.</w:t>
      </w:r>
    </w:p>
    <w:p>
      <w:pPr>
        <w:spacing w:after="0" w:line="171" w:lineRule="exact"/>
        <w:rPr>
          <w:rFonts w:ascii="Arial" w:cs="Arial" w:eastAsia="Arial" w:hAnsi="Arial"/>
          <w:sz w:val="15"/>
          <w:szCs w:val="15"/>
          <w:color w:val="7B7C80"/>
        </w:rPr>
      </w:pPr>
    </w:p>
    <w:p>
      <w:pPr>
        <w:ind w:left="448" w:hanging="448"/>
        <w:spacing w:after="0" w:line="247" w:lineRule="auto"/>
        <w:tabs>
          <w:tab w:leader="none" w:pos="448" w:val="left"/>
        </w:tabs>
        <w:numPr>
          <w:ilvl w:val="0"/>
          <w:numId w:val="73"/>
        </w:numPr>
        <w:rPr>
          <w:rFonts w:ascii="Arial" w:cs="Arial" w:eastAsia="Arial" w:hAnsi="Arial"/>
          <w:sz w:val="15"/>
          <w:szCs w:val="15"/>
          <w:color w:val="7B7C80"/>
        </w:rPr>
      </w:pPr>
      <w:r>
        <w:rPr>
          <w:rFonts w:ascii="Arial" w:cs="Arial" w:eastAsia="Arial" w:hAnsi="Arial"/>
          <w:sz w:val="15"/>
          <w:szCs w:val="15"/>
          <w:color w:val="7B7C80"/>
        </w:rPr>
        <w:t>The advisory vote to approve the Company's Named Executive Officer compensation will be approved if there are more votes for the proposal than against the proposal.</w:t>
      </w:r>
    </w:p>
    <w:p>
      <w:pPr>
        <w:spacing w:after="0" w:line="160" w:lineRule="exact"/>
        <w:rPr>
          <w:rFonts w:ascii="Arial" w:cs="Arial" w:eastAsia="Arial" w:hAnsi="Arial"/>
          <w:sz w:val="15"/>
          <w:szCs w:val="15"/>
          <w:color w:val="7B7C80"/>
        </w:rPr>
      </w:pPr>
    </w:p>
    <w:p>
      <w:pPr>
        <w:ind w:left="448" w:hanging="448"/>
        <w:spacing w:after="0"/>
        <w:tabs>
          <w:tab w:leader="none" w:pos="448" w:val="left"/>
        </w:tabs>
        <w:numPr>
          <w:ilvl w:val="0"/>
          <w:numId w:val="73"/>
        </w:numPr>
        <w:rPr>
          <w:rFonts w:ascii="Arial" w:cs="Arial" w:eastAsia="Arial" w:hAnsi="Arial"/>
          <w:sz w:val="15"/>
          <w:szCs w:val="15"/>
          <w:color w:val="7B7C80"/>
        </w:rPr>
      </w:pPr>
      <w:r>
        <w:rPr>
          <w:rFonts w:ascii="Arial" w:cs="Arial" w:eastAsia="Arial" w:hAnsi="Arial"/>
          <w:sz w:val="15"/>
          <w:szCs w:val="15"/>
          <w:color w:val="7B7C80"/>
        </w:rPr>
        <w:t>The appointment of the independent auditors will be ratified if there are more votes for the proposal than votes against the proposal.</w:t>
      </w:r>
    </w:p>
    <w:p>
      <w:pPr>
        <w:spacing w:after="0" w:line="171" w:lineRule="exact"/>
        <w:rPr>
          <w:rFonts w:ascii="Arial" w:cs="Arial" w:eastAsia="Arial" w:hAnsi="Arial"/>
          <w:sz w:val="15"/>
          <w:szCs w:val="15"/>
          <w:color w:val="7B7C80"/>
        </w:rPr>
      </w:pPr>
    </w:p>
    <w:p>
      <w:pPr>
        <w:ind w:left="448" w:hanging="448"/>
        <w:spacing w:after="0" w:line="247" w:lineRule="auto"/>
        <w:tabs>
          <w:tab w:leader="none" w:pos="448" w:val="left"/>
        </w:tabs>
        <w:numPr>
          <w:ilvl w:val="0"/>
          <w:numId w:val="73"/>
        </w:numPr>
        <w:rPr>
          <w:rFonts w:ascii="Arial" w:cs="Arial" w:eastAsia="Arial" w:hAnsi="Arial"/>
          <w:sz w:val="15"/>
          <w:szCs w:val="15"/>
          <w:color w:val="7B7C80"/>
        </w:rPr>
      </w:pPr>
      <w:r>
        <w:rPr>
          <w:rFonts w:ascii="Arial" w:cs="Arial" w:eastAsia="Arial" w:hAnsi="Arial"/>
          <w:sz w:val="15"/>
          <w:szCs w:val="15"/>
          <w:color w:val="7B7C80"/>
        </w:rPr>
        <w:t>Abstentions and broker non votes will be treated as being present at the meeting for determining a quorum but will not be counted as votes for the proposals. They have no impact on the Director nominees, the advisory vote to approve Named Executive Officer compensation or ratification of independent auditors.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107315</wp:posOffset>
            </wp:positionV>
            <wp:extent cx="7267575" cy="69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9"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What are Broker Non votes?</w:t>
      </w:r>
    </w:p>
    <w:p>
      <w:pPr>
        <w:spacing w:after="0" w:line="189"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If your shares are held in a brokerage account, your broker will ask you how you want your shares to be voted. If you give your broker directions, your shares will be voted as you direct. If you do not give directions, the broker may vote your shares on routine items of business, but not on non routine items. Proxies that are returned by brokers because they did not receive directions on how to vote on non routine items are called "broker non 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109220</wp:posOffset>
            </wp:positionV>
            <wp:extent cx="7267575" cy="698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51"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How do I vote by proxy?</w:t>
      </w:r>
    </w:p>
    <w:p>
      <w:pPr>
        <w:spacing w:after="0" w:line="189" w:lineRule="exact"/>
        <w:rPr>
          <w:sz w:val="20"/>
          <w:szCs w:val="20"/>
          <w:color w:val="auto"/>
        </w:rPr>
      </w:pPr>
    </w:p>
    <w:p>
      <w:pPr>
        <w:jc w:val="both"/>
        <w:ind w:left="8"/>
        <w:spacing w:after="0" w:line="247" w:lineRule="auto"/>
        <w:rPr>
          <w:sz w:val="20"/>
          <w:szCs w:val="20"/>
          <w:color w:val="auto"/>
        </w:rPr>
      </w:pPr>
      <w:r>
        <w:rPr>
          <w:rFonts w:ascii="Arial" w:cs="Arial" w:eastAsia="Arial" w:hAnsi="Arial"/>
          <w:sz w:val="15"/>
          <w:szCs w:val="15"/>
          <w:color w:val="7B7C80"/>
        </w:rPr>
        <w:t>Shareholders of record may vote by mail, by telephone or through the Internet. Shareholders may vote "for," "against" or "abstain" from voting for each of the Director nominees, the advisory vote to approve Named Executive Officer compensation, and the proposal to ratify the appointment of the independent auditors.</w:t>
      </w:r>
    </w:p>
    <w:p>
      <w:pPr>
        <w:spacing w:after="0" w:line="165" w:lineRule="exact"/>
        <w:rPr>
          <w:sz w:val="20"/>
          <w:szCs w:val="20"/>
          <w:color w:val="auto"/>
        </w:rPr>
      </w:pPr>
    </w:p>
    <w:p>
      <w:pPr>
        <w:jc w:val="both"/>
        <w:ind w:left="448" w:hanging="448"/>
        <w:spacing w:after="0" w:line="250" w:lineRule="auto"/>
        <w:tabs>
          <w:tab w:leader="none" w:pos="448" w:val="left"/>
        </w:tabs>
        <w:numPr>
          <w:ilvl w:val="0"/>
          <w:numId w:val="74"/>
        </w:numPr>
        <w:rPr>
          <w:rFonts w:ascii="Arial" w:cs="Arial" w:eastAsia="Arial" w:hAnsi="Arial"/>
          <w:sz w:val="15"/>
          <w:szCs w:val="15"/>
          <w:color w:val="7B7C80"/>
        </w:rPr>
      </w:pPr>
      <w:r>
        <w:rPr>
          <w:rFonts w:ascii="Arial" w:cs="Arial" w:eastAsia="Arial" w:hAnsi="Arial"/>
          <w:sz w:val="15"/>
          <w:szCs w:val="15"/>
          <w:b w:val="1"/>
          <w:bCs w:val="1"/>
          <w:color w:val="7B7C80"/>
        </w:rPr>
        <w:t xml:space="preserve">By Mail. </w:t>
      </w:r>
      <w:r>
        <w:rPr>
          <w:rFonts w:ascii="Arial" w:cs="Arial" w:eastAsia="Arial" w:hAnsi="Arial"/>
          <w:sz w:val="15"/>
          <w:szCs w:val="15"/>
          <w:color w:val="7B7C80"/>
        </w:rPr>
        <w:t>Sign and date each proxy or voting instruction card you receive and return it in the prepaid envelope. Sign your name exactly as it appears on the proxy. If</w:t>
      </w:r>
      <w:r>
        <w:rPr>
          <w:rFonts w:ascii="Arial" w:cs="Arial" w:eastAsia="Arial" w:hAnsi="Arial"/>
          <w:sz w:val="15"/>
          <w:szCs w:val="15"/>
          <w:b w:val="1"/>
          <w:bCs w:val="1"/>
          <w:color w:val="7B7C80"/>
        </w:rPr>
        <w:t xml:space="preserve"> </w:t>
      </w:r>
      <w:r>
        <w:rPr>
          <w:rFonts w:ascii="Arial" w:cs="Arial" w:eastAsia="Arial" w:hAnsi="Arial"/>
          <w:sz w:val="15"/>
          <w:szCs w:val="15"/>
          <w:color w:val="7B7C80"/>
        </w:rPr>
        <w:t>you are signing as a representative (for example, as an attorney in fact, executor, administrator, guardian, trustee or an officer or agent of a corporation or partnership), indicate your name and your title or capacity. If the stock is held in custody for a minor, the custodian should sign, not the minor. If the stock is held in joint ownership, one owner may sign on behalf of all owners.</w:t>
      </w:r>
    </w:p>
    <w:p>
      <w:pPr>
        <w:spacing w:after="0" w:line="140" w:lineRule="exact"/>
        <w:rPr>
          <w:rFonts w:ascii="Arial" w:cs="Arial" w:eastAsia="Arial" w:hAnsi="Arial"/>
          <w:sz w:val="15"/>
          <w:szCs w:val="15"/>
          <w:color w:val="7B7C80"/>
        </w:rPr>
      </w:pPr>
    </w:p>
    <w:p>
      <w:pPr>
        <w:jc w:val="both"/>
        <w:ind w:left="448" w:right="20" w:hanging="448"/>
        <w:spacing w:after="0" w:line="256" w:lineRule="auto"/>
        <w:tabs>
          <w:tab w:leader="none" w:pos="448" w:val="left"/>
        </w:tabs>
        <w:numPr>
          <w:ilvl w:val="0"/>
          <w:numId w:val="74"/>
        </w:numPr>
        <w:rPr>
          <w:rFonts w:ascii="Arial" w:cs="Arial" w:eastAsia="Arial" w:hAnsi="Arial"/>
          <w:sz w:val="15"/>
          <w:szCs w:val="15"/>
          <w:color w:val="7B7C80"/>
        </w:rPr>
      </w:pPr>
      <w:r>
        <w:rPr>
          <w:rFonts w:ascii="Arial" w:cs="Arial" w:eastAsia="Arial" w:hAnsi="Arial"/>
          <w:sz w:val="15"/>
          <w:szCs w:val="15"/>
          <w:b w:val="1"/>
          <w:bCs w:val="1"/>
          <w:color w:val="7B7C80"/>
        </w:rPr>
        <w:t xml:space="preserve">By Telephone. </w:t>
      </w:r>
      <w:r>
        <w:rPr>
          <w:rFonts w:ascii="Arial" w:cs="Arial" w:eastAsia="Arial" w:hAnsi="Arial"/>
          <w:sz w:val="15"/>
          <w:szCs w:val="15"/>
          <w:color w:val="7B7C80"/>
        </w:rPr>
        <w:t>Follow the instructions on the proxy or voting instruction card or the instructions in the email message that notified you of the availability of the proxy</w:t>
      </w:r>
      <w:r>
        <w:rPr>
          <w:rFonts w:ascii="Arial" w:cs="Arial" w:eastAsia="Arial" w:hAnsi="Arial"/>
          <w:sz w:val="15"/>
          <w:szCs w:val="15"/>
          <w:b w:val="1"/>
          <w:bCs w:val="1"/>
          <w:color w:val="7B7C80"/>
        </w:rPr>
        <w:t xml:space="preserve"> </w:t>
      </w:r>
      <w:r>
        <w:rPr>
          <w:rFonts w:ascii="Arial" w:cs="Arial" w:eastAsia="Arial" w:hAnsi="Arial"/>
          <w:sz w:val="15"/>
          <w:szCs w:val="15"/>
          <w:color w:val="7B7C80"/>
        </w:rPr>
        <w:t>materials. If you vote by telephone, do not return your proxy or voting instruction card. Telephone voting will be available until 1:00 a.m., Central Daylight Time, on May 22, 2018 for proxy cards and until 1:00 a.m., Central Daylight Time, on May 18, 2018, for voting instruction cards.</w:t>
      </w:r>
    </w:p>
    <w:p>
      <w:pPr>
        <w:spacing w:after="0" w:line="135" w:lineRule="exact"/>
        <w:rPr>
          <w:rFonts w:ascii="Arial" w:cs="Arial" w:eastAsia="Arial" w:hAnsi="Arial"/>
          <w:sz w:val="15"/>
          <w:szCs w:val="15"/>
          <w:color w:val="7B7C80"/>
        </w:rPr>
      </w:pPr>
    </w:p>
    <w:p>
      <w:pPr>
        <w:jc w:val="both"/>
        <w:ind w:left="448" w:right="20" w:hanging="448"/>
        <w:spacing w:after="0" w:line="256" w:lineRule="auto"/>
        <w:tabs>
          <w:tab w:leader="none" w:pos="448" w:val="left"/>
        </w:tabs>
        <w:numPr>
          <w:ilvl w:val="0"/>
          <w:numId w:val="74"/>
        </w:numPr>
        <w:rPr>
          <w:rFonts w:ascii="Arial" w:cs="Arial" w:eastAsia="Arial" w:hAnsi="Arial"/>
          <w:sz w:val="15"/>
          <w:szCs w:val="15"/>
          <w:color w:val="7B7C80"/>
        </w:rPr>
      </w:pPr>
      <w:r>
        <w:rPr>
          <w:rFonts w:ascii="Arial" w:cs="Arial" w:eastAsia="Arial" w:hAnsi="Arial"/>
          <w:sz w:val="15"/>
          <w:szCs w:val="15"/>
          <w:b w:val="1"/>
          <w:bCs w:val="1"/>
          <w:color w:val="7B7C80"/>
        </w:rPr>
        <w:t xml:space="preserve">Through the Internet. </w:t>
      </w:r>
      <w:r>
        <w:rPr>
          <w:rFonts w:ascii="Arial" w:cs="Arial" w:eastAsia="Arial" w:hAnsi="Arial"/>
          <w:sz w:val="15"/>
          <w:szCs w:val="15"/>
          <w:color w:val="7B7C80"/>
        </w:rPr>
        <w:t>You may vote on line at www.investorvote.com. Follow the instructions provided in the notice of Internet availability of proxy materials or on the</w:t>
      </w:r>
      <w:r>
        <w:rPr>
          <w:rFonts w:ascii="Arial" w:cs="Arial" w:eastAsia="Arial" w:hAnsi="Arial"/>
          <w:sz w:val="15"/>
          <w:szCs w:val="15"/>
          <w:b w:val="1"/>
          <w:bCs w:val="1"/>
          <w:color w:val="7B7C80"/>
        </w:rPr>
        <w:t xml:space="preserve"> </w:t>
      </w:r>
      <w:r>
        <w:rPr>
          <w:rFonts w:ascii="Arial" w:cs="Arial" w:eastAsia="Arial" w:hAnsi="Arial"/>
          <w:sz w:val="15"/>
          <w:szCs w:val="15"/>
          <w:color w:val="7B7C80"/>
        </w:rPr>
        <w:t>proxy or voting instruction card. If you vote through the Internet, do not return your proxy or voting instruction card. Internet voting for proxy cards will be available until 1:00 a.m., Central Daylight Time, on May 22, 2018, and until 1:00 a.m., Central Daylight Time, on May 18, 2018, for voting instruction cards.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102870</wp:posOffset>
            </wp:positionV>
            <wp:extent cx="7267575" cy="69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1"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How do I vote shares that are held by my broker?</w:t>
      </w:r>
    </w:p>
    <w:p>
      <w:pPr>
        <w:spacing w:after="0" w:line="189" w:lineRule="exact"/>
        <w:rPr>
          <w:sz w:val="20"/>
          <w:szCs w:val="20"/>
          <w:color w:val="auto"/>
        </w:rPr>
      </w:pPr>
    </w:p>
    <w:p>
      <w:pPr>
        <w:ind w:left="8"/>
        <w:spacing w:after="0" w:line="247" w:lineRule="auto"/>
        <w:rPr>
          <w:sz w:val="20"/>
          <w:szCs w:val="20"/>
          <w:color w:val="auto"/>
        </w:rPr>
      </w:pPr>
      <w:r>
        <w:rPr>
          <w:rFonts w:ascii="Arial" w:cs="Arial" w:eastAsia="Arial" w:hAnsi="Arial"/>
          <w:sz w:val="15"/>
          <w:szCs w:val="15"/>
          <w:color w:val="7B7C80"/>
        </w:rPr>
        <w:t>If you own shares held by a broker, you may direct your broker or other nominee to vote your shares by following the instructions that your broker provides to you. Most brokers offer voting by mail, telephone and through the Internet.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3077210</wp:posOffset>
            </wp:positionH>
            <wp:positionV relativeFrom="paragraph">
              <wp:posOffset>107315</wp:posOffset>
            </wp:positionV>
            <wp:extent cx="960120" cy="2838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89" w:lineRule="exact"/>
        <w:rPr>
          <w:sz w:val="20"/>
          <w:szCs w:val="20"/>
          <w:color w:val="auto"/>
        </w:rPr>
      </w:pPr>
    </w:p>
    <w:tbl>
      <w:tblPr>
        <w:tblLayout w:type="fixed"/>
        <w:tblInd w:w="8"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63</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7257415</wp:posOffset>
            </wp:positionH>
            <wp:positionV relativeFrom="paragraph">
              <wp:posOffset>-12700</wp:posOffset>
            </wp:positionV>
            <wp:extent cx="12700" cy="698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-12700</wp:posOffset>
            </wp:positionV>
            <wp:extent cx="12700" cy="69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66" w:name="page67"/>
    <w:bookmarkEnd w:id="66"/>
    <w:p>
      <w:pPr>
        <w:ind w:left="8"/>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114300</wp:posOffset>
            </wp:positionV>
            <wp:extent cx="7267575" cy="698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How do I vote in person?</w:t>
      </w:r>
    </w:p>
    <w:p>
      <w:pPr>
        <w:spacing w:after="0" w:line="201" w:lineRule="exact"/>
        <w:rPr>
          <w:sz w:val="20"/>
          <w:szCs w:val="20"/>
          <w:color w:val="auto"/>
        </w:rPr>
      </w:pPr>
    </w:p>
    <w:p>
      <w:pPr>
        <w:jc w:val="both"/>
        <w:ind w:left="8" w:right="20"/>
        <w:spacing w:after="0" w:line="247" w:lineRule="auto"/>
        <w:rPr>
          <w:sz w:val="20"/>
          <w:szCs w:val="20"/>
          <w:color w:val="auto"/>
        </w:rPr>
      </w:pPr>
      <w:r>
        <w:rPr>
          <w:rFonts w:ascii="Arial" w:cs="Arial" w:eastAsia="Arial" w:hAnsi="Arial"/>
          <w:sz w:val="15"/>
          <w:szCs w:val="15"/>
          <w:color w:val="7B7C80"/>
        </w:rPr>
        <w:t>If you are going to attend the Annual Meeting, you may vote your shares in person. However, we encourage you to vote in advance of the meeting by mail, telephone or through the Internet even if you plan to attend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107315</wp:posOffset>
            </wp:positionV>
            <wp:extent cx="7267575" cy="69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3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How do I vote my shares held in the Company's 401(k) plan?</w:t>
      </w:r>
    </w:p>
    <w:p>
      <w:pPr>
        <w:spacing w:after="0" w:line="201" w:lineRule="exact"/>
        <w:rPr>
          <w:sz w:val="20"/>
          <w:szCs w:val="20"/>
          <w:color w:val="auto"/>
        </w:rPr>
      </w:pPr>
    </w:p>
    <w:p>
      <w:pPr>
        <w:jc w:val="both"/>
        <w:ind w:left="8" w:right="20"/>
        <w:spacing w:after="0" w:line="247" w:lineRule="auto"/>
        <w:rPr>
          <w:sz w:val="20"/>
          <w:szCs w:val="20"/>
          <w:color w:val="auto"/>
        </w:rPr>
      </w:pPr>
      <w:r>
        <w:rPr>
          <w:rFonts w:ascii="Arial" w:cs="Arial" w:eastAsia="Arial" w:hAnsi="Arial"/>
          <w:sz w:val="15"/>
          <w:szCs w:val="15"/>
          <w:color w:val="7B7C80"/>
        </w:rPr>
        <w:t>The trustees of the plan will vote your shares in accordance with the directions you provide by voting on the voting instruction card or the instructions in the email message that notified you of the availability of the proxy materials. Shares for which voting instructions are not received are voted in the discretion of the trustees.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107315</wp:posOffset>
            </wp:positionV>
            <wp:extent cx="7267575" cy="698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3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How are shares held in the Demutualization separate account voted?</w:t>
      </w:r>
    </w:p>
    <w:p>
      <w:pPr>
        <w:spacing w:after="0" w:line="201" w:lineRule="exact"/>
        <w:rPr>
          <w:sz w:val="20"/>
          <w:szCs w:val="20"/>
          <w:color w:val="auto"/>
        </w:rPr>
      </w:pPr>
    </w:p>
    <w:p>
      <w:pPr>
        <w:jc w:val="both"/>
        <w:ind w:left="8"/>
        <w:spacing w:after="0"/>
        <w:rPr>
          <w:sz w:val="20"/>
          <w:szCs w:val="20"/>
          <w:color w:val="auto"/>
        </w:rPr>
      </w:pPr>
      <w:r>
        <w:rPr>
          <w:rFonts w:ascii="Arial" w:cs="Arial" w:eastAsia="Arial" w:hAnsi="Arial"/>
          <w:sz w:val="15"/>
          <w:szCs w:val="15"/>
          <w:color w:val="7B7C80"/>
        </w:rPr>
        <w:t>Principal became a public company on October 26, 2001, when Principal Mutual Holding Company converted from a mutual insurance holding company to a stock company (Demutualization) and the initial public offering of shares of the Company's Common Stock was completed. Principal issued Common Stock to Principal Life, and Principal Life allocated this Common Stock to a separate account that was established to fund policy credits received as Demutualization compensation by certain employee benefit plans that owned group annuity contracts. Although Principal Life will vote these shares, the plans may give Principal Life voting directions. A plan may give voting directions by following the instructions on the voting instruction card or the instructions in the message that notified you of the availability of proxy materials. Principal Life will vote the shares as to which it received no direction in the same manner, proportionally, as the shares in the Demutualization separate account for which it has received directions.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112395</wp:posOffset>
            </wp:positionV>
            <wp:extent cx="7267575" cy="698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5"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Who counts the votes?</w:t>
      </w:r>
    </w:p>
    <w:p>
      <w:pPr>
        <w:spacing w:after="0" w:line="201" w:lineRule="exact"/>
        <w:rPr>
          <w:sz w:val="20"/>
          <w:szCs w:val="20"/>
          <w:color w:val="auto"/>
        </w:rPr>
      </w:pPr>
    </w:p>
    <w:p>
      <w:pPr>
        <w:ind w:left="8"/>
        <w:spacing w:after="0"/>
        <w:rPr>
          <w:sz w:val="20"/>
          <w:szCs w:val="20"/>
          <w:color w:val="auto"/>
        </w:rPr>
      </w:pPr>
      <w:r>
        <w:rPr>
          <w:rFonts w:ascii="Arial" w:cs="Arial" w:eastAsia="Arial" w:hAnsi="Arial"/>
          <w:sz w:val="15"/>
          <w:szCs w:val="15"/>
          <w:color w:val="7B7C80"/>
        </w:rPr>
        <w:t>Votes will be counted by Computershare Trust Company, 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114300</wp:posOffset>
            </wp:positionV>
            <wp:extent cx="7267575" cy="698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What happens if I do not vote on an issue when returning my proxy?</w:t>
      </w:r>
    </w:p>
    <w:p>
      <w:pPr>
        <w:spacing w:after="0" w:line="201" w:lineRule="exact"/>
        <w:rPr>
          <w:sz w:val="20"/>
          <w:szCs w:val="20"/>
          <w:color w:val="auto"/>
        </w:rPr>
      </w:pPr>
    </w:p>
    <w:p>
      <w:pPr>
        <w:ind w:left="8"/>
        <w:spacing w:after="0"/>
        <w:rPr>
          <w:sz w:val="20"/>
          <w:szCs w:val="20"/>
          <w:color w:val="auto"/>
        </w:rPr>
      </w:pPr>
      <w:r>
        <w:rPr>
          <w:rFonts w:ascii="Arial" w:cs="Arial" w:eastAsia="Arial" w:hAnsi="Arial"/>
          <w:sz w:val="15"/>
          <w:szCs w:val="15"/>
          <w:color w:val="7B7C80"/>
        </w:rPr>
        <w:t>If no specific instructions are given, proxies that are signed and returned will be voted as the Board of Directors recommends:</w:t>
      </w:r>
    </w:p>
    <w:p>
      <w:pPr>
        <w:spacing w:after="0" w:line="183" w:lineRule="exact"/>
        <w:rPr>
          <w:sz w:val="20"/>
          <w:szCs w:val="20"/>
          <w:color w:val="auto"/>
        </w:rPr>
      </w:pPr>
    </w:p>
    <w:p>
      <w:pPr>
        <w:ind w:left="448" w:hanging="448"/>
        <w:spacing w:after="0"/>
        <w:tabs>
          <w:tab w:leader="none" w:pos="448" w:val="left"/>
        </w:tabs>
        <w:numPr>
          <w:ilvl w:val="0"/>
          <w:numId w:val="75"/>
        </w:numPr>
        <w:rPr>
          <w:rFonts w:ascii="Arial" w:cs="Arial" w:eastAsia="Arial" w:hAnsi="Arial"/>
          <w:sz w:val="15"/>
          <w:szCs w:val="15"/>
          <w:color w:val="7B7C80"/>
        </w:rPr>
      </w:pPr>
      <w:r>
        <w:rPr>
          <w:rFonts w:ascii="Arial" w:cs="Arial" w:eastAsia="Arial" w:hAnsi="Arial"/>
          <w:sz w:val="15"/>
          <w:szCs w:val="15"/>
          <w:color w:val="7B7C80"/>
        </w:rPr>
        <w:t>"For" the election of all Director nominees;</w:t>
      </w:r>
    </w:p>
    <w:p>
      <w:pPr>
        <w:spacing w:after="0" w:line="10" w:lineRule="exact"/>
        <w:rPr>
          <w:rFonts w:ascii="Arial" w:cs="Arial" w:eastAsia="Arial" w:hAnsi="Arial"/>
          <w:sz w:val="15"/>
          <w:szCs w:val="15"/>
          <w:color w:val="7B7C80"/>
        </w:rPr>
      </w:pPr>
    </w:p>
    <w:p>
      <w:pPr>
        <w:ind w:left="448" w:hanging="448"/>
        <w:spacing w:after="0"/>
        <w:tabs>
          <w:tab w:leader="none" w:pos="448" w:val="left"/>
        </w:tabs>
        <w:numPr>
          <w:ilvl w:val="0"/>
          <w:numId w:val="75"/>
        </w:numPr>
        <w:rPr>
          <w:rFonts w:ascii="Arial" w:cs="Arial" w:eastAsia="Arial" w:hAnsi="Arial"/>
          <w:sz w:val="15"/>
          <w:szCs w:val="15"/>
          <w:color w:val="7B7C80"/>
        </w:rPr>
      </w:pPr>
      <w:r>
        <w:rPr>
          <w:rFonts w:ascii="Arial" w:cs="Arial" w:eastAsia="Arial" w:hAnsi="Arial"/>
          <w:sz w:val="15"/>
          <w:szCs w:val="15"/>
          <w:color w:val="7B7C80"/>
        </w:rPr>
        <w:t>"For" approval of the Company's named executive officer compensation; and</w:t>
      </w:r>
    </w:p>
    <w:p>
      <w:pPr>
        <w:ind w:left="448" w:hanging="448"/>
        <w:spacing w:after="0"/>
        <w:tabs>
          <w:tab w:leader="none" w:pos="448" w:val="left"/>
        </w:tabs>
        <w:numPr>
          <w:ilvl w:val="0"/>
          <w:numId w:val="75"/>
        </w:numPr>
        <w:rPr>
          <w:rFonts w:ascii="Arial" w:cs="Arial" w:eastAsia="Arial" w:hAnsi="Arial"/>
          <w:sz w:val="15"/>
          <w:szCs w:val="15"/>
          <w:color w:val="7B7C80"/>
        </w:rPr>
      </w:pPr>
      <w:r>
        <w:rPr>
          <w:rFonts w:ascii="Arial" w:cs="Arial" w:eastAsia="Arial" w:hAnsi="Arial"/>
          <w:sz w:val="15"/>
          <w:szCs w:val="15"/>
          <w:color w:val="7B7C80"/>
        </w:rPr>
        <w:t>"For" the ratification of Ernst &amp; Young LLP as independent auditors.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114300</wp:posOffset>
            </wp:positionV>
            <wp:extent cx="7267575" cy="698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8"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How do I revoke my proxy?</w:t>
      </w:r>
    </w:p>
    <w:p>
      <w:pPr>
        <w:spacing w:after="0" w:line="201" w:lineRule="exact"/>
        <w:rPr>
          <w:sz w:val="20"/>
          <w:szCs w:val="20"/>
          <w:color w:val="auto"/>
        </w:rPr>
      </w:pPr>
    </w:p>
    <w:p>
      <w:pPr>
        <w:jc w:val="both"/>
        <w:ind w:left="8" w:right="20"/>
        <w:spacing w:after="0" w:line="247" w:lineRule="auto"/>
        <w:rPr>
          <w:sz w:val="20"/>
          <w:szCs w:val="20"/>
          <w:color w:val="auto"/>
        </w:rPr>
      </w:pPr>
      <w:r>
        <w:rPr>
          <w:rFonts w:ascii="Arial" w:cs="Arial" w:eastAsia="Arial" w:hAnsi="Arial"/>
          <w:sz w:val="15"/>
          <w:szCs w:val="15"/>
          <w:color w:val="7B7C80"/>
        </w:rPr>
        <w:t>If you hold your shares in street name, you must follow the instructions of your broker or bank to revoke your voting instructions. Otherwise, you can revoke your proxy or voting instructions by voting a new proxy or instruction card or by voting at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107315</wp:posOffset>
            </wp:positionV>
            <wp:extent cx="7267575" cy="698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37" w:lineRule="exact"/>
        <w:rPr>
          <w:sz w:val="20"/>
          <w:szCs w:val="20"/>
          <w:color w:val="auto"/>
        </w:rPr>
      </w:pPr>
    </w:p>
    <w:p>
      <w:pPr>
        <w:ind w:left="8"/>
        <w:spacing w:after="0"/>
        <w:rPr>
          <w:sz w:val="20"/>
          <w:szCs w:val="20"/>
          <w:color w:val="auto"/>
        </w:rPr>
      </w:pPr>
      <w:r>
        <w:rPr>
          <w:rFonts w:ascii="Arial" w:cs="Arial" w:eastAsia="Arial" w:hAnsi="Arial"/>
          <w:sz w:val="15"/>
          <w:szCs w:val="15"/>
          <w:b w:val="1"/>
          <w:bCs w:val="1"/>
          <w:color w:val="009CCC"/>
        </w:rPr>
        <w:t>What should I do if I want to attend the Annual Meeting?</w:t>
      </w:r>
    </w:p>
    <w:p>
      <w:pPr>
        <w:spacing w:after="0" w:line="201" w:lineRule="exact"/>
        <w:rPr>
          <w:sz w:val="20"/>
          <w:szCs w:val="20"/>
          <w:color w:val="auto"/>
        </w:rPr>
      </w:pPr>
    </w:p>
    <w:p>
      <w:pPr>
        <w:jc w:val="both"/>
        <w:ind w:left="8"/>
        <w:spacing w:after="0" w:line="243" w:lineRule="auto"/>
        <w:rPr>
          <w:sz w:val="20"/>
          <w:szCs w:val="20"/>
          <w:color w:val="auto"/>
        </w:rPr>
      </w:pPr>
      <w:r>
        <w:rPr>
          <w:rFonts w:ascii="Arial" w:cs="Arial" w:eastAsia="Arial" w:hAnsi="Arial"/>
          <w:sz w:val="15"/>
          <w:szCs w:val="15"/>
          <w:color w:val="7B7C80"/>
        </w:rPr>
        <w:t>Please bring photo identification and, if your stock is held by a broker or bank, evidence of your ownership of Common Stock as of March 28, 2018. The notice of Internet availability of proxy materials you received in the mail, a letter from your broker or bank or a photocopy of a current account statement will be accepted as evidence of ownership.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3201035</wp:posOffset>
            </wp:positionH>
            <wp:positionV relativeFrom="paragraph">
              <wp:posOffset>109220</wp:posOffset>
            </wp:positionV>
            <wp:extent cx="960120" cy="28384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2" w:lineRule="exact"/>
        <w:rPr>
          <w:sz w:val="20"/>
          <w:szCs w:val="20"/>
          <w:color w:val="auto"/>
        </w:rPr>
      </w:pPr>
    </w:p>
    <w:p>
      <w:pPr>
        <w:ind w:left="8"/>
        <w:spacing w:after="0"/>
        <w:tabs>
          <w:tab w:leader="none" w:pos="468" w:val="left"/>
        </w:tabs>
        <w:rPr>
          <w:sz w:val="20"/>
          <w:szCs w:val="20"/>
          <w:color w:val="auto"/>
        </w:rPr>
      </w:pPr>
      <w:r>
        <w:rPr>
          <w:rFonts w:ascii="Arial" w:cs="Arial" w:eastAsia="Arial" w:hAnsi="Arial"/>
          <w:sz w:val="15"/>
          <w:szCs w:val="15"/>
          <w:color w:val="009CCC"/>
        </w:rPr>
        <w:t>64</w:t>
      </w:r>
      <w:r>
        <w:rPr>
          <w:sz w:val="20"/>
          <w:szCs w:val="20"/>
          <w:color w:val="auto"/>
        </w:rPr>
        <w:tab/>
      </w:r>
      <w:r>
        <w:rPr>
          <w:rFonts w:ascii="Arial" w:cs="Arial" w:eastAsia="Arial" w:hAnsi="Arial"/>
          <w:sz w:val="15"/>
          <w:szCs w:val="15"/>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198755</wp:posOffset>
            </wp:positionV>
            <wp:extent cx="7272655" cy="1968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1448"/>
          </w:cols>
          <w:pgMar w:left="232" w:top="142" w:right="219" w:bottom="1440" w:gutter="0" w:footer="0" w:header="0"/>
        </w:sectPr>
      </w:pPr>
    </w:p>
    <w:bookmarkStart w:id="67" w:name="page68"/>
    <w:bookmarkEnd w:id="67"/>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114300</wp:posOffset>
            </wp:positionV>
            <wp:extent cx="7267575" cy="698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8"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How do I contact the Board?</w:t>
      </w:r>
    </w:p>
    <w:p>
      <w:pPr>
        <w:spacing w:after="0" w:line="201" w:lineRule="exact"/>
        <w:rPr>
          <w:sz w:val="20"/>
          <w:szCs w:val="20"/>
          <w:color w:val="auto"/>
        </w:rPr>
      </w:pPr>
    </w:p>
    <w:p>
      <w:pPr>
        <w:spacing w:after="0"/>
        <w:rPr>
          <w:sz w:val="20"/>
          <w:szCs w:val="20"/>
          <w:color w:val="auto"/>
        </w:rPr>
      </w:pPr>
      <w:r>
        <w:rPr>
          <w:rFonts w:ascii="Arial" w:cs="Arial" w:eastAsia="Arial" w:hAnsi="Arial"/>
          <w:sz w:val="15"/>
          <w:szCs w:val="15"/>
          <w:color w:val="7B7C80"/>
        </w:rPr>
        <w:t>You may contact the through the Lead Director through the Investor Relations section of the Company's website at www.principal.com, or by writing to:</w:t>
      </w:r>
    </w:p>
    <w:p>
      <w:pPr>
        <w:spacing w:after="0" w:line="182" w:lineRule="exact"/>
        <w:rPr>
          <w:sz w:val="20"/>
          <w:szCs w:val="20"/>
          <w:color w:val="auto"/>
        </w:rPr>
      </w:pPr>
    </w:p>
    <w:p>
      <w:pPr>
        <w:ind w:left="440"/>
        <w:spacing w:after="0"/>
        <w:rPr>
          <w:sz w:val="20"/>
          <w:szCs w:val="20"/>
          <w:color w:val="auto"/>
        </w:rPr>
      </w:pPr>
      <w:r>
        <w:rPr>
          <w:rFonts w:ascii="Arial" w:cs="Arial" w:eastAsia="Arial" w:hAnsi="Arial"/>
          <w:sz w:val="15"/>
          <w:szCs w:val="15"/>
          <w:color w:val="7B7C80"/>
        </w:rPr>
        <w:t>Lead Director, c/o Karen E. Shaff</w:t>
      </w:r>
    </w:p>
    <w:p>
      <w:pPr>
        <w:ind w:left="440"/>
        <w:spacing w:after="0"/>
        <w:rPr>
          <w:sz w:val="20"/>
          <w:szCs w:val="20"/>
          <w:color w:val="auto"/>
        </w:rPr>
      </w:pPr>
      <w:r>
        <w:rPr>
          <w:rFonts w:ascii="Arial" w:cs="Arial" w:eastAsia="Arial" w:hAnsi="Arial"/>
          <w:sz w:val="15"/>
          <w:szCs w:val="15"/>
          <w:color w:val="7B7C80"/>
        </w:rPr>
        <w:t>Executive Vice President, General Counsel and Secretary</w:t>
      </w:r>
    </w:p>
    <w:p>
      <w:pPr>
        <w:ind w:left="440"/>
        <w:spacing w:after="0"/>
        <w:rPr>
          <w:sz w:val="20"/>
          <w:szCs w:val="20"/>
          <w:color w:val="auto"/>
        </w:rPr>
      </w:pPr>
      <w:r>
        <w:rPr>
          <w:rFonts w:ascii="Arial" w:cs="Arial" w:eastAsia="Arial" w:hAnsi="Arial"/>
          <w:sz w:val="15"/>
          <w:szCs w:val="15"/>
          <w:color w:val="7B7C80"/>
        </w:rPr>
        <w:t>Principal Financial Group, Inc.</w:t>
      </w:r>
    </w:p>
    <w:p>
      <w:pPr>
        <w:ind w:left="440"/>
        <w:spacing w:after="0"/>
        <w:rPr>
          <w:sz w:val="20"/>
          <w:szCs w:val="20"/>
          <w:color w:val="auto"/>
        </w:rPr>
      </w:pPr>
      <w:r>
        <w:rPr>
          <w:rFonts w:ascii="Arial" w:cs="Arial" w:eastAsia="Arial" w:hAnsi="Arial"/>
          <w:sz w:val="15"/>
          <w:szCs w:val="15"/>
          <w:color w:val="7B7C80"/>
        </w:rPr>
        <w:t>Des Moines, Iowa 50392-0300</w:t>
      </w:r>
    </w:p>
    <w:p>
      <w:pPr>
        <w:spacing w:after="0" w:line="183" w:lineRule="exact"/>
        <w:rPr>
          <w:sz w:val="20"/>
          <w:szCs w:val="20"/>
          <w:color w:val="auto"/>
        </w:rPr>
      </w:pPr>
    </w:p>
    <w:p>
      <w:pPr>
        <w:spacing w:after="0"/>
        <w:rPr>
          <w:sz w:val="20"/>
          <w:szCs w:val="20"/>
          <w:color w:val="auto"/>
        </w:rPr>
      </w:pPr>
      <w:r>
        <w:rPr>
          <w:rFonts w:ascii="Arial" w:cs="Arial" w:eastAsia="Arial" w:hAnsi="Arial"/>
          <w:sz w:val="15"/>
          <w:szCs w:val="15"/>
          <w:color w:val="7B7C80"/>
        </w:rPr>
        <w:t>All emails and letters received will be categorized and processed by the Company's Secretary and then sent to the Company's Lead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114300</wp:posOffset>
            </wp:positionV>
            <wp:extent cx="7267575" cy="698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8"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How do I submit a shareholder proposal or nominate a director for the 2019 Annual Meeting?</w:t>
      </w:r>
    </w:p>
    <w:p>
      <w:pPr>
        <w:spacing w:after="0" w:line="201" w:lineRule="exact"/>
        <w:rPr>
          <w:sz w:val="20"/>
          <w:szCs w:val="20"/>
          <w:color w:val="auto"/>
        </w:rPr>
      </w:pPr>
    </w:p>
    <w:p>
      <w:pPr>
        <w:jc w:val="both"/>
        <w:spacing w:after="0" w:line="242" w:lineRule="auto"/>
        <w:rPr>
          <w:sz w:val="20"/>
          <w:szCs w:val="20"/>
          <w:color w:val="auto"/>
        </w:rPr>
      </w:pPr>
      <w:r>
        <w:rPr>
          <w:rFonts w:ascii="Arial" w:cs="Arial" w:eastAsia="Arial" w:hAnsi="Arial"/>
          <w:sz w:val="15"/>
          <w:szCs w:val="15"/>
          <w:color w:val="7B7C80"/>
        </w:rPr>
        <w:t>The Company's next annual meeting is scheduled for May 21, 2019. Proposals should be sent to the Company's Secretary. To be included in next year's proxy statement, proposals must be received by December 10, 2018. In addition, the Company's By-Laws provide that any shareholder wishing to propose any other business at the annual meeting must give Principal written notice between January 22, 2019 and February 21, 2019. That notice must provide other information as described in the Company's By-Laws, which are on the Company's website, www.principal.com.</w:t>
      </w:r>
    </w:p>
    <w:p>
      <w:pPr>
        <w:spacing w:after="0" w:line="175"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For proxy access nominees to be considered at the 2019 annual meeting, the nomination notice must be received by the Office of the Secretary no earlier than the close of business on November 10, 2018, and no later than the close of business on December 10, 2018. Among other things, the notice must include the information and documents described in Section 1.17 of the Company's By-Laws.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109220</wp:posOffset>
            </wp:positionV>
            <wp:extent cx="7267575" cy="698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40"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What is "householding?"</w:t>
      </w:r>
    </w:p>
    <w:p>
      <w:pPr>
        <w:spacing w:after="0" w:line="201" w:lineRule="exact"/>
        <w:rPr>
          <w:sz w:val="20"/>
          <w:szCs w:val="20"/>
          <w:color w:val="auto"/>
        </w:rPr>
      </w:pPr>
    </w:p>
    <w:p>
      <w:pPr>
        <w:jc w:val="both"/>
        <w:ind w:right="20"/>
        <w:spacing w:after="0" w:line="247" w:lineRule="auto"/>
        <w:rPr>
          <w:sz w:val="20"/>
          <w:szCs w:val="20"/>
          <w:color w:val="auto"/>
        </w:rPr>
      </w:pPr>
      <w:r>
        <w:rPr>
          <w:rFonts w:ascii="Arial" w:cs="Arial" w:eastAsia="Arial" w:hAnsi="Arial"/>
          <w:sz w:val="15"/>
          <w:szCs w:val="15"/>
          <w:color w:val="7B7C80"/>
        </w:rPr>
        <w:t>We send shareholders of record at the same address one copy of the proxy materials unless we receive instructions from a shareholder requesting receipt of separate copies of these materials.</w:t>
      </w:r>
    </w:p>
    <w:p>
      <w:pPr>
        <w:spacing w:after="0" w:line="172" w:lineRule="exact"/>
        <w:rPr>
          <w:sz w:val="20"/>
          <w:szCs w:val="20"/>
          <w:color w:val="auto"/>
        </w:rPr>
      </w:pPr>
    </w:p>
    <w:p>
      <w:pPr>
        <w:jc w:val="both"/>
        <w:spacing w:after="0" w:line="247" w:lineRule="auto"/>
        <w:rPr>
          <w:sz w:val="20"/>
          <w:szCs w:val="20"/>
          <w:color w:val="auto"/>
        </w:rPr>
      </w:pPr>
      <w:r>
        <w:rPr>
          <w:rFonts w:ascii="Arial" w:cs="Arial" w:eastAsia="Arial" w:hAnsi="Arial"/>
          <w:sz w:val="15"/>
          <w:szCs w:val="15"/>
          <w:color w:val="7B7C80"/>
        </w:rPr>
        <w:t>If you share the same address as other shareholders and would like Principal to send only one copy of future proxy materials, please contact Computershare Trust Company, N.A. at 866-781-1368, or P.O. Box 43078, Providence, RI 02940-3078. You can also contact Computershare to receive individual copies of all documents.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107315</wp:posOffset>
            </wp:positionV>
            <wp:extent cx="7267575" cy="698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67575" cy="6985"/>
                    </a:xfrm>
                    <a:prstGeom prst="rect">
                      <a:avLst/>
                    </a:prstGeom>
                    <a:noFill/>
                  </pic:spPr>
                </pic:pic>
              </a:graphicData>
            </a:graphic>
          </wp:anchor>
        </w:drawing>
      </w:r>
    </w:p>
    <w:p>
      <w:pPr>
        <w:spacing w:after="0" w:line="237"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Where can I receive more information about the Company?</w:t>
      </w:r>
    </w:p>
    <w:p>
      <w:pPr>
        <w:spacing w:after="0" w:line="201" w:lineRule="exact"/>
        <w:rPr>
          <w:sz w:val="20"/>
          <w:szCs w:val="20"/>
          <w:color w:val="auto"/>
        </w:rPr>
      </w:pPr>
    </w:p>
    <w:p>
      <w:pPr>
        <w:jc w:val="both"/>
        <w:spacing w:after="0" w:line="243" w:lineRule="auto"/>
        <w:rPr>
          <w:sz w:val="20"/>
          <w:szCs w:val="20"/>
          <w:color w:val="auto"/>
        </w:rPr>
      </w:pPr>
      <w:r>
        <w:rPr>
          <w:rFonts w:ascii="Arial" w:cs="Arial" w:eastAsia="Arial" w:hAnsi="Arial"/>
          <w:sz w:val="15"/>
          <w:szCs w:val="15"/>
          <w:color w:val="7B7C80"/>
        </w:rPr>
        <w:t>We file reports and other information with the SEC, which are available on the Company's website at www.principal.com and at www.sec.gov. You may also contact the SEC at 1-800-SEC-0330. The Audit, Finance, Human Resources and Nominating and Governance Committee charters, the Company's Corporate Governance Guidelines, and Principal's Code of Business Conduct and Ethics are also available on the Company's website, www.principal.com.</w:t>
      </w:r>
    </w:p>
    <w:p>
      <w:pPr>
        <w:spacing w:after="0" w:line="157" w:lineRule="exact"/>
        <w:rPr>
          <w:sz w:val="20"/>
          <w:szCs w:val="20"/>
          <w:color w:val="auto"/>
        </w:rPr>
      </w:pPr>
    </w:p>
    <w:p>
      <w:pPr>
        <w:spacing w:after="0"/>
        <w:rPr>
          <w:sz w:val="20"/>
          <w:szCs w:val="20"/>
          <w:color w:val="auto"/>
        </w:rPr>
      </w:pPr>
      <w:r>
        <w:rPr>
          <w:rFonts w:ascii="Arial" w:cs="Arial" w:eastAsia="Arial" w:hAnsi="Arial"/>
          <w:sz w:val="15"/>
          <w:szCs w:val="15"/>
          <w:color w:val="7B7C80"/>
        </w:rPr>
        <w:t xml:space="preserve">The Board urges you to vote by using the Internet or telephone or by returning the proxy or </w:t>
      </w:r>
      <w:r>
        <w:rPr>
          <w:rFonts w:ascii="Arial" w:cs="Arial" w:eastAsia="Arial" w:hAnsi="Arial"/>
          <w:sz w:val="15"/>
          <w:szCs w:val="15"/>
          <w:b w:val="1"/>
          <w:bCs w:val="1"/>
          <w:color w:val="7B7C80"/>
        </w:rPr>
        <w:t>voting instruction 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125730</wp:posOffset>
            </wp:positionV>
            <wp:extent cx="960120" cy="28384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318"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100" w:type="dxa"/>
            <w:vAlign w:val="bottom"/>
          </w:tcPr>
          <w:p>
            <w:pPr>
              <w:ind w:left="9460"/>
              <w:spacing w:after="0"/>
              <w:rPr>
                <w:sz w:val="20"/>
                <w:szCs w:val="20"/>
                <w:color w:val="auto"/>
              </w:rPr>
            </w:pPr>
            <w:r>
              <w:rPr>
                <w:rFonts w:ascii="Arial" w:cs="Arial" w:eastAsia="Arial" w:hAnsi="Arial"/>
                <w:sz w:val="15"/>
                <w:szCs w:val="15"/>
                <w:color w:val="7B7C80"/>
              </w:rPr>
              <w:t>2018 Proxy Statement</w:t>
            </w:r>
          </w:p>
        </w:tc>
        <w:tc>
          <w:tcPr>
            <w:tcW w:w="340" w:type="dxa"/>
            <w:vAlign w:val="bottom"/>
          </w:tcPr>
          <w:p>
            <w:pPr>
              <w:jc w:val="right"/>
              <w:spacing w:after="0"/>
              <w:rPr>
                <w:sz w:val="20"/>
                <w:szCs w:val="20"/>
                <w:color w:val="auto"/>
              </w:rPr>
            </w:pPr>
            <w:r>
              <w:rPr>
                <w:rFonts w:ascii="Arial" w:cs="Arial" w:eastAsia="Arial" w:hAnsi="Arial"/>
                <w:sz w:val="15"/>
                <w:szCs w:val="15"/>
                <w:color w:val="009CCC"/>
              </w:rPr>
              <w:t>65</w:t>
            </w:r>
          </w:p>
        </w:tc>
      </w:tr>
      <w:tr>
        <w:trPr>
          <w:trHeight w:val="318"/>
        </w:trPr>
        <w:tc>
          <w:tcPr>
            <w:tcW w:w="1110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68" w:name="page69"/>
    <w:bookmarkEnd w:id="68"/>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tbl>
      <w:tblPr>
        <w:tblLayout w:type="fixed"/>
        <w:tblInd w:w="0" w:type="dxa"/>
        <w:tblCellMar>
          <w:top w:w="0" w:type="dxa"/>
          <w:left w:w="0" w:type="dxa"/>
          <w:bottom w:w="0" w:type="dxa"/>
          <w:right w:w="0" w:type="dxa"/>
        </w:tblCellMar>
      </w:tblPr>
      <w:tr>
        <w:trPr>
          <w:trHeight w:val="365"/>
        </w:trPr>
        <w:tc>
          <w:tcPr>
            <w:tcW w:w="2960" w:type="dxa"/>
            <w:vAlign w:val="bottom"/>
          </w:tcPr>
          <w:p>
            <w:pPr>
              <w:spacing w:after="0"/>
              <w:rPr>
                <w:sz w:val="24"/>
                <w:szCs w:val="24"/>
                <w:color w:val="auto"/>
              </w:rPr>
            </w:pPr>
          </w:p>
        </w:tc>
        <w:tc>
          <w:tcPr>
            <w:tcW w:w="8480" w:type="dxa"/>
            <w:vAlign w:val="bottom"/>
          </w:tcPr>
          <w:p>
            <w:pPr>
              <w:ind w:left="1960"/>
              <w:spacing w:after="0"/>
              <w:rPr>
                <w:sz w:val="20"/>
                <w:szCs w:val="20"/>
                <w:color w:val="auto"/>
              </w:rPr>
            </w:pPr>
            <w:r>
              <w:rPr>
                <w:rFonts w:ascii="Arial" w:cs="Arial" w:eastAsia="Arial" w:hAnsi="Arial"/>
                <w:sz w:val="27"/>
                <w:szCs w:val="27"/>
                <w:b w:val="1"/>
                <w:bCs w:val="1"/>
                <w:color w:val="7B7C80"/>
              </w:rPr>
              <w:t>Appendix A</w:t>
            </w:r>
          </w:p>
        </w:tc>
      </w:tr>
      <w:tr>
        <w:trPr>
          <w:trHeight w:val="170"/>
        </w:trPr>
        <w:tc>
          <w:tcPr>
            <w:tcW w:w="2960" w:type="dxa"/>
            <w:vAlign w:val="bottom"/>
            <w:tcBorders>
              <w:bottom w:val="single" w:sz="8" w:color="7B7C80"/>
            </w:tcBorders>
          </w:tcPr>
          <w:p>
            <w:pPr>
              <w:spacing w:after="0"/>
              <w:rPr>
                <w:sz w:val="14"/>
                <w:szCs w:val="14"/>
                <w:color w:val="auto"/>
              </w:rPr>
            </w:pPr>
          </w:p>
        </w:tc>
        <w:tc>
          <w:tcPr>
            <w:tcW w:w="8480" w:type="dxa"/>
            <w:vAlign w:val="bottom"/>
            <w:tcBorders>
              <w:bottom w:val="single" w:sz="8" w:color="7B7C80"/>
            </w:tcBorders>
          </w:tcPr>
          <w:p>
            <w:pPr>
              <w:spacing w:after="0"/>
              <w:rPr>
                <w:sz w:val="14"/>
                <w:szCs w:val="14"/>
                <w:color w:val="auto"/>
              </w:rPr>
            </w:pPr>
          </w:p>
        </w:tc>
      </w:tr>
      <w:tr>
        <w:trPr>
          <w:trHeight w:val="148"/>
        </w:trPr>
        <w:tc>
          <w:tcPr>
            <w:tcW w:w="2960" w:type="dxa"/>
            <w:vAlign w:val="bottom"/>
          </w:tcPr>
          <w:p>
            <w:pPr>
              <w:spacing w:after="0"/>
              <w:rPr>
                <w:sz w:val="12"/>
                <w:szCs w:val="12"/>
                <w:color w:val="auto"/>
              </w:rPr>
            </w:pPr>
          </w:p>
        </w:tc>
        <w:tc>
          <w:tcPr>
            <w:tcW w:w="8480" w:type="dxa"/>
            <w:vAlign w:val="bottom"/>
          </w:tcPr>
          <w:p>
            <w:pPr>
              <w:ind w:left="2220"/>
              <w:spacing w:after="0" w:line="148" w:lineRule="exact"/>
              <w:rPr>
                <w:sz w:val="20"/>
                <w:szCs w:val="20"/>
                <w:color w:val="auto"/>
              </w:rPr>
            </w:pPr>
            <w:r>
              <w:rPr>
                <w:rFonts w:ascii="Arial" w:cs="Arial" w:eastAsia="Arial" w:hAnsi="Arial"/>
                <w:sz w:val="15"/>
                <w:szCs w:val="15"/>
                <w:b w:val="1"/>
                <w:bCs w:val="1"/>
                <w:color w:val="7B7C80"/>
              </w:rPr>
              <w:t>Towers Watson</w:t>
            </w:r>
          </w:p>
        </w:tc>
      </w:tr>
      <w:tr>
        <w:trPr>
          <w:trHeight w:val="197"/>
        </w:trPr>
        <w:tc>
          <w:tcPr>
            <w:tcW w:w="2960" w:type="dxa"/>
            <w:vAlign w:val="bottom"/>
          </w:tcPr>
          <w:p>
            <w:pPr>
              <w:spacing w:after="0"/>
              <w:rPr>
                <w:sz w:val="17"/>
                <w:szCs w:val="17"/>
                <w:color w:val="auto"/>
              </w:rPr>
            </w:pPr>
          </w:p>
        </w:tc>
        <w:tc>
          <w:tcPr>
            <w:tcW w:w="8480" w:type="dxa"/>
            <w:vAlign w:val="bottom"/>
          </w:tcPr>
          <w:p>
            <w:pPr>
              <w:ind w:left="300"/>
              <w:spacing w:after="0"/>
              <w:rPr>
                <w:sz w:val="20"/>
                <w:szCs w:val="20"/>
                <w:color w:val="auto"/>
              </w:rPr>
            </w:pPr>
            <w:r>
              <w:rPr>
                <w:rFonts w:ascii="Arial" w:cs="Arial" w:eastAsia="Arial" w:hAnsi="Arial"/>
                <w:sz w:val="15"/>
                <w:szCs w:val="15"/>
                <w:b w:val="1"/>
                <w:bCs w:val="1"/>
                <w:color w:val="7B7C80"/>
              </w:rPr>
              <w:t>2017 Financial Services Executive Compensation Survey Participants</w:t>
            </w:r>
          </w:p>
        </w:tc>
      </w:tr>
      <w:tr>
        <w:trPr>
          <w:trHeight w:val="371"/>
        </w:trPr>
        <w:tc>
          <w:tcPr>
            <w:tcW w:w="2960" w:type="dxa"/>
            <w:vAlign w:val="bottom"/>
          </w:tcPr>
          <w:p>
            <w:pPr>
              <w:spacing w:after="0"/>
              <w:rPr>
                <w:sz w:val="20"/>
                <w:szCs w:val="20"/>
                <w:color w:val="auto"/>
              </w:rPr>
            </w:pPr>
            <w:r>
              <w:rPr>
                <w:rFonts w:ascii="Arial" w:cs="Arial" w:eastAsia="Arial" w:hAnsi="Arial"/>
                <w:sz w:val="15"/>
                <w:szCs w:val="15"/>
                <w:color w:val="7B7C80"/>
              </w:rPr>
              <w:t>AAA Northern California, Nevada &amp; Utah</w:t>
            </w:r>
          </w:p>
        </w:tc>
        <w:tc>
          <w:tcPr>
            <w:tcW w:w="8480" w:type="dxa"/>
            <w:vAlign w:val="bottom"/>
          </w:tcPr>
          <w:p>
            <w:pPr>
              <w:ind w:left="2840"/>
              <w:spacing w:after="0"/>
              <w:rPr>
                <w:sz w:val="20"/>
                <w:szCs w:val="20"/>
                <w:color w:val="auto"/>
              </w:rPr>
            </w:pPr>
            <w:r>
              <w:rPr>
                <w:rFonts w:ascii="Arial" w:cs="Arial" w:eastAsia="Arial" w:hAnsi="Arial"/>
                <w:sz w:val="15"/>
                <w:szCs w:val="15"/>
                <w:color w:val="7B7C80"/>
              </w:rPr>
              <w:t>Farm Credit Foundations</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AFLAC</w:t>
            </w:r>
          </w:p>
        </w:tc>
        <w:tc>
          <w:tcPr>
            <w:tcW w:w="8480" w:type="dxa"/>
            <w:vAlign w:val="bottom"/>
          </w:tcPr>
          <w:p>
            <w:pPr>
              <w:ind w:left="2840"/>
              <w:spacing w:after="0"/>
              <w:rPr>
                <w:sz w:val="20"/>
                <w:szCs w:val="20"/>
                <w:color w:val="auto"/>
              </w:rPr>
            </w:pPr>
            <w:r>
              <w:rPr>
                <w:rFonts w:ascii="Arial" w:cs="Arial" w:eastAsia="Arial" w:hAnsi="Arial"/>
                <w:sz w:val="15"/>
                <w:szCs w:val="15"/>
                <w:color w:val="7B7C80"/>
              </w:rPr>
              <w:t>Farmers Group</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Allianz Life Insurance</w:t>
            </w:r>
          </w:p>
        </w:tc>
        <w:tc>
          <w:tcPr>
            <w:tcW w:w="8480" w:type="dxa"/>
            <w:vAlign w:val="bottom"/>
          </w:tcPr>
          <w:p>
            <w:pPr>
              <w:ind w:left="2840"/>
              <w:spacing w:after="0"/>
              <w:rPr>
                <w:sz w:val="20"/>
                <w:szCs w:val="20"/>
                <w:color w:val="auto"/>
              </w:rPr>
            </w:pPr>
            <w:r>
              <w:rPr>
                <w:rFonts w:ascii="Arial" w:cs="Arial" w:eastAsia="Arial" w:hAnsi="Arial"/>
                <w:sz w:val="15"/>
                <w:szCs w:val="15"/>
                <w:color w:val="7B7C80"/>
              </w:rPr>
              <w:t>Federal Farm Credit Banks Funding</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Allianz Worldwide Partners</w:t>
            </w:r>
          </w:p>
        </w:tc>
        <w:tc>
          <w:tcPr>
            <w:tcW w:w="8480" w:type="dxa"/>
            <w:vAlign w:val="bottom"/>
          </w:tcPr>
          <w:p>
            <w:pPr>
              <w:ind w:left="2840"/>
              <w:spacing w:after="0"/>
              <w:rPr>
                <w:sz w:val="20"/>
                <w:szCs w:val="20"/>
                <w:color w:val="auto"/>
              </w:rPr>
            </w:pPr>
            <w:r>
              <w:rPr>
                <w:rFonts w:ascii="Arial" w:cs="Arial" w:eastAsia="Arial" w:hAnsi="Arial"/>
                <w:sz w:val="15"/>
                <w:szCs w:val="15"/>
                <w:color w:val="7B7C80"/>
              </w:rPr>
              <w:t>Federal Home Loan Bank of Atlanta</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Allstate</w:t>
            </w:r>
          </w:p>
        </w:tc>
        <w:tc>
          <w:tcPr>
            <w:tcW w:w="8480" w:type="dxa"/>
            <w:vAlign w:val="bottom"/>
          </w:tcPr>
          <w:p>
            <w:pPr>
              <w:ind w:left="2840"/>
              <w:spacing w:after="0"/>
              <w:rPr>
                <w:sz w:val="20"/>
                <w:szCs w:val="20"/>
                <w:color w:val="auto"/>
              </w:rPr>
            </w:pPr>
            <w:r>
              <w:rPr>
                <w:rFonts w:ascii="Arial" w:cs="Arial" w:eastAsia="Arial" w:hAnsi="Arial"/>
                <w:sz w:val="15"/>
                <w:szCs w:val="15"/>
                <w:color w:val="7B7C80"/>
              </w:rPr>
              <w:t>Federal Reserve Bank of Atlanta</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Ally Financial</w:t>
            </w:r>
          </w:p>
        </w:tc>
        <w:tc>
          <w:tcPr>
            <w:tcW w:w="8480" w:type="dxa"/>
            <w:vAlign w:val="bottom"/>
          </w:tcPr>
          <w:p>
            <w:pPr>
              <w:ind w:left="2840"/>
              <w:spacing w:after="0"/>
              <w:rPr>
                <w:sz w:val="20"/>
                <w:szCs w:val="20"/>
                <w:color w:val="auto"/>
              </w:rPr>
            </w:pPr>
            <w:r>
              <w:rPr>
                <w:rFonts w:ascii="Arial" w:cs="Arial" w:eastAsia="Arial" w:hAnsi="Arial"/>
                <w:sz w:val="15"/>
                <w:szCs w:val="15"/>
                <w:color w:val="7B7C80"/>
              </w:rPr>
              <w:t>Federal Reserve Bank of Boston</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American Express</w:t>
            </w:r>
          </w:p>
        </w:tc>
        <w:tc>
          <w:tcPr>
            <w:tcW w:w="8480" w:type="dxa"/>
            <w:vAlign w:val="bottom"/>
          </w:tcPr>
          <w:p>
            <w:pPr>
              <w:ind w:left="2840"/>
              <w:spacing w:after="0"/>
              <w:rPr>
                <w:sz w:val="20"/>
                <w:szCs w:val="20"/>
                <w:color w:val="auto"/>
              </w:rPr>
            </w:pPr>
            <w:r>
              <w:rPr>
                <w:rFonts w:ascii="Arial" w:cs="Arial" w:eastAsia="Arial" w:hAnsi="Arial"/>
                <w:sz w:val="15"/>
                <w:szCs w:val="15"/>
                <w:color w:val="7B7C80"/>
              </w:rPr>
              <w:t>Federal Reserve Bank of Cleveland</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Arthur J Gallagher &amp; Company</w:t>
            </w:r>
          </w:p>
        </w:tc>
        <w:tc>
          <w:tcPr>
            <w:tcW w:w="8480" w:type="dxa"/>
            <w:vAlign w:val="bottom"/>
          </w:tcPr>
          <w:p>
            <w:pPr>
              <w:ind w:left="2840"/>
              <w:spacing w:after="0"/>
              <w:rPr>
                <w:sz w:val="20"/>
                <w:szCs w:val="20"/>
                <w:color w:val="auto"/>
              </w:rPr>
            </w:pPr>
            <w:r>
              <w:rPr>
                <w:rFonts w:ascii="Arial" w:cs="Arial" w:eastAsia="Arial" w:hAnsi="Arial"/>
                <w:sz w:val="15"/>
                <w:szCs w:val="15"/>
                <w:color w:val="7B7C80"/>
              </w:rPr>
              <w:t>Federal Reserve Bank of San Francisco</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Aspen Specialty</w:t>
            </w:r>
          </w:p>
        </w:tc>
        <w:tc>
          <w:tcPr>
            <w:tcW w:w="8480" w:type="dxa"/>
            <w:vAlign w:val="bottom"/>
          </w:tcPr>
          <w:p>
            <w:pPr>
              <w:ind w:left="2840"/>
              <w:spacing w:after="0"/>
              <w:rPr>
                <w:sz w:val="20"/>
                <w:szCs w:val="20"/>
                <w:color w:val="auto"/>
              </w:rPr>
            </w:pPr>
            <w:r>
              <w:rPr>
                <w:rFonts w:ascii="Arial" w:cs="Arial" w:eastAsia="Arial" w:hAnsi="Arial"/>
                <w:sz w:val="15"/>
                <w:szCs w:val="15"/>
                <w:color w:val="7B7C80"/>
              </w:rPr>
              <w:t>Federal Reserve Bank of St. Louis</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Associated Banc-Corp</w:t>
            </w:r>
          </w:p>
        </w:tc>
        <w:tc>
          <w:tcPr>
            <w:tcW w:w="8480" w:type="dxa"/>
            <w:vAlign w:val="bottom"/>
          </w:tcPr>
          <w:p>
            <w:pPr>
              <w:ind w:left="2840"/>
              <w:spacing w:after="0"/>
              <w:rPr>
                <w:sz w:val="20"/>
                <w:szCs w:val="20"/>
                <w:color w:val="auto"/>
              </w:rPr>
            </w:pPr>
            <w:r>
              <w:rPr>
                <w:rFonts w:ascii="Arial" w:cs="Arial" w:eastAsia="Arial" w:hAnsi="Arial"/>
                <w:sz w:val="15"/>
                <w:szCs w:val="15"/>
                <w:color w:val="7B7C80"/>
              </w:rPr>
              <w:t>Federal Reserve Board</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Assurant</w:t>
            </w:r>
          </w:p>
        </w:tc>
        <w:tc>
          <w:tcPr>
            <w:tcW w:w="8480" w:type="dxa"/>
            <w:vAlign w:val="bottom"/>
          </w:tcPr>
          <w:p>
            <w:pPr>
              <w:ind w:left="2840"/>
              <w:spacing w:after="0"/>
              <w:rPr>
                <w:sz w:val="20"/>
                <w:szCs w:val="20"/>
                <w:color w:val="auto"/>
              </w:rPr>
            </w:pPr>
            <w:r>
              <w:rPr>
                <w:rFonts w:ascii="Arial" w:cs="Arial" w:eastAsia="Arial" w:hAnsi="Arial"/>
                <w:sz w:val="15"/>
                <w:szCs w:val="15"/>
                <w:color w:val="7B7C80"/>
              </w:rPr>
              <w:t>Fidelity Investments (FMR)</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Athene</w:t>
            </w:r>
          </w:p>
        </w:tc>
        <w:tc>
          <w:tcPr>
            <w:tcW w:w="8480" w:type="dxa"/>
            <w:vAlign w:val="bottom"/>
          </w:tcPr>
          <w:p>
            <w:pPr>
              <w:ind w:left="2840"/>
              <w:spacing w:after="0"/>
              <w:rPr>
                <w:sz w:val="20"/>
                <w:szCs w:val="20"/>
                <w:color w:val="auto"/>
              </w:rPr>
            </w:pPr>
            <w:r>
              <w:rPr>
                <w:rFonts w:ascii="Arial" w:cs="Arial" w:eastAsia="Arial" w:hAnsi="Arial"/>
                <w:sz w:val="15"/>
                <w:szCs w:val="15"/>
                <w:color w:val="7B7C80"/>
              </w:rPr>
              <w:t>Fifth Third Bancorp</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Auto Club Group</w:t>
            </w:r>
          </w:p>
        </w:tc>
        <w:tc>
          <w:tcPr>
            <w:tcW w:w="8480" w:type="dxa"/>
            <w:vAlign w:val="bottom"/>
          </w:tcPr>
          <w:p>
            <w:pPr>
              <w:ind w:left="2840"/>
              <w:spacing w:after="0"/>
              <w:rPr>
                <w:sz w:val="20"/>
                <w:szCs w:val="20"/>
                <w:color w:val="auto"/>
              </w:rPr>
            </w:pPr>
            <w:r>
              <w:rPr>
                <w:rFonts w:ascii="Arial" w:cs="Arial" w:eastAsia="Arial" w:hAnsi="Arial"/>
                <w:sz w:val="15"/>
                <w:szCs w:val="15"/>
                <w:color w:val="7B7C80"/>
              </w:rPr>
              <w:t>FINRA</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Avalon Bay Communities</w:t>
            </w:r>
          </w:p>
        </w:tc>
        <w:tc>
          <w:tcPr>
            <w:tcW w:w="8480" w:type="dxa"/>
            <w:vAlign w:val="bottom"/>
          </w:tcPr>
          <w:p>
            <w:pPr>
              <w:ind w:left="2840"/>
              <w:spacing w:after="0"/>
              <w:rPr>
                <w:sz w:val="20"/>
                <w:szCs w:val="20"/>
                <w:color w:val="auto"/>
              </w:rPr>
            </w:pPr>
            <w:r>
              <w:rPr>
                <w:rFonts w:ascii="Arial" w:cs="Arial" w:eastAsia="Arial" w:hAnsi="Arial"/>
                <w:sz w:val="15"/>
                <w:szCs w:val="15"/>
                <w:color w:val="7B7C80"/>
              </w:rPr>
              <w:t>FirstBank</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AXA Group</w:t>
            </w:r>
          </w:p>
        </w:tc>
        <w:tc>
          <w:tcPr>
            <w:tcW w:w="8480" w:type="dxa"/>
            <w:vAlign w:val="bottom"/>
          </w:tcPr>
          <w:p>
            <w:pPr>
              <w:ind w:left="2840"/>
              <w:spacing w:after="0"/>
              <w:rPr>
                <w:sz w:val="20"/>
                <w:szCs w:val="20"/>
                <w:color w:val="auto"/>
              </w:rPr>
            </w:pPr>
            <w:r>
              <w:rPr>
                <w:rFonts w:ascii="Arial" w:cs="Arial" w:eastAsia="Arial" w:hAnsi="Arial"/>
                <w:sz w:val="15"/>
                <w:szCs w:val="15"/>
                <w:color w:val="7B7C80"/>
              </w:rPr>
              <w:t>First Citizens Bank</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Bank of Montreal</w:t>
            </w:r>
          </w:p>
        </w:tc>
        <w:tc>
          <w:tcPr>
            <w:tcW w:w="8480" w:type="dxa"/>
            <w:vAlign w:val="bottom"/>
          </w:tcPr>
          <w:p>
            <w:pPr>
              <w:ind w:left="2840"/>
              <w:spacing w:after="0"/>
              <w:rPr>
                <w:sz w:val="20"/>
                <w:szCs w:val="20"/>
                <w:color w:val="auto"/>
              </w:rPr>
            </w:pPr>
            <w:r>
              <w:rPr>
                <w:rFonts w:ascii="Arial" w:cs="Arial" w:eastAsia="Arial" w:hAnsi="Arial"/>
                <w:sz w:val="15"/>
                <w:szCs w:val="15"/>
                <w:color w:val="7B7C80"/>
              </w:rPr>
              <w:t>First Data</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BBVA</w:t>
            </w:r>
          </w:p>
        </w:tc>
        <w:tc>
          <w:tcPr>
            <w:tcW w:w="8480" w:type="dxa"/>
            <w:vAlign w:val="bottom"/>
          </w:tcPr>
          <w:p>
            <w:pPr>
              <w:ind w:left="2840"/>
              <w:spacing w:after="0"/>
              <w:rPr>
                <w:sz w:val="20"/>
                <w:szCs w:val="20"/>
                <w:color w:val="auto"/>
              </w:rPr>
            </w:pPr>
            <w:r>
              <w:rPr>
                <w:rFonts w:ascii="Arial" w:cs="Arial" w:eastAsia="Arial" w:hAnsi="Arial"/>
                <w:sz w:val="15"/>
                <w:szCs w:val="15"/>
                <w:color w:val="7B7C80"/>
              </w:rPr>
              <w:t>First National of Nebraska</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BECU</w:t>
            </w:r>
          </w:p>
        </w:tc>
        <w:tc>
          <w:tcPr>
            <w:tcW w:w="8480" w:type="dxa"/>
            <w:vAlign w:val="bottom"/>
          </w:tcPr>
          <w:p>
            <w:pPr>
              <w:ind w:left="2840"/>
              <w:spacing w:after="0"/>
              <w:rPr>
                <w:sz w:val="20"/>
                <w:szCs w:val="20"/>
                <w:color w:val="auto"/>
              </w:rPr>
            </w:pPr>
            <w:r>
              <w:rPr>
                <w:rFonts w:ascii="Arial" w:cs="Arial" w:eastAsia="Arial" w:hAnsi="Arial"/>
                <w:sz w:val="15"/>
                <w:szCs w:val="15"/>
                <w:color w:val="7B7C80"/>
              </w:rPr>
              <w:t>First Tennessee National Corporation</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Bethpage Federal Credit Union</w:t>
            </w:r>
          </w:p>
        </w:tc>
        <w:tc>
          <w:tcPr>
            <w:tcW w:w="8480" w:type="dxa"/>
            <w:vAlign w:val="bottom"/>
          </w:tcPr>
          <w:p>
            <w:pPr>
              <w:ind w:left="2840"/>
              <w:spacing w:after="0"/>
              <w:rPr>
                <w:sz w:val="20"/>
                <w:szCs w:val="20"/>
                <w:color w:val="auto"/>
              </w:rPr>
            </w:pPr>
            <w:r>
              <w:rPr>
                <w:rFonts w:ascii="Arial" w:cs="Arial" w:eastAsia="Arial" w:hAnsi="Arial"/>
                <w:sz w:val="15"/>
                <w:szCs w:val="15"/>
                <w:color w:val="7B7C80"/>
              </w:rPr>
              <w:t>FiServ</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Blue Cross Blue Shield of Florida</w:t>
            </w:r>
          </w:p>
        </w:tc>
        <w:tc>
          <w:tcPr>
            <w:tcW w:w="8480" w:type="dxa"/>
            <w:vAlign w:val="bottom"/>
          </w:tcPr>
          <w:p>
            <w:pPr>
              <w:ind w:left="2840"/>
              <w:spacing w:after="0"/>
              <w:rPr>
                <w:sz w:val="20"/>
                <w:szCs w:val="20"/>
                <w:color w:val="auto"/>
              </w:rPr>
            </w:pPr>
            <w:r>
              <w:rPr>
                <w:rFonts w:ascii="Arial" w:cs="Arial" w:eastAsia="Arial" w:hAnsi="Arial"/>
                <w:sz w:val="15"/>
                <w:szCs w:val="15"/>
                <w:color w:val="7B7C80"/>
              </w:rPr>
              <w:t>Flagstar Bank</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Blue Cross Blue Shield of Louisiana</w:t>
            </w:r>
          </w:p>
        </w:tc>
        <w:tc>
          <w:tcPr>
            <w:tcW w:w="8480" w:type="dxa"/>
            <w:vAlign w:val="bottom"/>
          </w:tcPr>
          <w:p>
            <w:pPr>
              <w:ind w:left="2840"/>
              <w:spacing w:after="0"/>
              <w:rPr>
                <w:sz w:val="20"/>
                <w:szCs w:val="20"/>
                <w:color w:val="auto"/>
              </w:rPr>
            </w:pPr>
            <w:r>
              <w:rPr>
                <w:rFonts w:ascii="Arial" w:cs="Arial" w:eastAsia="Arial" w:hAnsi="Arial"/>
                <w:sz w:val="15"/>
                <w:szCs w:val="15"/>
                <w:color w:val="7B7C80"/>
              </w:rPr>
              <w:t>Franklin Resources</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Blue Shield of California</w:t>
            </w:r>
          </w:p>
        </w:tc>
        <w:tc>
          <w:tcPr>
            <w:tcW w:w="8480" w:type="dxa"/>
            <w:vAlign w:val="bottom"/>
          </w:tcPr>
          <w:p>
            <w:pPr>
              <w:ind w:left="2840"/>
              <w:spacing w:after="0"/>
              <w:rPr>
                <w:sz w:val="20"/>
                <w:szCs w:val="20"/>
                <w:color w:val="auto"/>
              </w:rPr>
            </w:pPr>
            <w:r>
              <w:rPr>
                <w:rFonts w:ascii="Arial" w:cs="Arial" w:eastAsia="Arial" w:hAnsi="Arial"/>
                <w:sz w:val="15"/>
                <w:szCs w:val="15"/>
                <w:color w:val="7B7C80"/>
              </w:rPr>
              <w:t>Freddie Mac</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BOK Financial</w:t>
            </w:r>
          </w:p>
        </w:tc>
        <w:tc>
          <w:tcPr>
            <w:tcW w:w="8480" w:type="dxa"/>
            <w:vAlign w:val="bottom"/>
          </w:tcPr>
          <w:p>
            <w:pPr>
              <w:ind w:left="2840"/>
              <w:spacing w:after="0"/>
              <w:rPr>
                <w:sz w:val="20"/>
                <w:szCs w:val="20"/>
                <w:color w:val="auto"/>
              </w:rPr>
            </w:pPr>
            <w:r>
              <w:rPr>
                <w:rFonts w:ascii="Arial" w:cs="Arial" w:eastAsia="Arial" w:hAnsi="Arial"/>
                <w:sz w:val="15"/>
                <w:szCs w:val="15"/>
                <w:color w:val="7B7C80"/>
              </w:rPr>
              <w:t>Fulton Financial</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Boston Private Financial</w:t>
            </w:r>
          </w:p>
        </w:tc>
        <w:tc>
          <w:tcPr>
            <w:tcW w:w="8480" w:type="dxa"/>
            <w:vAlign w:val="bottom"/>
          </w:tcPr>
          <w:p>
            <w:pPr>
              <w:ind w:left="2840"/>
              <w:spacing w:after="0"/>
              <w:rPr>
                <w:sz w:val="20"/>
                <w:szCs w:val="20"/>
                <w:color w:val="auto"/>
              </w:rPr>
            </w:pPr>
            <w:r>
              <w:rPr>
                <w:rFonts w:ascii="Arial" w:cs="Arial" w:eastAsia="Arial" w:hAnsi="Arial"/>
                <w:sz w:val="15"/>
                <w:szCs w:val="15"/>
                <w:color w:val="7B7C80"/>
              </w:rPr>
              <w:t>GATX</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Bremer Financial</w:t>
            </w:r>
          </w:p>
        </w:tc>
        <w:tc>
          <w:tcPr>
            <w:tcW w:w="8480" w:type="dxa"/>
            <w:vAlign w:val="bottom"/>
          </w:tcPr>
          <w:p>
            <w:pPr>
              <w:ind w:left="2840"/>
              <w:spacing w:after="0"/>
              <w:rPr>
                <w:sz w:val="20"/>
                <w:szCs w:val="20"/>
                <w:color w:val="auto"/>
              </w:rPr>
            </w:pPr>
            <w:r>
              <w:rPr>
                <w:rFonts w:ascii="Arial" w:cs="Arial" w:eastAsia="Arial" w:hAnsi="Arial"/>
                <w:sz w:val="15"/>
                <w:szCs w:val="15"/>
                <w:color w:val="7B7C80"/>
              </w:rPr>
              <w:t>Genworth Financial</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Brighthouse Financial/MetLife</w:t>
            </w:r>
          </w:p>
        </w:tc>
        <w:tc>
          <w:tcPr>
            <w:tcW w:w="8480" w:type="dxa"/>
            <w:vAlign w:val="bottom"/>
          </w:tcPr>
          <w:p>
            <w:pPr>
              <w:ind w:left="2840"/>
              <w:spacing w:after="0"/>
              <w:rPr>
                <w:sz w:val="20"/>
                <w:szCs w:val="20"/>
                <w:color w:val="auto"/>
              </w:rPr>
            </w:pPr>
            <w:r>
              <w:rPr>
                <w:rFonts w:ascii="Arial" w:cs="Arial" w:eastAsia="Arial" w:hAnsi="Arial"/>
                <w:sz w:val="15"/>
                <w:szCs w:val="15"/>
                <w:color w:val="7B7C80"/>
              </w:rPr>
              <w:t>GM Financial</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Cadence Bank</w:t>
            </w:r>
          </w:p>
        </w:tc>
        <w:tc>
          <w:tcPr>
            <w:tcW w:w="8480" w:type="dxa"/>
            <w:vAlign w:val="bottom"/>
          </w:tcPr>
          <w:p>
            <w:pPr>
              <w:ind w:left="2840"/>
              <w:spacing w:after="0"/>
              <w:rPr>
                <w:sz w:val="20"/>
                <w:szCs w:val="20"/>
                <w:color w:val="auto"/>
              </w:rPr>
            </w:pPr>
            <w:r>
              <w:rPr>
                <w:rFonts w:ascii="Arial" w:cs="Arial" w:eastAsia="Arial" w:hAnsi="Arial"/>
                <w:sz w:val="15"/>
                <w:szCs w:val="15"/>
                <w:color w:val="7B7C80"/>
              </w:rPr>
              <w:t>Great American Insurance</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Capital One Financial</w:t>
            </w:r>
          </w:p>
        </w:tc>
        <w:tc>
          <w:tcPr>
            <w:tcW w:w="8480" w:type="dxa"/>
            <w:vAlign w:val="bottom"/>
          </w:tcPr>
          <w:p>
            <w:pPr>
              <w:ind w:left="2840"/>
              <w:spacing w:after="0"/>
              <w:rPr>
                <w:sz w:val="20"/>
                <w:szCs w:val="20"/>
                <w:color w:val="auto"/>
              </w:rPr>
            </w:pPr>
            <w:r>
              <w:rPr>
                <w:rFonts w:ascii="Arial" w:cs="Arial" w:eastAsia="Arial" w:hAnsi="Arial"/>
                <w:sz w:val="15"/>
                <w:szCs w:val="15"/>
                <w:color w:val="7B7C80"/>
              </w:rPr>
              <w:t>Great-West Financial</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Caterpillar Financial Services</w:t>
            </w:r>
          </w:p>
        </w:tc>
        <w:tc>
          <w:tcPr>
            <w:tcW w:w="8480" w:type="dxa"/>
            <w:vAlign w:val="bottom"/>
          </w:tcPr>
          <w:p>
            <w:pPr>
              <w:ind w:left="2840"/>
              <w:spacing w:after="0"/>
              <w:rPr>
                <w:sz w:val="20"/>
                <w:szCs w:val="20"/>
                <w:color w:val="auto"/>
              </w:rPr>
            </w:pPr>
            <w:r>
              <w:rPr>
                <w:rFonts w:ascii="Arial" w:cs="Arial" w:eastAsia="Arial" w:hAnsi="Arial"/>
                <w:sz w:val="15"/>
                <w:szCs w:val="15"/>
                <w:color w:val="7B7C80"/>
              </w:rPr>
              <w:t>Guardian Life</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CBRE Global Investors</w:t>
            </w:r>
          </w:p>
        </w:tc>
        <w:tc>
          <w:tcPr>
            <w:tcW w:w="8480" w:type="dxa"/>
            <w:vAlign w:val="bottom"/>
          </w:tcPr>
          <w:p>
            <w:pPr>
              <w:ind w:left="2840"/>
              <w:spacing w:after="0"/>
              <w:rPr>
                <w:sz w:val="20"/>
                <w:szCs w:val="20"/>
                <w:color w:val="auto"/>
              </w:rPr>
            </w:pPr>
            <w:r>
              <w:rPr>
                <w:rFonts w:ascii="Arial" w:cs="Arial" w:eastAsia="Arial" w:hAnsi="Arial"/>
                <w:sz w:val="15"/>
                <w:szCs w:val="15"/>
                <w:color w:val="7B7C80"/>
              </w:rPr>
              <w:t>Hanover Insurance Group</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Charles Schwab</w:t>
            </w:r>
          </w:p>
        </w:tc>
        <w:tc>
          <w:tcPr>
            <w:tcW w:w="8480" w:type="dxa"/>
            <w:vAlign w:val="bottom"/>
          </w:tcPr>
          <w:p>
            <w:pPr>
              <w:ind w:left="2840"/>
              <w:spacing w:after="0"/>
              <w:rPr>
                <w:sz w:val="20"/>
                <w:szCs w:val="20"/>
                <w:color w:val="auto"/>
              </w:rPr>
            </w:pPr>
            <w:r>
              <w:rPr>
                <w:rFonts w:ascii="Arial" w:cs="Arial" w:eastAsia="Arial" w:hAnsi="Arial"/>
                <w:sz w:val="15"/>
                <w:szCs w:val="15"/>
                <w:color w:val="7B7C80"/>
              </w:rPr>
              <w:t>Hartford Financial Services Group</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Chemical Bank</w:t>
            </w:r>
          </w:p>
        </w:tc>
        <w:tc>
          <w:tcPr>
            <w:tcW w:w="8480" w:type="dxa"/>
            <w:vAlign w:val="bottom"/>
          </w:tcPr>
          <w:p>
            <w:pPr>
              <w:ind w:left="2840"/>
              <w:spacing w:after="0"/>
              <w:rPr>
                <w:sz w:val="20"/>
                <w:szCs w:val="20"/>
                <w:color w:val="auto"/>
              </w:rPr>
            </w:pPr>
            <w:r>
              <w:rPr>
                <w:rFonts w:ascii="Arial" w:cs="Arial" w:eastAsia="Arial" w:hAnsi="Arial"/>
                <w:sz w:val="15"/>
                <w:szCs w:val="15"/>
                <w:color w:val="7B7C80"/>
              </w:rPr>
              <w:t>Health Care Services Group</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Chubb</w:t>
            </w:r>
          </w:p>
        </w:tc>
        <w:tc>
          <w:tcPr>
            <w:tcW w:w="8480" w:type="dxa"/>
            <w:vAlign w:val="bottom"/>
          </w:tcPr>
          <w:p>
            <w:pPr>
              <w:ind w:left="2840"/>
              <w:spacing w:after="0"/>
              <w:rPr>
                <w:sz w:val="20"/>
                <w:szCs w:val="20"/>
                <w:color w:val="auto"/>
              </w:rPr>
            </w:pPr>
            <w:r>
              <w:rPr>
                <w:rFonts w:ascii="Arial" w:cs="Arial" w:eastAsia="Arial" w:hAnsi="Arial"/>
                <w:sz w:val="15"/>
                <w:szCs w:val="15"/>
                <w:color w:val="7B7C80"/>
              </w:rPr>
              <w:t>Hiscox</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Cigna</w:t>
            </w:r>
          </w:p>
        </w:tc>
        <w:tc>
          <w:tcPr>
            <w:tcW w:w="8480" w:type="dxa"/>
            <w:vAlign w:val="bottom"/>
          </w:tcPr>
          <w:p>
            <w:pPr>
              <w:ind w:left="2840"/>
              <w:spacing w:after="0"/>
              <w:rPr>
                <w:sz w:val="20"/>
                <w:szCs w:val="20"/>
                <w:color w:val="auto"/>
              </w:rPr>
            </w:pPr>
            <w:r>
              <w:rPr>
                <w:rFonts w:ascii="Arial" w:cs="Arial" w:eastAsia="Arial" w:hAnsi="Arial"/>
                <w:sz w:val="15"/>
                <w:szCs w:val="15"/>
                <w:color w:val="7B7C80"/>
              </w:rPr>
              <w:t>Hitachi Capital America</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Citizens Property Insurance</w:t>
            </w:r>
          </w:p>
        </w:tc>
        <w:tc>
          <w:tcPr>
            <w:tcW w:w="8480" w:type="dxa"/>
            <w:vAlign w:val="bottom"/>
          </w:tcPr>
          <w:p>
            <w:pPr>
              <w:ind w:left="2840"/>
              <w:spacing w:after="0"/>
              <w:rPr>
                <w:sz w:val="20"/>
                <w:szCs w:val="20"/>
                <w:color w:val="auto"/>
              </w:rPr>
            </w:pPr>
            <w:r>
              <w:rPr>
                <w:rFonts w:ascii="Arial" w:cs="Arial" w:eastAsia="Arial" w:hAnsi="Arial"/>
                <w:sz w:val="15"/>
                <w:szCs w:val="15"/>
                <w:color w:val="7B7C80"/>
              </w:rPr>
              <w:t>Horizon Blue Cross Blue Shield of New Jersey</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City National Bank</w:t>
            </w:r>
          </w:p>
        </w:tc>
        <w:tc>
          <w:tcPr>
            <w:tcW w:w="8480" w:type="dxa"/>
            <w:vAlign w:val="bottom"/>
          </w:tcPr>
          <w:p>
            <w:pPr>
              <w:ind w:left="2840"/>
              <w:spacing w:after="0"/>
              <w:rPr>
                <w:sz w:val="20"/>
                <w:szCs w:val="20"/>
                <w:color w:val="auto"/>
              </w:rPr>
            </w:pPr>
            <w:r>
              <w:rPr>
                <w:rFonts w:ascii="Arial" w:cs="Arial" w:eastAsia="Arial" w:hAnsi="Arial"/>
                <w:sz w:val="15"/>
                <w:szCs w:val="15"/>
                <w:color w:val="7B7C80"/>
              </w:rPr>
              <w:t>HSBC Bank</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CLS</w:t>
            </w:r>
          </w:p>
        </w:tc>
        <w:tc>
          <w:tcPr>
            <w:tcW w:w="8480" w:type="dxa"/>
            <w:vAlign w:val="bottom"/>
          </w:tcPr>
          <w:p>
            <w:pPr>
              <w:ind w:left="2840"/>
              <w:spacing w:after="0"/>
              <w:rPr>
                <w:sz w:val="20"/>
                <w:szCs w:val="20"/>
                <w:color w:val="auto"/>
              </w:rPr>
            </w:pPr>
            <w:r>
              <w:rPr>
                <w:rFonts w:ascii="Arial" w:cs="Arial" w:eastAsia="Arial" w:hAnsi="Arial"/>
                <w:sz w:val="15"/>
                <w:szCs w:val="15"/>
                <w:color w:val="7B7C80"/>
              </w:rPr>
              <w:t>Humana</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CME Group</w:t>
            </w:r>
          </w:p>
        </w:tc>
        <w:tc>
          <w:tcPr>
            <w:tcW w:w="8480" w:type="dxa"/>
            <w:vAlign w:val="bottom"/>
          </w:tcPr>
          <w:p>
            <w:pPr>
              <w:ind w:left="2840"/>
              <w:spacing w:after="0"/>
              <w:rPr>
                <w:sz w:val="20"/>
                <w:szCs w:val="20"/>
                <w:color w:val="auto"/>
              </w:rPr>
            </w:pPr>
            <w:r>
              <w:rPr>
                <w:rFonts w:ascii="Arial" w:cs="Arial" w:eastAsia="Arial" w:hAnsi="Arial"/>
                <w:sz w:val="15"/>
                <w:szCs w:val="15"/>
                <w:color w:val="7B7C80"/>
              </w:rPr>
              <w:t>Huntington Bancshares</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CNA Hardy</w:t>
            </w:r>
          </w:p>
        </w:tc>
        <w:tc>
          <w:tcPr>
            <w:tcW w:w="8480" w:type="dxa"/>
            <w:vAlign w:val="bottom"/>
          </w:tcPr>
          <w:p>
            <w:pPr>
              <w:ind w:left="2840"/>
              <w:spacing w:after="0"/>
              <w:rPr>
                <w:sz w:val="20"/>
                <w:szCs w:val="20"/>
                <w:color w:val="auto"/>
              </w:rPr>
            </w:pPr>
            <w:r>
              <w:rPr>
                <w:rFonts w:ascii="Arial" w:cs="Arial" w:eastAsia="Arial" w:hAnsi="Arial"/>
                <w:sz w:val="15"/>
                <w:szCs w:val="15"/>
                <w:color w:val="7B7C80"/>
              </w:rPr>
              <w:t>Iberia Bank</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CNO Financial</w:t>
            </w:r>
          </w:p>
        </w:tc>
        <w:tc>
          <w:tcPr>
            <w:tcW w:w="8480" w:type="dxa"/>
            <w:vAlign w:val="bottom"/>
          </w:tcPr>
          <w:p>
            <w:pPr>
              <w:ind w:left="2840"/>
              <w:spacing w:after="0"/>
              <w:rPr>
                <w:sz w:val="20"/>
                <w:szCs w:val="20"/>
                <w:color w:val="auto"/>
              </w:rPr>
            </w:pPr>
            <w:r>
              <w:rPr>
                <w:rFonts w:ascii="Arial" w:cs="Arial" w:eastAsia="Arial" w:hAnsi="Arial"/>
                <w:sz w:val="15"/>
                <w:szCs w:val="15"/>
                <w:color w:val="7B7C80"/>
              </w:rPr>
              <w:t>Independence Blue Cross</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Cobank</w:t>
            </w:r>
          </w:p>
        </w:tc>
        <w:tc>
          <w:tcPr>
            <w:tcW w:w="8480" w:type="dxa"/>
            <w:vAlign w:val="bottom"/>
          </w:tcPr>
          <w:p>
            <w:pPr>
              <w:ind w:left="2840"/>
              <w:spacing w:after="0"/>
              <w:rPr>
                <w:sz w:val="20"/>
                <w:szCs w:val="20"/>
                <w:color w:val="auto"/>
              </w:rPr>
            </w:pPr>
            <w:r>
              <w:rPr>
                <w:rFonts w:ascii="Arial" w:cs="Arial" w:eastAsia="Arial" w:hAnsi="Arial"/>
                <w:sz w:val="15"/>
                <w:szCs w:val="15"/>
                <w:color w:val="7B7C80"/>
              </w:rPr>
              <w:t>Irvine</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Comerica</w:t>
            </w:r>
          </w:p>
        </w:tc>
        <w:tc>
          <w:tcPr>
            <w:tcW w:w="8480" w:type="dxa"/>
            <w:vAlign w:val="bottom"/>
          </w:tcPr>
          <w:p>
            <w:pPr>
              <w:ind w:left="2840"/>
              <w:spacing w:after="0"/>
              <w:rPr>
                <w:sz w:val="20"/>
                <w:szCs w:val="20"/>
                <w:color w:val="auto"/>
              </w:rPr>
            </w:pPr>
            <w:r>
              <w:rPr>
                <w:rFonts w:ascii="Arial" w:cs="Arial" w:eastAsia="Arial" w:hAnsi="Arial"/>
                <w:sz w:val="15"/>
                <w:szCs w:val="15"/>
                <w:color w:val="7B7C80"/>
              </w:rPr>
              <w:t>Jackson National Life</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Commerce Bancshares</w:t>
            </w:r>
          </w:p>
        </w:tc>
        <w:tc>
          <w:tcPr>
            <w:tcW w:w="8480" w:type="dxa"/>
            <w:vAlign w:val="bottom"/>
          </w:tcPr>
          <w:p>
            <w:pPr>
              <w:ind w:left="2840"/>
              <w:spacing w:after="0"/>
              <w:rPr>
                <w:sz w:val="20"/>
                <w:szCs w:val="20"/>
                <w:color w:val="auto"/>
              </w:rPr>
            </w:pPr>
            <w:r>
              <w:rPr>
                <w:rFonts w:ascii="Arial" w:cs="Arial" w:eastAsia="Arial" w:hAnsi="Arial"/>
                <w:sz w:val="15"/>
                <w:szCs w:val="15"/>
                <w:color w:val="7B7C80"/>
              </w:rPr>
              <w:t>JJB Hilliard, WL Lyons</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Country Financial</w:t>
            </w:r>
          </w:p>
        </w:tc>
        <w:tc>
          <w:tcPr>
            <w:tcW w:w="8480" w:type="dxa"/>
            <w:vAlign w:val="bottom"/>
          </w:tcPr>
          <w:p>
            <w:pPr>
              <w:ind w:left="2840"/>
              <w:spacing w:after="0"/>
              <w:rPr>
                <w:sz w:val="20"/>
                <w:szCs w:val="20"/>
                <w:color w:val="auto"/>
              </w:rPr>
            </w:pPr>
            <w:r>
              <w:rPr>
                <w:rFonts w:ascii="Arial" w:cs="Arial" w:eastAsia="Arial" w:hAnsi="Arial"/>
                <w:sz w:val="15"/>
                <w:szCs w:val="15"/>
                <w:color w:val="7B7C80"/>
              </w:rPr>
              <w:t>John Hancock</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Coverys</w:t>
            </w:r>
          </w:p>
        </w:tc>
        <w:tc>
          <w:tcPr>
            <w:tcW w:w="8480" w:type="dxa"/>
            <w:vAlign w:val="bottom"/>
          </w:tcPr>
          <w:p>
            <w:pPr>
              <w:ind w:left="2840"/>
              <w:spacing w:after="0"/>
              <w:rPr>
                <w:sz w:val="20"/>
                <w:szCs w:val="20"/>
                <w:color w:val="auto"/>
              </w:rPr>
            </w:pPr>
            <w:r>
              <w:rPr>
                <w:rFonts w:ascii="Arial" w:cs="Arial" w:eastAsia="Arial" w:hAnsi="Arial"/>
                <w:sz w:val="15"/>
                <w:szCs w:val="15"/>
                <w:color w:val="7B7C80"/>
              </w:rPr>
              <w:t>Kaiser Health Foundation</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CSAA Insurance Group</w:t>
            </w:r>
          </w:p>
        </w:tc>
        <w:tc>
          <w:tcPr>
            <w:tcW w:w="8480" w:type="dxa"/>
            <w:vAlign w:val="bottom"/>
          </w:tcPr>
          <w:p>
            <w:pPr>
              <w:ind w:left="2840"/>
              <w:spacing w:after="0"/>
              <w:rPr>
                <w:sz w:val="20"/>
                <w:szCs w:val="20"/>
                <w:color w:val="auto"/>
              </w:rPr>
            </w:pPr>
            <w:r>
              <w:rPr>
                <w:rFonts w:ascii="Arial" w:cs="Arial" w:eastAsia="Arial" w:hAnsi="Arial"/>
                <w:sz w:val="15"/>
                <w:szCs w:val="15"/>
                <w:color w:val="7B7C80"/>
              </w:rPr>
              <w:t>Kemper Services Group</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Cullen Frost Bankers</w:t>
            </w:r>
          </w:p>
        </w:tc>
        <w:tc>
          <w:tcPr>
            <w:tcW w:w="8480" w:type="dxa"/>
            <w:vAlign w:val="bottom"/>
          </w:tcPr>
          <w:p>
            <w:pPr>
              <w:ind w:left="2840"/>
              <w:spacing w:after="0"/>
              <w:rPr>
                <w:sz w:val="20"/>
                <w:szCs w:val="20"/>
                <w:color w:val="auto"/>
              </w:rPr>
            </w:pPr>
            <w:r>
              <w:rPr>
                <w:rFonts w:ascii="Arial" w:cs="Arial" w:eastAsia="Arial" w:hAnsi="Arial"/>
                <w:sz w:val="15"/>
                <w:szCs w:val="15"/>
                <w:color w:val="7B7C80"/>
              </w:rPr>
              <w:t>KeyCorp</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Delta Dental of California</w:t>
            </w:r>
          </w:p>
        </w:tc>
        <w:tc>
          <w:tcPr>
            <w:tcW w:w="8480" w:type="dxa"/>
            <w:vAlign w:val="bottom"/>
          </w:tcPr>
          <w:p>
            <w:pPr>
              <w:ind w:left="2840"/>
              <w:spacing w:after="0"/>
              <w:rPr>
                <w:sz w:val="20"/>
                <w:szCs w:val="20"/>
                <w:color w:val="auto"/>
              </w:rPr>
            </w:pPr>
            <w:r>
              <w:rPr>
                <w:rFonts w:ascii="Arial" w:cs="Arial" w:eastAsia="Arial" w:hAnsi="Arial"/>
                <w:sz w:val="15"/>
                <w:szCs w:val="15"/>
                <w:color w:val="7B7C80"/>
              </w:rPr>
              <w:t>Knights of Columbus</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Delta Dental Plan of Michigan</w:t>
            </w:r>
          </w:p>
        </w:tc>
        <w:tc>
          <w:tcPr>
            <w:tcW w:w="8480" w:type="dxa"/>
            <w:vAlign w:val="bottom"/>
          </w:tcPr>
          <w:p>
            <w:pPr>
              <w:ind w:left="2840"/>
              <w:spacing w:after="0"/>
              <w:rPr>
                <w:sz w:val="20"/>
                <w:szCs w:val="20"/>
                <w:color w:val="auto"/>
              </w:rPr>
            </w:pPr>
            <w:r>
              <w:rPr>
                <w:rFonts w:ascii="Arial" w:cs="Arial" w:eastAsia="Arial" w:hAnsi="Arial"/>
                <w:sz w:val="15"/>
                <w:szCs w:val="15"/>
                <w:color w:val="7B7C80"/>
              </w:rPr>
              <w:t>Liberty Mutual U.S.—Consumer Markets</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Eastern Bank</w:t>
            </w:r>
          </w:p>
        </w:tc>
        <w:tc>
          <w:tcPr>
            <w:tcW w:w="8480" w:type="dxa"/>
            <w:vAlign w:val="bottom"/>
          </w:tcPr>
          <w:p>
            <w:pPr>
              <w:ind w:left="2840"/>
              <w:spacing w:after="0"/>
              <w:rPr>
                <w:sz w:val="20"/>
                <w:szCs w:val="20"/>
                <w:color w:val="auto"/>
              </w:rPr>
            </w:pPr>
            <w:r>
              <w:rPr>
                <w:rFonts w:ascii="Arial" w:cs="Arial" w:eastAsia="Arial" w:hAnsi="Arial"/>
                <w:sz w:val="15"/>
                <w:szCs w:val="15"/>
                <w:color w:val="7B7C80"/>
              </w:rPr>
              <w:t>Lincoln Financial</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Edward Jones</w:t>
            </w:r>
          </w:p>
        </w:tc>
        <w:tc>
          <w:tcPr>
            <w:tcW w:w="8480" w:type="dxa"/>
            <w:vAlign w:val="bottom"/>
          </w:tcPr>
          <w:p>
            <w:pPr>
              <w:ind w:left="2840"/>
              <w:spacing w:after="0"/>
              <w:rPr>
                <w:sz w:val="20"/>
                <w:szCs w:val="20"/>
                <w:color w:val="auto"/>
              </w:rPr>
            </w:pPr>
            <w:r>
              <w:rPr>
                <w:rFonts w:ascii="Arial" w:cs="Arial" w:eastAsia="Arial" w:hAnsi="Arial"/>
                <w:sz w:val="15"/>
                <w:szCs w:val="15"/>
                <w:color w:val="7B7C80"/>
              </w:rPr>
              <w:t>Loews</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Element Fleet Management</w:t>
            </w:r>
          </w:p>
        </w:tc>
        <w:tc>
          <w:tcPr>
            <w:tcW w:w="8480" w:type="dxa"/>
            <w:vAlign w:val="bottom"/>
          </w:tcPr>
          <w:p>
            <w:pPr>
              <w:ind w:left="2840"/>
              <w:spacing w:after="0"/>
              <w:rPr>
                <w:sz w:val="20"/>
                <w:szCs w:val="20"/>
                <w:color w:val="auto"/>
              </w:rPr>
            </w:pPr>
            <w:r>
              <w:rPr>
                <w:rFonts w:ascii="Arial" w:cs="Arial" w:eastAsia="Arial" w:hAnsi="Arial"/>
                <w:sz w:val="15"/>
                <w:szCs w:val="15"/>
                <w:color w:val="7B7C80"/>
              </w:rPr>
              <w:t>London Stock Exchange Group</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Emblem Health</w:t>
            </w:r>
          </w:p>
        </w:tc>
        <w:tc>
          <w:tcPr>
            <w:tcW w:w="8480" w:type="dxa"/>
            <w:vAlign w:val="bottom"/>
          </w:tcPr>
          <w:p>
            <w:pPr>
              <w:ind w:left="2840"/>
              <w:spacing w:after="0"/>
              <w:rPr>
                <w:sz w:val="20"/>
                <w:szCs w:val="20"/>
                <w:color w:val="auto"/>
              </w:rPr>
            </w:pPr>
            <w:r>
              <w:rPr>
                <w:rFonts w:ascii="Arial" w:cs="Arial" w:eastAsia="Arial" w:hAnsi="Arial"/>
                <w:sz w:val="15"/>
                <w:szCs w:val="15"/>
                <w:color w:val="7B7C80"/>
              </w:rPr>
              <w:t>M&amp;T Bank</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Employers Mutual Casualty Company</w:t>
            </w:r>
          </w:p>
        </w:tc>
        <w:tc>
          <w:tcPr>
            <w:tcW w:w="8480" w:type="dxa"/>
            <w:vAlign w:val="bottom"/>
          </w:tcPr>
          <w:p>
            <w:pPr>
              <w:ind w:left="2840"/>
              <w:spacing w:after="0"/>
              <w:rPr>
                <w:sz w:val="20"/>
                <w:szCs w:val="20"/>
                <w:color w:val="auto"/>
              </w:rPr>
            </w:pPr>
            <w:r>
              <w:rPr>
                <w:rFonts w:ascii="Arial" w:cs="Arial" w:eastAsia="Arial" w:hAnsi="Arial"/>
                <w:sz w:val="15"/>
                <w:szCs w:val="15"/>
                <w:color w:val="7B7C80"/>
              </w:rPr>
              <w:t>Manulife Financial</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Enova International</w:t>
            </w:r>
          </w:p>
        </w:tc>
        <w:tc>
          <w:tcPr>
            <w:tcW w:w="8480" w:type="dxa"/>
            <w:vAlign w:val="bottom"/>
          </w:tcPr>
          <w:p>
            <w:pPr>
              <w:ind w:left="2840"/>
              <w:spacing w:after="0"/>
              <w:rPr>
                <w:sz w:val="20"/>
                <w:szCs w:val="20"/>
                <w:color w:val="auto"/>
              </w:rPr>
            </w:pPr>
            <w:r>
              <w:rPr>
                <w:rFonts w:ascii="Arial" w:cs="Arial" w:eastAsia="Arial" w:hAnsi="Arial"/>
                <w:sz w:val="15"/>
                <w:szCs w:val="15"/>
                <w:color w:val="7B7C80"/>
              </w:rPr>
              <w:t>MAPFRE U.S.A.</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Erie Insurance</w:t>
            </w:r>
          </w:p>
        </w:tc>
        <w:tc>
          <w:tcPr>
            <w:tcW w:w="8480" w:type="dxa"/>
            <w:vAlign w:val="bottom"/>
          </w:tcPr>
          <w:p>
            <w:pPr>
              <w:ind w:left="2840"/>
              <w:spacing w:after="0"/>
              <w:rPr>
                <w:sz w:val="20"/>
                <w:szCs w:val="20"/>
                <w:color w:val="auto"/>
              </w:rPr>
            </w:pPr>
            <w:r>
              <w:rPr>
                <w:rFonts w:ascii="Arial" w:cs="Arial" w:eastAsia="Arial" w:hAnsi="Arial"/>
                <w:sz w:val="15"/>
                <w:szCs w:val="15"/>
                <w:color w:val="7B7C80"/>
              </w:rPr>
              <w:t>Markel</w:t>
            </w:r>
          </w:p>
        </w:tc>
      </w:tr>
      <w:tr>
        <w:trPr>
          <w:trHeight w:val="172"/>
        </w:trPr>
        <w:tc>
          <w:tcPr>
            <w:tcW w:w="2960" w:type="dxa"/>
            <w:vAlign w:val="bottom"/>
          </w:tcPr>
          <w:p>
            <w:pPr>
              <w:spacing w:after="0"/>
              <w:rPr>
                <w:sz w:val="20"/>
                <w:szCs w:val="20"/>
                <w:color w:val="auto"/>
              </w:rPr>
            </w:pPr>
            <w:r>
              <w:rPr>
                <w:rFonts w:ascii="Arial" w:cs="Arial" w:eastAsia="Arial" w:hAnsi="Arial"/>
                <w:sz w:val="15"/>
                <w:szCs w:val="15"/>
                <w:color w:val="7B7C80"/>
              </w:rPr>
              <w:t>EverBank</w:t>
            </w:r>
          </w:p>
        </w:tc>
        <w:tc>
          <w:tcPr>
            <w:tcW w:w="8480" w:type="dxa"/>
            <w:vAlign w:val="bottom"/>
          </w:tcPr>
          <w:p>
            <w:pPr>
              <w:ind w:left="2840"/>
              <w:spacing w:after="0"/>
              <w:rPr>
                <w:sz w:val="20"/>
                <w:szCs w:val="20"/>
                <w:color w:val="auto"/>
              </w:rPr>
            </w:pPr>
            <w:r>
              <w:rPr>
                <w:rFonts w:ascii="Arial" w:cs="Arial" w:eastAsia="Arial" w:hAnsi="Arial"/>
                <w:sz w:val="15"/>
                <w:szCs w:val="15"/>
                <w:color w:val="7B7C80"/>
              </w:rPr>
              <w:t>Marsh &amp; McLennan</w:t>
            </w:r>
          </w:p>
        </w:tc>
      </w:tr>
      <w:tr>
        <w:trPr>
          <w:trHeight w:val="179"/>
        </w:trPr>
        <w:tc>
          <w:tcPr>
            <w:tcW w:w="2960" w:type="dxa"/>
            <w:vAlign w:val="bottom"/>
          </w:tcPr>
          <w:p>
            <w:pPr>
              <w:spacing w:after="0"/>
              <w:rPr>
                <w:sz w:val="20"/>
                <w:szCs w:val="20"/>
                <w:color w:val="auto"/>
              </w:rPr>
            </w:pPr>
            <w:r>
              <w:rPr>
                <w:rFonts w:ascii="Arial" w:cs="Arial" w:eastAsia="Arial" w:hAnsi="Arial"/>
                <w:sz w:val="15"/>
                <w:szCs w:val="15"/>
                <w:color w:val="7B7C80"/>
              </w:rPr>
              <w:t>Experian Americas</w:t>
            </w:r>
          </w:p>
        </w:tc>
        <w:tc>
          <w:tcPr>
            <w:tcW w:w="8480" w:type="dxa"/>
            <w:vAlign w:val="bottom"/>
          </w:tcPr>
          <w:p>
            <w:pPr>
              <w:ind w:left="2840"/>
              <w:spacing w:after="0"/>
              <w:rPr>
                <w:sz w:val="20"/>
                <w:szCs w:val="20"/>
                <w:color w:val="auto"/>
              </w:rPr>
            </w:pPr>
            <w:r>
              <w:rPr>
                <w:rFonts w:ascii="Arial" w:cs="Arial" w:eastAsia="Arial" w:hAnsi="Arial"/>
                <w:sz w:val="15"/>
                <w:szCs w:val="15"/>
                <w:color w:val="7B7C80"/>
              </w:rPr>
              <w:t>Massachusetts Mutual</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110490</wp:posOffset>
            </wp:positionV>
            <wp:extent cx="960120" cy="28384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4"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040" w:type="dxa"/>
            <w:vAlign w:val="bottom"/>
          </w:tcPr>
          <w:p>
            <w:pPr>
              <w:ind w:left="9400"/>
              <w:spacing w:after="0"/>
              <w:rPr>
                <w:sz w:val="20"/>
                <w:szCs w:val="20"/>
                <w:color w:val="auto"/>
              </w:rPr>
            </w:pPr>
            <w:r>
              <w:rPr>
                <w:rFonts w:ascii="Arial" w:cs="Arial" w:eastAsia="Arial" w:hAnsi="Arial"/>
                <w:sz w:val="15"/>
                <w:szCs w:val="15"/>
                <w:color w:val="7B7C80"/>
              </w:rPr>
              <w:t>2018 Proxy Statement</w:t>
            </w:r>
          </w:p>
        </w:tc>
        <w:tc>
          <w:tcPr>
            <w:tcW w:w="400" w:type="dxa"/>
            <w:vAlign w:val="bottom"/>
          </w:tcPr>
          <w:p>
            <w:pPr>
              <w:ind w:left="160"/>
              <w:spacing w:after="0"/>
              <w:rPr>
                <w:sz w:val="20"/>
                <w:szCs w:val="20"/>
                <w:color w:val="auto"/>
              </w:rPr>
            </w:pPr>
            <w:r>
              <w:rPr>
                <w:rFonts w:ascii="Arial" w:cs="Arial" w:eastAsia="Arial" w:hAnsi="Arial"/>
                <w:sz w:val="15"/>
                <w:szCs w:val="15"/>
                <w:color w:val="009CCC"/>
                <w:w w:val="94"/>
              </w:rPr>
              <w:t>A-1</w:t>
            </w:r>
          </w:p>
        </w:tc>
      </w:tr>
      <w:tr>
        <w:trPr>
          <w:trHeight w:val="318"/>
        </w:trPr>
        <w:tc>
          <w:tcPr>
            <w:tcW w:w="1104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69" w:name="page70"/>
    <w:bookmarkEnd w:id="69"/>
    <w:tbl>
      <w:tblPr>
        <w:tblLayout w:type="fixed"/>
        <w:tblInd w:w="0" w:type="dxa"/>
        <w:tblCellMar>
          <w:top w:w="0" w:type="dxa"/>
          <w:left w:w="0" w:type="dxa"/>
          <w:bottom w:w="0" w:type="dxa"/>
          <w:right w:w="0" w:type="dxa"/>
        </w:tblCellMar>
      </w:tblPr>
      <w:tr>
        <w:trPr>
          <w:trHeight w:val="172"/>
        </w:trPr>
        <w:tc>
          <w:tcPr>
            <w:tcW w:w="1160" w:type="dxa"/>
            <w:vAlign w:val="bottom"/>
            <w:tcBorders>
              <w:bottom w:val="single" w:sz="8" w:color="0000EE"/>
            </w:tcBorders>
            <w:gridSpan w:val="2"/>
          </w:tcPr>
          <w:p>
            <w:pPr>
              <w:spacing w:after="0"/>
              <w:rPr>
                <w:rFonts w:ascii="Arial" w:cs="Arial" w:eastAsia="Arial" w:hAnsi="Arial"/>
                <w:sz w:val="15"/>
                <w:szCs w:val="15"/>
                <w:color w:val="0000EE"/>
                <w:w w:val="96"/>
              </w:rPr>
            </w:pPr>
            <w:hyperlink w:anchor="page5">
              <w:r>
                <w:rPr>
                  <w:rFonts w:ascii="Arial" w:cs="Arial" w:eastAsia="Arial" w:hAnsi="Arial"/>
                  <w:sz w:val="15"/>
                  <w:szCs w:val="15"/>
                  <w:color w:val="0000EE"/>
                  <w:w w:val="96"/>
                </w:rPr>
                <w:t>Table of Contents</w:t>
              </w:r>
            </w:hyperlink>
          </w:p>
        </w:tc>
        <w:tc>
          <w:tcPr>
            <w:tcW w:w="2980" w:type="dxa"/>
            <w:vAlign w:val="bottom"/>
          </w:tcPr>
          <w:p>
            <w:pPr>
              <w:spacing w:after="0"/>
              <w:rPr>
                <w:sz w:val="14"/>
                <w:szCs w:val="14"/>
                <w:color w:val="auto"/>
              </w:rPr>
            </w:pPr>
          </w:p>
        </w:tc>
        <w:tc>
          <w:tcPr>
            <w:tcW w:w="7300" w:type="dxa"/>
            <w:vAlign w:val="bottom"/>
          </w:tcPr>
          <w:p>
            <w:pPr>
              <w:spacing w:after="0"/>
              <w:rPr>
                <w:sz w:val="14"/>
                <w:szCs w:val="14"/>
                <w:color w:val="auto"/>
              </w:rPr>
            </w:pPr>
          </w:p>
        </w:tc>
      </w:tr>
      <w:tr>
        <w:trPr>
          <w:trHeight w:val="361"/>
        </w:trPr>
        <w:tc>
          <w:tcPr>
            <w:tcW w:w="4140" w:type="dxa"/>
            <w:vAlign w:val="bottom"/>
            <w:gridSpan w:val="3"/>
          </w:tcPr>
          <w:p>
            <w:pPr>
              <w:spacing w:after="0"/>
              <w:rPr>
                <w:sz w:val="20"/>
                <w:szCs w:val="20"/>
                <w:color w:val="auto"/>
              </w:rPr>
            </w:pPr>
            <w:r>
              <w:rPr>
                <w:rFonts w:ascii="Arial" w:cs="Arial" w:eastAsia="Arial" w:hAnsi="Arial"/>
                <w:sz w:val="15"/>
                <w:szCs w:val="15"/>
                <w:color w:val="7B7C80"/>
              </w:rPr>
              <w:t>MB Financial</w:t>
            </w:r>
          </w:p>
        </w:tc>
        <w:tc>
          <w:tcPr>
            <w:tcW w:w="7300" w:type="dxa"/>
            <w:vAlign w:val="bottom"/>
          </w:tcPr>
          <w:p>
            <w:pPr>
              <w:ind w:left="1660"/>
              <w:spacing w:after="0"/>
              <w:rPr>
                <w:sz w:val="20"/>
                <w:szCs w:val="20"/>
                <w:color w:val="auto"/>
              </w:rPr>
            </w:pPr>
            <w:r>
              <w:rPr>
                <w:rFonts w:ascii="Arial" w:cs="Arial" w:eastAsia="Arial" w:hAnsi="Arial"/>
                <w:sz w:val="15"/>
                <w:szCs w:val="15"/>
                <w:color w:val="7B7C80"/>
              </w:rPr>
              <w:t>U.S. Bancorp</w:t>
            </w: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Mercedes-Benz Financial Services</w:t>
            </w:r>
          </w:p>
        </w:tc>
        <w:tc>
          <w:tcPr>
            <w:tcW w:w="7300" w:type="dxa"/>
            <w:vAlign w:val="bottom"/>
          </w:tcPr>
          <w:p>
            <w:pPr>
              <w:ind w:left="1660"/>
              <w:spacing w:after="0"/>
              <w:rPr>
                <w:sz w:val="20"/>
                <w:szCs w:val="20"/>
                <w:color w:val="auto"/>
              </w:rPr>
            </w:pPr>
            <w:r>
              <w:rPr>
                <w:rFonts w:ascii="Arial" w:cs="Arial" w:eastAsia="Arial" w:hAnsi="Arial"/>
                <w:sz w:val="15"/>
                <w:szCs w:val="15"/>
                <w:color w:val="7B7C80"/>
              </w:rPr>
              <w:t>Visa</w:t>
            </w: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Mercury Insurance</w:t>
            </w:r>
          </w:p>
        </w:tc>
        <w:tc>
          <w:tcPr>
            <w:tcW w:w="7300" w:type="dxa"/>
            <w:vAlign w:val="bottom"/>
          </w:tcPr>
          <w:p>
            <w:pPr>
              <w:ind w:left="1660"/>
              <w:spacing w:after="0"/>
              <w:rPr>
                <w:sz w:val="20"/>
                <w:szCs w:val="20"/>
                <w:color w:val="auto"/>
              </w:rPr>
            </w:pPr>
            <w:r>
              <w:rPr>
                <w:rFonts w:ascii="Arial" w:cs="Arial" w:eastAsia="Arial" w:hAnsi="Arial"/>
                <w:sz w:val="15"/>
                <w:szCs w:val="15"/>
                <w:color w:val="7B7C80"/>
              </w:rPr>
              <w:t>Voya Financial Services</w:t>
            </w:r>
          </w:p>
        </w:tc>
      </w:tr>
      <w:tr>
        <w:trPr>
          <w:trHeight w:val="172"/>
        </w:trPr>
        <w:tc>
          <w:tcPr>
            <w:tcW w:w="540" w:type="dxa"/>
            <w:vAlign w:val="bottom"/>
          </w:tcPr>
          <w:p>
            <w:pPr>
              <w:spacing w:after="0"/>
              <w:rPr>
                <w:sz w:val="20"/>
                <w:szCs w:val="20"/>
                <w:color w:val="auto"/>
              </w:rPr>
            </w:pPr>
            <w:r>
              <w:rPr>
                <w:rFonts w:ascii="Arial" w:cs="Arial" w:eastAsia="Arial" w:hAnsi="Arial"/>
                <w:sz w:val="15"/>
                <w:szCs w:val="15"/>
                <w:color w:val="7B7C80"/>
              </w:rPr>
              <w:t>MetLife</w:t>
            </w:r>
          </w:p>
        </w:tc>
        <w:tc>
          <w:tcPr>
            <w:tcW w:w="62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7300" w:type="dxa"/>
            <w:vAlign w:val="bottom"/>
          </w:tcPr>
          <w:p>
            <w:pPr>
              <w:ind w:left="1660"/>
              <w:spacing w:after="0"/>
              <w:rPr>
                <w:sz w:val="20"/>
                <w:szCs w:val="20"/>
                <w:color w:val="auto"/>
              </w:rPr>
            </w:pPr>
            <w:r>
              <w:rPr>
                <w:rFonts w:ascii="Arial" w:cs="Arial" w:eastAsia="Arial" w:hAnsi="Arial"/>
                <w:sz w:val="15"/>
                <w:szCs w:val="15"/>
                <w:color w:val="7B7C80"/>
              </w:rPr>
              <w:t>Walker &amp; Dunlop</w:t>
            </w:r>
          </w:p>
        </w:tc>
      </w:tr>
      <w:tr>
        <w:trPr>
          <w:trHeight w:val="172"/>
        </w:trPr>
        <w:tc>
          <w:tcPr>
            <w:tcW w:w="540" w:type="dxa"/>
            <w:vAlign w:val="bottom"/>
          </w:tcPr>
          <w:p>
            <w:pPr>
              <w:spacing w:after="0"/>
              <w:rPr>
                <w:sz w:val="20"/>
                <w:szCs w:val="20"/>
                <w:color w:val="auto"/>
              </w:rPr>
            </w:pPr>
            <w:r>
              <w:rPr>
                <w:rFonts w:ascii="Arial" w:cs="Arial" w:eastAsia="Arial" w:hAnsi="Arial"/>
                <w:sz w:val="15"/>
                <w:szCs w:val="15"/>
                <w:color w:val="7B7C80"/>
                <w:w w:val="93"/>
              </w:rPr>
              <w:t>Moody's</w:t>
            </w:r>
          </w:p>
        </w:tc>
        <w:tc>
          <w:tcPr>
            <w:tcW w:w="62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7300" w:type="dxa"/>
            <w:vAlign w:val="bottom"/>
          </w:tcPr>
          <w:p>
            <w:pPr>
              <w:ind w:left="1660"/>
              <w:spacing w:after="0"/>
              <w:rPr>
                <w:sz w:val="20"/>
                <w:szCs w:val="20"/>
                <w:color w:val="auto"/>
              </w:rPr>
            </w:pPr>
            <w:r>
              <w:rPr>
                <w:rFonts w:ascii="Arial" w:cs="Arial" w:eastAsia="Arial" w:hAnsi="Arial"/>
                <w:sz w:val="15"/>
                <w:szCs w:val="15"/>
                <w:color w:val="7B7C80"/>
              </w:rPr>
              <w:t>Webster Bank</w:t>
            </w: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MUFG Investor Service</w:t>
            </w:r>
          </w:p>
        </w:tc>
        <w:tc>
          <w:tcPr>
            <w:tcW w:w="7300" w:type="dxa"/>
            <w:vAlign w:val="bottom"/>
          </w:tcPr>
          <w:p>
            <w:pPr>
              <w:ind w:left="1660"/>
              <w:spacing w:after="0"/>
              <w:rPr>
                <w:sz w:val="20"/>
                <w:szCs w:val="20"/>
                <w:color w:val="auto"/>
              </w:rPr>
            </w:pPr>
            <w:r>
              <w:rPr>
                <w:rFonts w:ascii="Arial" w:cs="Arial" w:eastAsia="Arial" w:hAnsi="Arial"/>
                <w:sz w:val="15"/>
                <w:szCs w:val="15"/>
                <w:color w:val="7B7C80"/>
              </w:rPr>
              <w:t>Wellpoint</w:t>
            </w: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Munich Re Group</w:t>
            </w:r>
          </w:p>
        </w:tc>
        <w:tc>
          <w:tcPr>
            <w:tcW w:w="7300" w:type="dxa"/>
            <w:vAlign w:val="bottom"/>
          </w:tcPr>
          <w:p>
            <w:pPr>
              <w:ind w:left="1660"/>
              <w:spacing w:after="0"/>
              <w:rPr>
                <w:sz w:val="20"/>
                <w:szCs w:val="20"/>
                <w:color w:val="auto"/>
              </w:rPr>
            </w:pPr>
            <w:r>
              <w:rPr>
                <w:rFonts w:ascii="Arial" w:cs="Arial" w:eastAsia="Arial" w:hAnsi="Arial"/>
                <w:sz w:val="15"/>
                <w:szCs w:val="15"/>
                <w:color w:val="7B7C80"/>
              </w:rPr>
              <w:t>Wells Fargo</w:t>
            </w: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Mutual of Omaha</w:t>
            </w:r>
          </w:p>
        </w:tc>
        <w:tc>
          <w:tcPr>
            <w:tcW w:w="7300" w:type="dxa"/>
            <w:vAlign w:val="bottom"/>
          </w:tcPr>
          <w:p>
            <w:pPr>
              <w:ind w:left="1660"/>
              <w:spacing w:after="0"/>
              <w:rPr>
                <w:sz w:val="20"/>
                <w:szCs w:val="20"/>
                <w:color w:val="auto"/>
              </w:rPr>
            </w:pPr>
            <w:r>
              <w:rPr>
                <w:rFonts w:ascii="Arial" w:cs="Arial" w:eastAsia="Arial" w:hAnsi="Arial"/>
                <w:sz w:val="15"/>
                <w:szCs w:val="15"/>
                <w:color w:val="7B7C80"/>
              </w:rPr>
              <w:t>Western Union</w:t>
            </w:r>
          </w:p>
        </w:tc>
      </w:tr>
      <w:tr>
        <w:trPr>
          <w:trHeight w:val="172"/>
        </w:trPr>
        <w:tc>
          <w:tcPr>
            <w:tcW w:w="540" w:type="dxa"/>
            <w:vAlign w:val="bottom"/>
          </w:tcPr>
          <w:p>
            <w:pPr>
              <w:spacing w:after="0"/>
              <w:rPr>
                <w:sz w:val="20"/>
                <w:szCs w:val="20"/>
                <w:color w:val="auto"/>
              </w:rPr>
            </w:pPr>
            <w:r>
              <w:rPr>
                <w:rFonts w:ascii="Arial" w:cs="Arial" w:eastAsia="Arial" w:hAnsi="Arial"/>
                <w:sz w:val="15"/>
                <w:szCs w:val="15"/>
                <w:color w:val="7B7C80"/>
              </w:rPr>
              <w:t>Nasdaq</w:t>
            </w:r>
          </w:p>
        </w:tc>
        <w:tc>
          <w:tcPr>
            <w:tcW w:w="62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7300" w:type="dxa"/>
            <w:vAlign w:val="bottom"/>
          </w:tcPr>
          <w:p>
            <w:pPr>
              <w:ind w:left="1660"/>
              <w:spacing w:after="0"/>
              <w:rPr>
                <w:sz w:val="20"/>
                <w:szCs w:val="20"/>
                <w:color w:val="auto"/>
              </w:rPr>
            </w:pPr>
            <w:r>
              <w:rPr>
                <w:rFonts w:ascii="Arial" w:cs="Arial" w:eastAsia="Arial" w:hAnsi="Arial"/>
                <w:sz w:val="15"/>
                <w:szCs w:val="15"/>
                <w:color w:val="7B7C80"/>
              </w:rPr>
              <w:t>Wintrust Financial Corporation</w:t>
            </w: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Nationwide</w:t>
            </w:r>
          </w:p>
        </w:tc>
        <w:tc>
          <w:tcPr>
            <w:tcW w:w="7300" w:type="dxa"/>
            <w:vAlign w:val="bottom"/>
          </w:tcPr>
          <w:p>
            <w:pPr>
              <w:ind w:left="1660"/>
              <w:spacing w:after="0"/>
              <w:rPr>
                <w:sz w:val="20"/>
                <w:szCs w:val="20"/>
                <w:color w:val="auto"/>
              </w:rPr>
            </w:pPr>
            <w:r>
              <w:rPr>
                <w:rFonts w:ascii="Arial" w:cs="Arial" w:eastAsia="Arial" w:hAnsi="Arial"/>
                <w:sz w:val="15"/>
                <w:szCs w:val="15"/>
                <w:color w:val="7B7C80"/>
              </w:rPr>
              <w:t>Zurich North America</w:t>
            </w: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Navy Federal Credit Union</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NCCI Holdings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NC State Employees' Credit Union</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New York Life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Northern Trust</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Northwestern Mutual</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OneAmerica Financial Partners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OneBeacon Insurance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Pacific Life</w:t>
            </w:r>
          </w:p>
        </w:tc>
        <w:tc>
          <w:tcPr>
            <w:tcW w:w="7300" w:type="dxa"/>
            <w:vAlign w:val="bottom"/>
          </w:tcPr>
          <w:p>
            <w:pPr>
              <w:spacing w:after="0"/>
              <w:rPr>
                <w:sz w:val="14"/>
                <w:szCs w:val="14"/>
                <w:color w:val="auto"/>
              </w:rPr>
            </w:pPr>
          </w:p>
        </w:tc>
      </w:tr>
      <w:tr>
        <w:trPr>
          <w:trHeight w:val="172"/>
        </w:trPr>
        <w:tc>
          <w:tcPr>
            <w:tcW w:w="540" w:type="dxa"/>
            <w:vAlign w:val="bottom"/>
          </w:tcPr>
          <w:p>
            <w:pPr>
              <w:spacing w:after="0"/>
              <w:rPr>
                <w:sz w:val="20"/>
                <w:szCs w:val="20"/>
                <w:color w:val="auto"/>
              </w:rPr>
            </w:pPr>
            <w:r>
              <w:rPr>
                <w:rFonts w:ascii="Arial" w:cs="Arial" w:eastAsia="Arial" w:hAnsi="Arial"/>
                <w:sz w:val="15"/>
                <w:szCs w:val="15"/>
                <w:color w:val="7B7C80"/>
              </w:rPr>
              <w:t>PayPal</w:t>
            </w:r>
          </w:p>
        </w:tc>
        <w:tc>
          <w:tcPr>
            <w:tcW w:w="62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Penn Mutual Life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PennyMac Loan Services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People's Bank</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Plymouth Rock Assurance</w:t>
            </w:r>
          </w:p>
        </w:tc>
        <w:tc>
          <w:tcPr>
            <w:tcW w:w="7300" w:type="dxa"/>
            <w:vAlign w:val="bottom"/>
          </w:tcPr>
          <w:p>
            <w:pPr>
              <w:spacing w:after="0"/>
              <w:rPr>
                <w:sz w:val="14"/>
                <w:szCs w:val="14"/>
                <w:color w:val="auto"/>
              </w:rPr>
            </w:pPr>
          </w:p>
        </w:tc>
      </w:tr>
      <w:tr>
        <w:trPr>
          <w:trHeight w:val="172"/>
        </w:trPr>
        <w:tc>
          <w:tcPr>
            <w:tcW w:w="540" w:type="dxa"/>
            <w:vAlign w:val="bottom"/>
          </w:tcPr>
          <w:p>
            <w:pPr>
              <w:spacing w:after="0"/>
              <w:rPr>
                <w:sz w:val="20"/>
                <w:szCs w:val="20"/>
                <w:color w:val="auto"/>
              </w:rPr>
            </w:pPr>
            <w:r>
              <w:rPr>
                <w:rFonts w:ascii="Arial" w:cs="Arial" w:eastAsia="Arial" w:hAnsi="Arial"/>
                <w:sz w:val="15"/>
                <w:szCs w:val="15"/>
                <w:color w:val="7B7C80"/>
              </w:rPr>
              <w:t>Popular</w:t>
            </w:r>
          </w:p>
        </w:tc>
        <w:tc>
          <w:tcPr>
            <w:tcW w:w="62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Portfolio Recovery Associates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Premera Blue Cross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Primerica Life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Principal Financial Group</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Progressive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Protective Life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Prudential Financial</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Radian Group</w:t>
            </w:r>
          </w:p>
        </w:tc>
        <w:tc>
          <w:tcPr>
            <w:tcW w:w="7300" w:type="dxa"/>
            <w:vAlign w:val="bottom"/>
          </w:tcPr>
          <w:p>
            <w:pPr>
              <w:spacing w:after="0"/>
              <w:rPr>
                <w:sz w:val="14"/>
                <w:szCs w:val="14"/>
                <w:color w:val="auto"/>
              </w:rPr>
            </w:pPr>
          </w:p>
        </w:tc>
      </w:tr>
      <w:tr>
        <w:trPr>
          <w:trHeight w:val="172"/>
        </w:trPr>
        <w:tc>
          <w:tcPr>
            <w:tcW w:w="540" w:type="dxa"/>
            <w:vAlign w:val="bottom"/>
          </w:tcPr>
          <w:p>
            <w:pPr>
              <w:spacing w:after="0"/>
              <w:rPr>
                <w:sz w:val="20"/>
                <w:szCs w:val="20"/>
                <w:color w:val="auto"/>
              </w:rPr>
            </w:pPr>
            <w:r>
              <w:rPr>
                <w:rFonts w:ascii="Arial" w:cs="Arial" w:eastAsia="Arial" w:hAnsi="Arial"/>
                <w:sz w:val="15"/>
                <w:szCs w:val="15"/>
                <w:color w:val="7B7C80"/>
                <w:w w:val="94"/>
              </w:rPr>
              <w:t>Realogy</w:t>
            </w:r>
          </w:p>
        </w:tc>
        <w:tc>
          <w:tcPr>
            <w:tcW w:w="62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Regions Financial</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Reinsurance Group of America (RGA)</w:t>
            </w:r>
          </w:p>
        </w:tc>
        <w:tc>
          <w:tcPr>
            <w:tcW w:w="7300" w:type="dxa"/>
            <w:vAlign w:val="bottom"/>
          </w:tcPr>
          <w:p>
            <w:pPr>
              <w:spacing w:after="0"/>
              <w:rPr>
                <w:sz w:val="14"/>
                <w:szCs w:val="14"/>
                <w:color w:val="auto"/>
              </w:rPr>
            </w:pPr>
          </w:p>
        </w:tc>
      </w:tr>
      <w:tr>
        <w:trPr>
          <w:trHeight w:val="172"/>
        </w:trPr>
        <w:tc>
          <w:tcPr>
            <w:tcW w:w="540" w:type="dxa"/>
            <w:vAlign w:val="bottom"/>
          </w:tcPr>
          <w:p>
            <w:pPr>
              <w:spacing w:after="0"/>
              <w:rPr>
                <w:sz w:val="20"/>
                <w:szCs w:val="20"/>
                <w:color w:val="auto"/>
              </w:rPr>
            </w:pPr>
            <w:r>
              <w:rPr>
                <w:rFonts w:ascii="Arial" w:cs="Arial" w:eastAsia="Arial" w:hAnsi="Arial"/>
                <w:sz w:val="15"/>
                <w:szCs w:val="15"/>
                <w:color w:val="7B7C80"/>
              </w:rPr>
              <w:t>RLI</w:t>
            </w:r>
          </w:p>
        </w:tc>
        <w:tc>
          <w:tcPr>
            <w:tcW w:w="62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Rockland Trust Company</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S&amp;P Global</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SBLI of Massachusetts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SchoolsFirst FCU</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Securian Financial Group</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Society Insurance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Springleaf Financial Services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StanCorp Financial Group</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StanCorp Financial Group</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State Farm Insurance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State Farm Insurance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Sun Life Financial</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Sun Life Financial</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SunTrust Banks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SunTrust Banks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SVB Financial</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Synchrony Financial</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Synovus Financial Corporation</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TCF Financial</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TD Ameritrade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TD Bank Financial Group</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Texas Life</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Thrivant Financial for Lutherans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Transamerica</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TransUnion</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Travelers</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T. Rowe Price Group</w:t>
            </w:r>
          </w:p>
        </w:tc>
        <w:tc>
          <w:tcPr>
            <w:tcW w:w="7300" w:type="dxa"/>
            <w:vAlign w:val="bottom"/>
          </w:tcPr>
          <w:p>
            <w:pPr>
              <w:spacing w:after="0"/>
              <w:rPr>
                <w:sz w:val="14"/>
                <w:szCs w:val="14"/>
                <w:color w:val="auto"/>
              </w:rPr>
            </w:pPr>
          </w:p>
        </w:tc>
      </w:tr>
      <w:tr>
        <w:trPr>
          <w:trHeight w:val="172"/>
        </w:trPr>
        <w:tc>
          <w:tcPr>
            <w:tcW w:w="4140" w:type="dxa"/>
            <w:vAlign w:val="bottom"/>
            <w:gridSpan w:val="3"/>
          </w:tcPr>
          <w:p>
            <w:pPr>
              <w:spacing w:after="0"/>
              <w:rPr>
                <w:sz w:val="20"/>
                <w:szCs w:val="20"/>
                <w:color w:val="auto"/>
              </w:rPr>
            </w:pPr>
            <w:r>
              <w:rPr>
                <w:rFonts w:ascii="Arial" w:cs="Arial" w:eastAsia="Arial" w:hAnsi="Arial"/>
                <w:sz w:val="15"/>
                <w:szCs w:val="15"/>
                <w:color w:val="7B7C80"/>
              </w:rPr>
              <w:t>Umpqua Bank</w:t>
            </w:r>
          </w:p>
        </w:tc>
        <w:tc>
          <w:tcPr>
            <w:tcW w:w="7300" w:type="dxa"/>
            <w:vAlign w:val="bottom"/>
          </w:tcPr>
          <w:p>
            <w:pPr>
              <w:spacing w:after="0"/>
              <w:rPr>
                <w:sz w:val="14"/>
                <w:szCs w:val="14"/>
                <w:color w:val="auto"/>
              </w:rPr>
            </w:pPr>
          </w:p>
        </w:tc>
      </w:tr>
      <w:tr>
        <w:trPr>
          <w:trHeight w:val="172"/>
        </w:trPr>
        <w:tc>
          <w:tcPr>
            <w:tcW w:w="540" w:type="dxa"/>
            <w:vAlign w:val="bottom"/>
          </w:tcPr>
          <w:p>
            <w:pPr>
              <w:spacing w:after="0"/>
              <w:rPr>
                <w:sz w:val="20"/>
                <w:szCs w:val="20"/>
                <w:color w:val="auto"/>
              </w:rPr>
            </w:pPr>
            <w:r>
              <w:rPr>
                <w:rFonts w:ascii="Arial" w:cs="Arial" w:eastAsia="Arial" w:hAnsi="Arial"/>
                <w:sz w:val="15"/>
                <w:szCs w:val="15"/>
                <w:color w:val="7B7C80"/>
              </w:rPr>
              <w:t>Unum</w:t>
            </w:r>
          </w:p>
        </w:tc>
        <w:tc>
          <w:tcPr>
            <w:tcW w:w="62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7300" w:type="dxa"/>
            <w:vAlign w:val="bottom"/>
          </w:tcPr>
          <w:p>
            <w:pPr>
              <w:spacing w:after="0"/>
              <w:rPr>
                <w:sz w:val="14"/>
                <w:szCs w:val="14"/>
                <w:color w:val="auto"/>
              </w:rPr>
            </w:pPr>
          </w:p>
        </w:tc>
      </w:tr>
      <w:tr>
        <w:trPr>
          <w:trHeight w:val="179"/>
        </w:trPr>
        <w:tc>
          <w:tcPr>
            <w:tcW w:w="540" w:type="dxa"/>
            <w:vAlign w:val="bottom"/>
          </w:tcPr>
          <w:p>
            <w:pPr>
              <w:spacing w:after="0"/>
              <w:rPr>
                <w:sz w:val="20"/>
                <w:szCs w:val="20"/>
                <w:color w:val="auto"/>
              </w:rPr>
            </w:pPr>
            <w:r>
              <w:rPr>
                <w:rFonts w:ascii="Arial" w:cs="Arial" w:eastAsia="Arial" w:hAnsi="Arial"/>
                <w:sz w:val="15"/>
                <w:szCs w:val="15"/>
                <w:color w:val="7B7C80"/>
              </w:rPr>
              <w:t>USAA</w:t>
            </w:r>
          </w:p>
        </w:tc>
        <w:tc>
          <w:tcPr>
            <w:tcW w:w="620" w:type="dxa"/>
            <w:vAlign w:val="bottom"/>
          </w:tcPr>
          <w:p>
            <w:pPr>
              <w:spacing w:after="0"/>
              <w:rPr>
                <w:sz w:val="15"/>
                <w:szCs w:val="15"/>
                <w:color w:val="auto"/>
              </w:rPr>
            </w:pPr>
          </w:p>
        </w:tc>
        <w:tc>
          <w:tcPr>
            <w:tcW w:w="2980" w:type="dxa"/>
            <w:vAlign w:val="bottom"/>
          </w:tcPr>
          <w:p>
            <w:pPr>
              <w:spacing w:after="0"/>
              <w:rPr>
                <w:sz w:val="15"/>
                <w:szCs w:val="15"/>
                <w:color w:val="auto"/>
              </w:rPr>
            </w:pPr>
          </w:p>
        </w:tc>
        <w:tc>
          <w:tcPr>
            <w:tcW w:w="7300" w:type="dxa"/>
            <w:vAlign w:val="bottom"/>
          </w:tcPr>
          <w:p>
            <w:pPr>
              <w:spacing w:after="0"/>
              <w:rPr>
                <w:sz w:val="15"/>
                <w:szCs w:val="15"/>
                <w:color w:val="auto"/>
              </w:rPr>
            </w:pPr>
          </w:p>
        </w:tc>
      </w:tr>
      <w:tr>
        <w:trPr>
          <w:trHeight w:val="493"/>
        </w:trPr>
        <w:tc>
          <w:tcPr>
            <w:tcW w:w="540" w:type="dxa"/>
            <w:vAlign w:val="bottom"/>
          </w:tcPr>
          <w:p>
            <w:pPr>
              <w:spacing w:after="0"/>
              <w:rPr>
                <w:sz w:val="20"/>
                <w:szCs w:val="20"/>
                <w:color w:val="auto"/>
              </w:rPr>
            </w:pPr>
            <w:r>
              <w:rPr>
                <w:rFonts w:ascii="Arial" w:cs="Arial" w:eastAsia="Arial" w:hAnsi="Arial"/>
                <w:sz w:val="15"/>
                <w:szCs w:val="15"/>
                <w:color w:val="009CCC"/>
              </w:rPr>
              <w:t>A-2</w:t>
            </w:r>
          </w:p>
        </w:tc>
        <w:tc>
          <w:tcPr>
            <w:tcW w:w="3600" w:type="dxa"/>
            <w:vAlign w:val="bottom"/>
            <w:gridSpan w:val="2"/>
          </w:tcPr>
          <w:p>
            <w:pPr>
              <w:ind w:left="20"/>
              <w:spacing w:after="0"/>
              <w:rPr>
                <w:sz w:val="20"/>
                <w:szCs w:val="20"/>
                <w:color w:val="auto"/>
              </w:rPr>
            </w:pPr>
            <w:r>
              <w:rPr>
                <w:rFonts w:ascii="Arial" w:cs="Arial" w:eastAsia="Arial" w:hAnsi="Arial"/>
                <w:sz w:val="15"/>
                <w:szCs w:val="15"/>
                <w:color w:val="7B7C80"/>
              </w:rPr>
              <w:t>2018 Proxy Statement</w:t>
            </w:r>
          </w:p>
        </w:tc>
        <w:tc>
          <w:tcPr>
            <w:tcW w:w="7300" w:type="dxa"/>
            <w:vAlign w:val="bottom"/>
          </w:tcPr>
          <w:p>
            <w:pPr>
              <w:spacing w:after="0"/>
              <w:rPr>
                <w:sz w:val="24"/>
                <w:szCs w:val="24"/>
                <w:color w:val="auto"/>
              </w:rPr>
            </w:pPr>
          </w:p>
        </w:tc>
      </w:tr>
      <w:tr>
        <w:trPr>
          <w:trHeight w:val="318"/>
        </w:trPr>
        <w:tc>
          <w:tcPr>
            <w:tcW w:w="540" w:type="dxa"/>
            <w:vAlign w:val="bottom"/>
            <w:tcBorders>
              <w:bottom w:val="single" w:sz="8" w:color="808080"/>
            </w:tcBorders>
          </w:tcPr>
          <w:p>
            <w:pPr>
              <w:spacing w:after="0"/>
              <w:rPr>
                <w:sz w:val="24"/>
                <w:szCs w:val="24"/>
                <w:color w:val="auto"/>
              </w:rPr>
            </w:pPr>
          </w:p>
        </w:tc>
        <w:tc>
          <w:tcPr>
            <w:tcW w:w="620" w:type="dxa"/>
            <w:vAlign w:val="bottom"/>
            <w:tcBorders>
              <w:bottom w:val="single" w:sz="8" w:color="808080"/>
            </w:tcBorders>
          </w:tcPr>
          <w:p>
            <w:pPr>
              <w:spacing w:after="0"/>
              <w:rPr>
                <w:sz w:val="24"/>
                <w:szCs w:val="24"/>
                <w:color w:val="auto"/>
              </w:rPr>
            </w:pPr>
          </w:p>
        </w:tc>
        <w:tc>
          <w:tcPr>
            <w:tcW w:w="2980" w:type="dxa"/>
            <w:vAlign w:val="bottom"/>
            <w:tcBorders>
              <w:bottom w:val="single" w:sz="8" w:color="808080"/>
            </w:tcBorders>
          </w:tcPr>
          <w:p>
            <w:pPr>
              <w:spacing w:after="0"/>
              <w:rPr>
                <w:sz w:val="24"/>
                <w:szCs w:val="24"/>
                <w:color w:val="auto"/>
              </w:rPr>
            </w:pPr>
          </w:p>
        </w:tc>
        <w:tc>
          <w:tcPr>
            <w:tcW w:w="73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3188335</wp:posOffset>
            </wp:positionH>
            <wp:positionV relativeFrom="paragraph">
              <wp:posOffset>-416560</wp:posOffset>
            </wp:positionV>
            <wp:extent cx="960120" cy="28384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ectPr>
          <w:pgSz w:w="11900" w:h="16838" w:orient="portrait"/>
          <w:cols w:equalWidth="0" w:num="1">
            <w:col w:w="11440"/>
          </w:cols>
          <w:pgMar w:left="240" w:top="116" w:right="219" w:bottom="1440" w:gutter="0" w:footer="0" w:header="0"/>
        </w:sectPr>
      </w:pPr>
    </w:p>
    <w:bookmarkStart w:id="70" w:name="page71"/>
    <w:bookmarkEnd w:id="70"/>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168"/>
        </w:trPr>
        <w:tc>
          <w:tcPr>
            <w:tcW w:w="3400" w:type="dxa"/>
            <w:vAlign w:val="bottom"/>
            <w:tcBorders>
              <w:top w:val="single" w:sz="8" w:color="7B7C80"/>
            </w:tcBorders>
          </w:tcPr>
          <w:p>
            <w:pPr>
              <w:spacing w:after="0"/>
              <w:rPr>
                <w:sz w:val="14"/>
                <w:szCs w:val="14"/>
                <w:color w:val="auto"/>
              </w:rPr>
            </w:pPr>
          </w:p>
        </w:tc>
        <w:tc>
          <w:tcPr>
            <w:tcW w:w="8040" w:type="dxa"/>
            <w:vAlign w:val="bottom"/>
            <w:tcBorders>
              <w:top w:val="single" w:sz="8" w:color="7B7C80"/>
            </w:tcBorders>
          </w:tcPr>
          <w:p>
            <w:pPr>
              <w:jc w:val="center"/>
              <w:ind w:right="3326"/>
              <w:spacing w:after="0" w:line="168" w:lineRule="exact"/>
              <w:rPr>
                <w:sz w:val="20"/>
                <w:szCs w:val="20"/>
                <w:color w:val="auto"/>
              </w:rPr>
            </w:pPr>
            <w:r>
              <w:rPr>
                <w:rFonts w:ascii="Arial" w:cs="Arial" w:eastAsia="Arial" w:hAnsi="Arial"/>
                <w:sz w:val="15"/>
                <w:szCs w:val="15"/>
                <w:b w:val="1"/>
                <w:bCs w:val="1"/>
                <w:color w:val="7B7C80"/>
                <w:w w:val="97"/>
              </w:rPr>
              <w:t>Towers Watson</w:t>
            </w:r>
          </w:p>
        </w:tc>
      </w:tr>
      <w:tr>
        <w:trPr>
          <w:trHeight w:val="197"/>
        </w:trPr>
        <w:tc>
          <w:tcPr>
            <w:tcW w:w="3400" w:type="dxa"/>
            <w:vAlign w:val="bottom"/>
          </w:tcPr>
          <w:p>
            <w:pPr>
              <w:spacing w:after="0"/>
              <w:rPr>
                <w:sz w:val="17"/>
                <w:szCs w:val="17"/>
                <w:color w:val="auto"/>
              </w:rPr>
            </w:pPr>
          </w:p>
        </w:tc>
        <w:tc>
          <w:tcPr>
            <w:tcW w:w="8040" w:type="dxa"/>
            <w:vAlign w:val="bottom"/>
          </w:tcPr>
          <w:p>
            <w:pPr>
              <w:jc w:val="center"/>
              <w:ind w:right="3346"/>
              <w:spacing w:after="0"/>
              <w:rPr>
                <w:sz w:val="20"/>
                <w:szCs w:val="20"/>
                <w:color w:val="auto"/>
              </w:rPr>
            </w:pPr>
            <w:r>
              <w:rPr>
                <w:rFonts w:ascii="Arial" w:cs="Arial" w:eastAsia="Arial" w:hAnsi="Arial"/>
                <w:sz w:val="15"/>
                <w:szCs w:val="15"/>
                <w:b w:val="1"/>
                <w:bCs w:val="1"/>
                <w:color w:val="7B7C80"/>
                <w:w w:val="99"/>
              </w:rPr>
              <w:t>2017 Diversified Insurance Compensation Survey Participants</w:t>
            </w:r>
          </w:p>
        </w:tc>
      </w:tr>
      <w:tr>
        <w:trPr>
          <w:trHeight w:val="371"/>
        </w:trPr>
        <w:tc>
          <w:tcPr>
            <w:tcW w:w="3400" w:type="dxa"/>
            <w:vAlign w:val="bottom"/>
          </w:tcPr>
          <w:p>
            <w:pPr>
              <w:spacing w:after="0"/>
              <w:rPr>
                <w:sz w:val="20"/>
                <w:szCs w:val="20"/>
                <w:color w:val="auto"/>
              </w:rPr>
            </w:pPr>
            <w:r>
              <w:rPr>
                <w:rFonts w:ascii="Arial" w:cs="Arial" w:eastAsia="Arial" w:hAnsi="Arial"/>
                <w:sz w:val="15"/>
                <w:szCs w:val="15"/>
                <w:color w:val="7B7C80"/>
              </w:rPr>
              <w:t>AFLAC</w:t>
            </w:r>
          </w:p>
        </w:tc>
        <w:tc>
          <w:tcPr>
            <w:tcW w:w="8040" w:type="dxa"/>
            <w:vAlign w:val="bottom"/>
          </w:tcPr>
          <w:p>
            <w:pPr>
              <w:ind w:left="2400"/>
              <w:spacing w:after="0"/>
              <w:rPr>
                <w:sz w:val="20"/>
                <w:szCs w:val="20"/>
                <w:color w:val="auto"/>
              </w:rPr>
            </w:pPr>
            <w:r>
              <w:rPr>
                <w:rFonts w:ascii="Arial" w:cs="Arial" w:eastAsia="Arial" w:hAnsi="Arial"/>
                <w:sz w:val="15"/>
                <w:szCs w:val="15"/>
                <w:color w:val="7B7C80"/>
              </w:rPr>
              <w:t>New York Life</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Allstate</w:t>
            </w:r>
          </w:p>
        </w:tc>
        <w:tc>
          <w:tcPr>
            <w:tcW w:w="8040" w:type="dxa"/>
            <w:vAlign w:val="bottom"/>
          </w:tcPr>
          <w:p>
            <w:pPr>
              <w:ind w:left="2400"/>
              <w:spacing w:after="0"/>
              <w:rPr>
                <w:sz w:val="20"/>
                <w:szCs w:val="20"/>
                <w:color w:val="auto"/>
              </w:rPr>
            </w:pPr>
            <w:r>
              <w:rPr>
                <w:rFonts w:ascii="Arial" w:cs="Arial" w:eastAsia="Arial" w:hAnsi="Arial"/>
                <w:sz w:val="15"/>
                <w:szCs w:val="15"/>
                <w:color w:val="7B7C80"/>
              </w:rPr>
              <w:t>Northwestern Mutual</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AXA Group</w:t>
            </w:r>
          </w:p>
        </w:tc>
        <w:tc>
          <w:tcPr>
            <w:tcW w:w="8040" w:type="dxa"/>
            <w:vAlign w:val="bottom"/>
          </w:tcPr>
          <w:p>
            <w:pPr>
              <w:ind w:left="2400"/>
              <w:spacing w:after="0"/>
              <w:rPr>
                <w:sz w:val="20"/>
                <w:szCs w:val="20"/>
                <w:color w:val="auto"/>
              </w:rPr>
            </w:pPr>
            <w:r>
              <w:rPr>
                <w:rFonts w:ascii="Arial" w:cs="Arial" w:eastAsia="Arial" w:hAnsi="Arial"/>
                <w:sz w:val="15"/>
                <w:szCs w:val="15"/>
                <w:color w:val="7B7C80"/>
              </w:rPr>
              <w:t>OneAmerica Financial Partners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Cigna</w:t>
            </w:r>
          </w:p>
        </w:tc>
        <w:tc>
          <w:tcPr>
            <w:tcW w:w="8040" w:type="dxa"/>
            <w:vAlign w:val="bottom"/>
          </w:tcPr>
          <w:p>
            <w:pPr>
              <w:ind w:left="2400"/>
              <w:spacing w:after="0"/>
              <w:rPr>
                <w:sz w:val="20"/>
                <w:szCs w:val="20"/>
                <w:color w:val="auto"/>
              </w:rPr>
            </w:pPr>
            <w:r>
              <w:rPr>
                <w:rFonts w:ascii="Arial" w:cs="Arial" w:eastAsia="Arial" w:hAnsi="Arial"/>
                <w:sz w:val="15"/>
                <w:szCs w:val="15"/>
                <w:color w:val="7B7C80"/>
              </w:rPr>
              <w:t>Pacific Life</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CNO Financial</w:t>
            </w:r>
          </w:p>
        </w:tc>
        <w:tc>
          <w:tcPr>
            <w:tcW w:w="8040" w:type="dxa"/>
            <w:vAlign w:val="bottom"/>
          </w:tcPr>
          <w:p>
            <w:pPr>
              <w:ind w:left="2400"/>
              <w:spacing w:after="0"/>
              <w:rPr>
                <w:sz w:val="20"/>
                <w:szCs w:val="20"/>
                <w:color w:val="auto"/>
              </w:rPr>
            </w:pPr>
            <w:r>
              <w:rPr>
                <w:rFonts w:ascii="Arial" w:cs="Arial" w:eastAsia="Arial" w:hAnsi="Arial"/>
                <w:sz w:val="15"/>
                <w:szCs w:val="15"/>
                <w:color w:val="7B7C80"/>
              </w:rPr>
              <w:t>Principal Financial Group</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Genworth Financial</w:t>
            </w:r>
          </w:p>
        </w:tc>
        <w:tc>
          <w:tcPr>
            <w:tcW w:w="8040" w:type="dxa"/>
            <w:vAlign w:val="bottom"/>
          </w:tcPr>
          <w:p>
            <w:pPr>
              <w:ind w:left="2400"/>
              <w:spacing w:after="0"/>
              <w:rPr>
                <w:sz w:val="20"/>
                <w:szCs w:val="20"/>
                <w:color w:val="auto"/>
              </w:rPr>
            </w:pPr>
            <w:r>
              <w:rPr>
                <w:rFonts w:ascii="Arial" w:cs="Arial" w:eastAsia="Arial" w:hAnsi="Arial"/>
                <w:sz w:val="15"/>
                <w:szCs w:val="15"/>
                <w:color w:val="7B7C80"/>
              </w:rPr>
              <w:t>Prudential Financial</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Guardian Life</w:t>
            </w:r>
          </w:p>
        </w:tc>
        <w:tc>
          <w:tcPr>
            <w:tcW w:w="8040" w:type="dxa"/>
            <w:vAlign w:val="bottom"/>
          </w:tcPr>
          <w:p>
            <w:pPr>
              <w:ind w:left="2400"/>
              <w:spacing w:after="0"/>
              <w:rPr>
                <w:sz w:val="20"/>
                <w:szCs w:val="20"/>
                <w:color w:val="auto"/>
              </w:rPr>
            </w:pPr>
            <w:r>
              <w:rPr>
                <w:rFonts w:ascii="Arial" w:cs="Arial" w:eastAsia="Arial" w:hAnsi="Arial"/>
                <w:sz w:val="15"/>
                <w:szCs w:val="15"/>
                <w:color w:val="7B7C80"/>
              </w:rPr>
              <w:t>Securian Financial Group</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Hartford Financial Services</w:t>
            </w:r>
          </w:p>
        </w:tc>
        <w:tc>
          <w:tcPr>
            <w:tcW w:w="8040" w:type="dxa"/>
            <w:vAlign w:val="bottom"/>
          </w:tcPr>
          <w:p>
            <w:pPr>
              <w:ind w:left="2400"/>
              <w:spacing w:after="0"/>
              <w:rPr>
                <w:sz w:val="20"/>
                <w:szCs w:val="20"/>
                <w:color w:val="auto"/>
              </w:rPr>
            </w:pPr>
            <w:r>
              <w:rPr>
                <w:rFonts w:ascii="Arial" w:cs="Arial" w:eastAsia="Arial" w:hAnsi="Arial"/>
                <w:sz w:val="15"/>
                <w:szCs w:val="15"/>
                <w:color w:val="7B7C80"/>
              </w:rPr>
              <w:t>Sun Life Financial</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John Hancock</w:t>
            </w:r>
          </w:p>
        </w:tc>
        <w:tc>
          <w:tcPr>
            <w:tcW w:w="8040" w:type="dxa"/>
            <w:vAlign w:val="bottom"/>
          </w:tcPr>
          <w:p>
            <w:pPr>
              <w:ind w:left="2400"/>
              <w:spacing w:after="0"/>
              <w:rPr>
                <w:sz w:val="20"/>
                <w:szCs w:val="20"/>
                <w:color w:val="auto"/>
              </w:rPr>
            </w:pPr>
            <w:r>
              <w:rPr>
                <w:rFonts w:ascii="Arial" w:cs="Arial" w:eastAsia="Arial" w:hAnsi="Arial"/>
                <w:sz w:val="15"/>
                <w:szCs w:val="15"/>
                <w:color w:val="7B7C80"/>
              </w:rPr>
              <w:t>Thrivent Financial for Lutherans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Lincoln Financial</w:t>
            </w:r>
          </w:p>
        </w:tc>
        <w:tc>
          <w:tcPr>
            <w:tcW w:w="8040" w:type="dxa"/>
            <w:vAlign w:val="bottom"/>
          </w:tcPr>
          <w:p>
            <w:pPr>
              <w:ind w:left="2400"/>
              <w:spacing w:after="0"/>
              <w:rPr>
                <w:sz w:val="20"/>
                <w:szCs w:val="20"/>
                <w:color w:val="auto"/>
              </w:rPr>
            </w:pPr>
            <w:r>
              <w:rPr>
                <w:rFonts w:ascii="Arial" w:cs="Arial" w:eastAsia="Arial" w:hAnsi="Arial"/>
                <w:sz w:val="15"/>
                <w:szCs w:val="15"/>
                <w:color w:val="7B7C80"/>
              </w:rPr>
              <w:t>Transamerica</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Massachusetts Mutual</w:t>
            </w:r>
          </w:p>
        </w:tc>
        <w:tc>
          <w:tcPr>
            <w:tcW w:w="8040" w:type="dxa"/>
            <w:vAlign w:val="bottom"/>
          </w:tcPr>
          <w:p>
            <w:pPr>
              <w:ind w:left="2400"/>
              <w:spacing w:after="0"/>
              <w:rPr>
                <w:sz w:val="20"/>
                <w:szCs w:val="20"/>
                <w:color w:val="auto"/>
              </w:rPr>
            </w:pPr>
            <w:r>
              <w:rPr>
                <w:rFonts w:ascii="Arial" w:cs="Arial" w:eastAsia="Arial" w:hAnsi="Arial"/>
                <w:sz w:val="15"/>
                <w:szCs w:val="15"/>
                <w:color w:val="7B7C80"/>
              </w:rPr>
              <w:t>Unum Group</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MetLife</w:t>
            </w:r>
          </w:p>
        </w:tc>
        <w:tc>
          <w:tcPr>
            <w:tcW w:w="8040" w:type="dxa"/>
            <w:vAlign w:val="bottom"/>
          </w:tcPr>
          <w:p>
            <w:pPr>
              <w:ind w:left="2400"/>
              <w:spacing w:after="0"/>
              <w:rPr>
                <w:sz w:val="20"/>
                <w:szCs w:val="20"/>
                <w:color w:val="auto"/>
              </w:rPr>
            </w:pPr>
            <w:r>
              <w:rPr>
                <w:rFonts w:ascii="Arial" w:cs="Arial" w:eastAsia="Arial" w:hAnsi="Arial"/>
                <w:sz w:val="15"/>
                <w:szCs w:val="15"/>
                <w:color w:val="7B7C80"/>
              </w:rPr>
              <w:t>USAA</w:t>
            </w:r>
          </w:p>
        </w:tc>
      </w:tr>
      <w:tr>
        <w:trPr>
          <w:trHeight w:val="169"/>
        </w:trPr>
        <w:tc>
          <w:tcPr>
            <w:tcW w:w="3400" w:type="dxa"/>
            <w:vAlign w:val="bottom"/>
            <w:tcBorders>
              <w:bottom w:val="single" w:sz="8" w:color="7B7C80"/>
            </w:tcBorders>
          </w:tcPr>
          <w:p>
            <w:pPr>
              <w:spacing w:after="0" w:line="169" w:lineRule="exact"/>
              <w:rPr>
                <w:sz w:val="20"/>
                <w:szCs w:val="20"/>
                <w:color w:val="auto"/>
              </w:rPr>
            </w:pPr>
            <w:r>
              <w:rPr>
                <w:rFonts w:ascii="Arial" w:cs="Arial" w:eastAsia="Arial" w:hAnsi="Arial"/>
                <w:sz w:val="15"/>
                <w:szCs w:val="15"/>
                <w:color w:val="7B7C80"/>
              </w:rPr>
              <w:t>Nationwide</w:t>
            </w:r>
          </w:p>
        </w:tc>
        <w:tc>
          <w:tcPr>
            <w:tcW w:w="8040" w:type="dxa"/>
            <w:vAlign w:val="bottom"/>
            <w:tcBorders>
              <w:bottom w:val="single" w:sz="8" w:color="7B7C80"/>
            </w:tcBorders>
          </w:tcPr>
          <w:p>
            <w:pPr>
              <w:ind w:left="2400"/>
              <w:spacing w:after="0" w:line="169" w:lineRule="exact"/>
              <w:rPr>
                <w:sz w:val="20"/>
                <w:szCs w:val="20"/>
                <w:color w:val="auto"/>
              </w:rPr>
            </w:pPr>
            <w:r>
              <w:rPr>
                <w:rFonts w:ascii="Arial" w:cs="Arial" w:eastAsia="Arial" w:hAnsi="Arial"/>
                <w:sz w:val="15"/>
                <w:szCs w:val="15"/>
                <w:color w:val="7B7C80"/>
              </w:rPr>
              <w:t>Voya Financial Services</w:t>
            </w:r>
          </w:p>
        </w:tc>
      </w:tr>
      <w:tr>
        <w:trPr>
          <w:trHeight w:val="148"/>
        </w:trPr>
        <w:tc>
          <w:tcPr>
            <w:tcW w:w="3400" w:type="dxa"/>
            <w:vAlign w:val="bottom"/>
          </w:tcPr>
          <w:p>
            <w:pPr>
              <w:spacing w:after="0"/>
              <w:rPr>
                <w:sz w:val="12"/>
                <w:szCs w:val="12"/>
                <w:color w:val="auto"/>
              </w:rPr>
            </w:pPr>
          </w:p>
        </w:tc>
        <w:tc>
          <w:tcPr>
            <w:tcW w:w="8040" w:type="dxa"/>
            <w:vAlign w:val="bottom"/>
          </w:tcPr>
          <w:p>
            <w:pPr>
              <w:jc w:val="center"/>
              <w:ind w:right="3326"/>
              <w:spacing w:after="0" w:line="148" w:lineRule="exact"/>
              <w:rPr>
                <w:sz w:val="20"/>
                <w:szCs w:val="20"/>
                <w:color w:val="auto"/>
              </w:rPr>
            </w:pPr>
            <w:r>
              <w:rPr>
                <w:rFonts w:ascii="Arial" w:cs="Arial" w:eastAsia="Arial" w:hAnsi="Arial"/>
                <w:sz w:val="15"/>
                <w:szCs w:val="15"/>
                <w:b w:val="1"/>
                <w:bCs w:val="1"/>
                <w:color w:val="7B7C80"/>
                <w:w w:val="98"/>
              </w:rPr>
              <w:t>McLagan</w:t>
            </w:r>
          </w:p>
        </w:tc>
      </w:tr>
      <w:tr>
        <w:trPr>
          <w:trHeight w:val="197"/>
        </w:trPr>
        <w:tc>
          <w:tcPr>
            <w:tcW w:w="3400" w:type="dxa"/>
            <w:vAlign w:val="bottom"/>
          </w:tcPr>
          <w:p>
            <w:pPr>
              <w:spacing w:after="0"/>
              <w:rPr>
                <w:sz w:val="17"/>
                <w:szCs w:val="17"/>
                <w:color w:val="auto"/>
              </w:rPr>
            </w:pPr>
          </w:p>
        </w:tc>
        <w:tc>
          <w:tcPr>
            <w:tcW w:w="8040" w:type="dxa"/>
            <w:vAlign w:val="bottom"/>
          </w:tcPr>
          <w:p>
            <w:pPr>
              <w:jc w:val="center"/>
              <w:ind w:right="3346"/>
              <w:spacing w:after="0"/>
              <w:rPr>
                <w:sz w:val="20"/>
                <w:szCs w:val="20"/>
                <w:color w:val="auto"/>
              </w:rPr>
            </w:pPr>
            <w:r>
              <w:rPr>
                <w:rFonts w:ascii="Arial" w:cs="Arial" w:eastAsia="Arial" w:hAnsi="Arial"/>
                <w:sz w:val="15"/>
                <w:szCs w:val="15"/>
                <w:b w:val="1"/>
                <w:bCs w:val="1"/>
                <w:color w:val="7B7C80"/>
                <w:w w:val="99"/>
              </w:rPr>
              <w:t>2017 Investment Management Survey Participants</w:t>
            </w:r>
          </w:p>
        </w:tc>
      </w:tr>
      <w:tr>
        <w:trPr>
          <w:trHeight w:val="371"/>
        </w:trPr>
        <w:tc>
          <w:tcPr>
            <w:tcW w:w="3400" w:type="dxa"/>
            <w:vAlign w:val="bottom"/>
          </w:tcPr>
          <w:p>
            <w:pPr>
              <w:spacing w:after="0"/>
              <w:rPr>
                <w:sz w:val="20"/>
                <w:szCs w:val="20"/>
                <w:color w:val="auto"/>
              </w:rPr>
            </w:pPr>
            <w:r>
              <w:rPr>
                <w:rFonts w:ascii="Arial" w:cs="Arial" w:eastAsia="Arial" w:hAnsi="Arial"/>
                <w:sz w:val="15"/>
                <w:szCs w:val="15"/>
                <w:color w:val="7B7C80"/>
              </w:rPr>
              <w:t>AB</w:t>
            </w:r>
          </w:p>
        </w:tc>
        <w:tc>
          <w:tcPr>
            <w:tcW w:w="8040" w:type="dxa"/>
            <w:vAlign w:val="bottom"/>
          </w:tcPr>
          <w:p>
            <w:pPr>
              <w:ind w:left="2400"/>
              <w:spacing w:after="0"/>
              <w:rPr>
                <w:sz w:val="20"/>
                <w:szCs w:val="20"/>
                <w:color w:val="auto"/>
              </w:rPr>
            </w:pPr>
            <w:r>
              <w:rPr>
                <w:rFonts w:ascii="Arial" w:cs="Arial" w:eastAsia="Arial" w:hAnsi="Arial"/>
                <w:sz w:val="15"/>
                <w:szCs w:val="15"/>
                <w:color w:val="7B7C80"/>
              </w:rPr>
              <w:t>Capital Group</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Aberdeen Asset Management PLC</w:t>
            </w:r>
          </w:p>
        </w:tc>
        <w:tc>
          <w:tcPr>
            <w:tcW w:w="8040" w:type="dxa"/>
            <w:vAlign w:val="bottom"/>
          </w:tcPr>
          <w:p>
            <w:pPr>
              <w:ind w:left="2400"/>
              <w:spacing w:after="0"/>
              <w:rPr>
                <w:sz w:val="20"/>
                <w:szCs w:val="20"/>
                <w:color w:val="auto"/>
              </w:rPr>
            </w:pPr>
            <w:r>
              <w:rPr>
                <w:rFonts w:ascii="Arial" w:cs="Arial" w:eastAsia="Arial" w:hAnsi="Arial"/>
                <w:sz w:val="15"/>
                <w:szCs w:val="15"/>
                <w:color w:val="7B7C80"/>
              </w:rPr>
              <w:t>Causeway Capital Management LLC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Acadian Asset Management, LLC</w:t>
            </w:r>
          </w:p>
        </w:tc>
        <w:tc>
          <w:tcPr>
            <w:tcW w:w="8040" w:type="dxa"/>
            <w:vAlign w:val="bottom"/>
          </w:tcPr>
          <w:p>
            <w:pPr>
              <w:ind w:left="2400"/>
              <w:spacing w:after="0"/>
              <w:rPr>
                <w:sz w:val="20"/>
                <w:szCs w:val="20"/>
                <w:color w:val="auto"/>
              </w:rPr>
            </w:pPr>
            <w:r>
              <w:rPr>
                <w:rFonts w:ascii="Arial" w:cs="Arial" w:eastAsia="Arial" w:hAnsi="Arial"/>
                <w:sz w:val="15"/>
                <w:szCs w:val="15"/>
                <w:color w:val="7B7C80"/>
              </w:rPr>
              <w:t>CBRE Global Investors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Adams Funds</w:t>
            </w:r>
          </w:p>
        </w:tc>
        <w:tc>
          <w:tcPr>
            <w:tcW w:w="8040" w:type="dxa"/>
            <w:vAlign w:val="bottom"/>
          </w:tcPr>
          <w:p>
            <w:pPr>
              <w:ind w:left="2400"/>
              <w:spacing w:after="0"/>
              <w:rPr>
                <w:sz w:val="20"/>
                <w:szCs w:val="20"/>
                <w:color w:val="auto"/>
              </w:rPr>
            </w:pPr>
            <w:r>
              <w:rPr>
                <w:rFonts w:ascii="Arial" w:cs="Arial" w:eastAsia="Arial" w:hAnsi="Arial"/>
                <w:sz w:val="15"/>
                <w:szCs w:val="15"/>
                <w:color w:val="7B7C80"/>
              </w:rPr>
              <w:t>Charles Schwab Investment Management, Inc.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AEW Capital Management</w:t>
            </w:r>
          </w:p>
        </w:tc>
        <w:tc>
          <w:tcPr>
            <w:tcW w:w="8040" w:type="dxa"/>
            <w:vAlign w:val="bottom"/>
          </w:tcPr>
          <w:p>
            <w:pPr>
              <w:ind w:left="2400"/>
              <w:spacing w:after="0"/>
              <w:rPr>
                <w:sz w:val="20"/>
                <w:szCs w:val="20"/>
                <w:color w:val="auto"/>
              </w:rPr>
            </w:pPr>
            <w:r>
              <w:rPr>
                <w:rFonts w:ascii="Arial" w:cs="Arial" w:eastAsia="Arial" w:hAnsi="Arial"/>
                <w:sz w:val="15"/>
                <w:szCs w:val="15"/>
                <w:color w:val="7B7C80"/>
              </w:rPr>
              <w:t>ClearBridge Investments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Allianz Global Investors</w:t>
            </w:r>
          </w:p>
        </w:tc>
        <w:tc>
          <w:tcPr>
            <w:tcW w:w="8040" w:type="dxa"/>
            <w:vAlign w:val="bottom"/>
          </w:tcPr>
          <w:p>
            <w:pPr>
              <w:ind w:left="2400"/>
              <w:spacing w:after="0"/>
              <w:rPr>
                <w:sz w:val="20"/>
                <w:szCs w:val="20"/>
                <w:color w:val="auto"/>
              </w:rPr>
            </w:pPr>
            <w:r>
              <w:rPr>
                <w:rFonts w:ascii="Arial" w:cs="Arial" w:eastAsia="Arial" w:hAnsi="Arial"/>
                <w:sz w:val="15"/>
                <w:szCs w:val="15"/>
                <w:color w:val="7B7C80"/>
              </w:rPr>
              <w:t>Cohen &amp; Steers, Inc.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American Beacon Advisors</w:t>
            </w:r>
          </w:p>
        </w:tc>
        <w:tc>
          <w:tcPr>
            <w:tcW w:w="8040" w:type="dxa"/>
            <w:vAlign w:val="bottom"/>
          </w:tcPr>
          <w:p>
            <w:pPr>
              <w:ind w:left="2400"/>
              <w:spacing w:after="0"/>
              <w:rPr>
                <w:sz w:val="20"/>
                <w:szCs w:val="20"/>
                <w:color w:val="auto"/>
              </w:rPr>
            </w:pPr>
            <w:r>
              <w:rPr>
                <w:rFonts w:ascii="Arial" w:cs="Arial" w:eastAsia="Arial" w:hAnsi="Arial"/>
                <w:sz w:val="15"/>
                <w:szCs w:val="15"/>
                <w:color w:val="7B7C80"/>
              </w:rPr>
              <w:t>Columbia Threadneedle Investments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American Century Investments</w:t>
            </w:r>
          </w:p>
        </w:tc>
        <w:tc>
          <w:tcPr>
            <w:tcW w:w="8040" w:type="dxa"/>
            <w:vAlign w:val="bottom"/>
          </w:tcPr>
          <w:p>
            <w:pPr>
              <w:ind w:left="2400"/>
              <w:spacing w:after="0"/>
              <w:rPr>
                <w:sz w:val="20"/>
                <w:szCs w:val="20"/>
                <w:color w:val="auto"/>
              </w:rPr>
            </w:pPr>
            <w:r>
              <w:rPr>
                <w:rFonts w:ascii="Arial" w:cs="Arial" w:eastAsia="Arial" w:hAnsi="Arial"/>
                <w:sz w:val="15"/>
                <w:szCs w:val="15"/>
                <w:color w:val="7B7C80"/>
              </w:rPr>
              <w:t>Conning Holdings Limited</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AMG Funds LLC</w:t>
            </w:r>
          </w:p>
        </w:tc>
        <w:tc>
          <w:tcPr>
            <w:tcW w:w="8040" w:type="dxa"/>
            <w:vAlign w:val="bottom"/>
          </w:tcPr>
          <w:p>
            <w:pPr>
              <w:ind w:left="2400"/>
              <w:spacing w:after="0"/>
              <w:rPr>
                <w:sz w:val="20"/>
                <w:szCs w:val="20"/>
                <w:color w:val="auto"/>
              </w:rPr>
            </w:pPr>
            <w:r>
              <w:rPr>
                <w:rFonts w:ascii="Arial" w:cs="Arial" w:eastAsia="Arial" w:hAnsi="Arial"/>
                <w:sz w:val="15"/>
                <w:szCs w:val="15"/>
                <w:color w:val="7B7C80"/>
              </w:rPr>
              <w:t>Copper Rock Capital Partners, LLC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AMP Capital Investors Limited</w:t>
            </w:r>
          </w:p>
        </w:tc>
        <w:tc>
          <w:tcPr>
            <w:tcW w:w="8040" w:type="dxa"/>
            <w:vAlign w:val="bottom"/>
          </w:tcPr>
          <w:p>
            <w:pPr>
              <w:ind w:left="2400"/>
              <w:spacing w:after="0"/>
              <w:rPr>
                <w:sz w:val="20"/>
                <w:szCs w:val="20"/>
                <w:color w:val="auto"/>
              </w:rPr>
            </w:pPr>
            <w:r>
              <w:rPr>
                <w:rFonts w:ascii="Arial" w:cs="Arial" w:eastAsia="Arial" w:hAnsi="Arial"/>
                <w:sz w:val="15"/>
                <w:szCs w:val="15"/>
                <w:color w:val="7B7C80"/>
              </w:rPr>
              <w:t>Daiwa Asset Management Co. Ltd.</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Amundi Pioneer Asset Management USA, Inc.</w:t>
            </w:r>
          </w:p>
        </w:tc>
        <w:tc>
          <w:tcPr>
            <w:tcW w:w="8040" w:type="dxa"/>
            <w:vAlign w:val="bottom"/>
          </w:tcPr>
          <w:p>
            <w:pPr>
              <w:ind w:left="2400"/>
              <w:spacing w:after="0"/>
              <w:rPr>
                <w:sz w:val="20"/>
                <w:szCs w:val="20"/>
                <w:color w:val="auto"/>
              </w:rPr>
            </w:pPr>
            <w:r>
              <w:rPr>
                <w:rFonts w:ascii="Arial" w:cs="Arial" w:eastAsia="Arial" w:hAnsi="Arial"/>
                <w:sz w:val="15"/>
                <w:szCs w:val="15"/>
                <w:color w:val="7B7C80"/>
              </w:rPr>
              <w:t>Delaware Investments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Amundi Smith Breeden LLC</w:t>
            </w:r>
          </w:p>
        </w:tc>
        <w:tc>
          <w:tcPr>
            <w:tcW w:w="8040" w:type="dxa"/>
            <w:vAlign w:val="bottom"/>
          </w:tcPr>
          <w:p>
            <w:pPr>
              <w:ind w:left="2400"/>
              <w:spacing w:after="0"/>
              <w:rPr>
                <w:sz w:val="20"/>
                <w:szCs w:val="20"/>
                <w:color w:val="auto"/>
              </w:rPr>
            </w:pPr>
            <w:r>
              <w:rPr>
                <w:rFonts w:ascii="Arial" w:cs="Arial" w:eastAsia="Arial" w:hAnsi="Arial"/>
                <w:sz w:val="15"/>
                <w:szCs w:val="15"/>
                <w:color w:val="7B7C80"/>
              </w:rPr>
              <w:t>Deutsche Asset Management</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ARGA Investment Management, LP</w:t>
            </w:r>
          </w:p>
        </w:tc>
        <w:tc>
          <w:tcPr>
            <w:tcW w:w="8040" w:type="dxa"/>
            <w:vAlign w:val="bottom"/>
          </w:tcPr>
          <w:p>
            <w:pPr>
              <w:ind w:left="2400"/>
              <w:spacing w:after="0"/>
              <w:rPr>
                <w:sz w:val="20"/>
                <w:szCs w:val="20"/>
                <w:color w:val="auto"/>
              </w:rPr>
            </w:pPr>
            <w:r>
              <w:rPr>
                <w:rFonts w:ascii="Arial" w:cs="Arial" w:eastAsia="Arial" w:hAnsi="Arial"/>
                <w:sz w:val="15"/>
                <w:szCs w:val="15"/>
                <w:color w:val="7B7C80"/>
              </w:rPr>
              <w:t>Diamond Hill Capital Management, Inc.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Ariel Investments LLC</w:t>
            </w:r>
          </w:p>
        </w:tc>
        <w:tc>
          <w:tcPr>
            <w:tcW w:w="8040" w:type="dxa"/>
            <w:vAlign w:val="bottom"/>
          </w:tcPr>
          <w:p>
            <w:pPr>
              <w:ind w:left="2400"/>
              <w:spacing w:after="0"/>
              <w:rPr>
                <w:sz w:val="20"/>
                <w:szCs w:val="20"/>
                <w:color w:val="auto"/>
              </w:rPr>
            </w:pPr>
            <w:r>
              <w:rPr>
                <w:rFonts w:ascii="Arial" w:cs="Arial" w:eastAsia="Arial" w:hAnsi="Arial"/>
                <w:sz w:val="15"/>
                <w:szCs w:val="15"/>
                <w:color w:val="7B7C80"/>
              </w:rPr>
              <w:t>Dimensional Fund Advisors Inc.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Arrowstreet Capital, L.P.</w:t>
            </w:r>
          </w:p>
        </w:tc>
        <w:tc>
          <w:tcPr>
            <w:tcW w:w="8040" w:type="dxa"/>
            <w:vAlign w:val="bottom"/>
          </w:tcPr>
          <w:p>
            <w:pPr>
              <w:ind w:left="2400"/>
              <w:spacing w:after="0"/>
              <w:rPr>
                <w:sz w:val="20"/>
                <w:szCs w:val="20"/>
                <w:color w:val="auto"/>
              </w:rPr>
            </w:pPr>
            <w:r>
              <w:rPr>
                <w:rFonts w:ascii="Arial" w:cs="Arial" w:eastAsia="Arial" w:hAnsi="Arial"/>
                <w:sz w:val="15"/>
                <w:szCs w:val="15"/>
                <w:color w:val="7B7C80"/>
              </w:rPr>
              <w:t>Driehaus Capital Management LLC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Artisan Partners Limited Partnership</w:t>
            </w:r>
          </w:p>
        </w:tc>
        <w:tc>
          <w:tcPr>
            <w:tcW w:w="8040" w:type="dxa"/>
            <w:vAlign w:val="bottom"/>
          </w:tcPr>
          <w:p>
            <w:pPr>
              <w:ind w:left="2400"/>
              <w:spacing w:after="0"/>
              <w:rPr>
                <w:sz w:val="20"/>
                <w:szCs w:val="20"/>
                <w:color w:val="auto"/>
              </w:rPr>
            </w:pPr>
            <w:r>
              <w:rPr>
                <w:rFonts w:ascii="Arial" w:cs="Arial" w:eastAsia="Arial" w:hAnsi="Arial"/>
                <w:sz w:val="15"/>
                <w:szCs w:val="15"/>
                <w:color w:val="7B7C80"/>
              </w:rPr>
              <w:t>Duff &amp; Phelps Investment Management Co.</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Ashmore Group plc</w:t>
            </w:r>
          </w:p>
        </w:tc>
        <w:tc>
          <w:tcPr>
            <w:tcW w:w="8040" w:type="dxa"/>
            <w:vAlign w:val="bottom"/>
          </w:tcPr>
          <w:p>
            <w:pPr>
              <w:ind w:left="2400"/>
              <w:spacing w:after="0"/>
              <w:rPr>
                <w:sz w:val="20"/>
                <w:szCs w:val="20"/>
                <w:color w:val="auto"/>
              </w:rPr>
            </w:pPr>
            <w:r>
              <w:rPr>
                <w:rFonts w:ascii="Arial" w:cs="Arial" w:eastAsia="Arial" w:hAnsi="Arial"/>
                <w:sz w:val="15"/>
                <w:szCs w:val="15"/>
                <w:color w:val="7B7C80"/>
              </w:rPr>
              <w:t>DuPont Capital Management</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AXA Investment Managers</w:t>
            </w:r>
          </w:p>
        </w:tc>
        <w:tc>
          <w:tcPr>
            <w:tcW w:w="8040" w:type="dxa"/>
            <w:vAlign w:val="bottom"/>
          </w:tcPr>
          <w:p>
            <w:pPr>
              <w:ind w:left="2400"/>
              <w:spacing w:after="0"/>
              <w:rPr>
                <w:sz w:val="20"/>
                <w:szCs w:val="20"/>
                <w:color w:val="auto"/>
              </w:rPr>
            </w:pPr>
            <w:r>
              <w:rPr>
                <w:rFonts w:ascii="Arial" w:cs="Arial" w:eastAsia="Arial" w:hAnsi="Arial"/>
                <w:sz w:val="15"/>
                <w:szCs w:val="15"/>
                <w:color w:val="7B7C80"/>
              </w:rPr>
              <w:t>Eagle Asset Management, Inc. (Raymond James)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Baring Asset Management, Inc.</w:t>
            </w:r>
          </w:p>
        </w:tc>
        <w:tc>
          <w:tcPr>
            <w:tcW w:w="8040" w:type="dxa"/>
            <w:vAlign w:val="bottom"/>
          </w:tcPr>
          <w:p>
            <w:pPr>
              <w:ind w:left="2400"/>
              <w:spacing w:after="0"/>
              <w:rPr>
                <w:sz w:val="20"/>
                <w:szCs w:val="20"/>
                <w:color w:val="auto"/>
              </w:rPr>
            </w:pPr>
            <w:r>
              <w:rPr>
                <w:rFonts w:ascii="Arial" w:cs="Arial" w:eastAsia="Arial" w:hAnsi="Arial"/>
                <w:sz w:val="15"/>
                <w:szCs w:val="15"/>
                <w:color w:val="7B7C80"/>
              </w:rPr>
              <w:t>Eaton Vance Management</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Barrow, Hanley, Mewhinney &amp; Strauss, LLC</w:t>
            </w:r>
          </w:p>
        </w:tc>
        <w:tc>
          <w:tcPr>
            <w:tcW w:w="8040" w:type="dxa"/>
            <w:vAlign w:val="bottom"/>
          </w:tcPr>
          <w:p>
            <w:pPr>
              <w:ind w:left="2400"/>
              <w:spacing w:after="0"/>
              <w:rPr>
                <w:sz w:val="20"/>
                <w:szCs w:val="20"/>
                <w:color w:val="auto"/>
              </w:rPr>
            </w:pPr>
            <w:r>
              <w:rPr>
                <w:rFonts w:ascii="Arial" w:cs="Arial" w:eastAsia="Arial" w:hAnsi="Arial"/>
                <w:sz w:val="15"/>
                <w:szCs w:val="15"/>
                <w:color w:val="7B7C80"/>
              </w:rPr>
              <w:t>Edward Jones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Bessemer Trust Company</w:t>
            </w:r>
          </w:p>
        </w:tc>
        <w:tc>
          <w:tcPr>
            <w:tcW w:w="8040" w:type="dxa"/>
            <w:vAlign w:val="bottom"/>
          </w:tcPr>
          <w:p>
            <w:pPr>
              <w:ind w:left="2400"/>
              <w:spacing w:after="0"/>
              <w:rPr>
                <w:sz w:val="20"/>
                <w:szCs w:val="20"/>
                <w:color w:val="auto"/>
              </w:rPr>
            </w:pPr>
            <w:r>
              <w:rPr>
                <w:rFonts w:ascii="Arial" w:cs="Arial" w:eastAsia="Arial" w:hAnsi="Arial"/>
                <w:sz w:val="15"/>
                <w:szCs w:val="15"/>
                <w:color w:val="7B7C80"/>
              </w:rPr>
              <w:t>EFG Asset Management</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BlackRock, Inc.</w:t>
            </w:r>
          </w:p>
        </w:tc>
        <w:tc>
          <w:tcPr>
            <w:tcW w:w="8040" w:type="dxa"/>
            <w:vAlign w:val="bottom"/>
          </w:tcPr>
          <w:p>
            <w:pPr>
              <w:ind w:left="2400"/>
              <w:spacing w:after="0"/>
              <w:rPr>
                <w:sz w:val="20"/>
                <w:szCs w:val="20"/>
                <w:color w:val="auto"/>
              </w:rPr>
            </w:pPr>
            <w:r>
              <w:rPr>
                <w:rFonts w:ascii="Arial" w:cs="Arial" w:eastAsia="Arial" w:hAnsi="Arial"/>
                <w:sz w:val="15"/>
                <w:szCs w:val="15"/>
                <w:color w:val="7B7C80"/>
              </w:rPr>
              <w:t>Epoch Investment Partners, Inc.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BMGI</w:t>
            </w:r>
          </w:p>
        </w:tc>
        <w:tc>
          <w:tcPr>
            <w:tcW w:w="8040" w:type="dxa"/>
            <w:vAlign w:val="bottom"/>
          </w:tcPr>
          <w:p>
            <w:pPr>
              <w:ind w:left="2400"/>
              <w:spacing w:after="0"/>
              <w:rPr>
                <w:sz w:val="20"/>
                <w:szCs w:val="20"/>
                <w:color w:val="auto"/>
              </w:rPr>
            </w:pPr>
            <w:r>
              <w:rPr>
                <w:rFonts w:ascii="Arial" w:cs="Arial" w:eastAsia="Arial" w:hAnsi="Arial"/>
                <w:sz w:val="15"/>
                <w:szCs w:val="15"/>
                <w:color w:val="7B7C80"/>
              </w:rPr>
              <w:t>Federated Investors, Inc.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BNP Paribas Investment Partners</w:t>
            </w:r>
          </w:p>
        </w:tc>
        <w:tc>
          <w:tcPr>
            <w:tcW w:w="8040" w:type="dxa"/>
            <w:vAlign w:val="bottom"/>
          </w:tcPr>
          <w:p>
            <w:pPr>
              <w:ind w:left="2400"/>
              <w:spacing w:after="0"/>
              <w:rPr>
                <w:sz w:val="20"/>
                <w:szCs w:val="20"/>
                <w:color w:val="auto"/>
              </w:rPr>
            </w:pPr>
            <w:r>
              <w:rPr>
                <w:rFonts w:ascii="Arial" w:cs="Arial" w:eastAsia="Arial" w:hAnsi="Arial"/>
                <w:sz w:val="15"/>
                <w:szCs w:val="15"/>
                <w:color w:val="7B7C80"/>
              </w:rPr>
              <w:t>Fidelity Investments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Boston Company Asset Management, LLC</w:t>
            </w:r>
          </w:p>
        </w:tc>
        <w:tc>
          <w:tcPr>
            <w:tcW w:w="8040" w:type="dxa"/>
            <w:vAlign w:val="bottom"/>
          </w:tcPr>
          <w:p>
            <w:pPr>
              <w:ind w:left="2400"/>
              <w:spacing w:after="0"/>
              <w:rPr>
                <w:sz w:val="20"/>
                <w:szCs w:val="20"/>
                <w:color w:val="auto"/>
              </w:rPr>
            </w:pPr>
            <w:r>
              <w:rPr>
                <w:rFonts w:ascii="Arial" w:cs="Arial" w:eastAsia="Arial" w:hAnsi="Arial"/>
                <w:sz w:val="15"/>
                <w:szCs w:val="15"/>
                <w:color w:val="7B7C80"/>
              </w:rPr>
              <w:t>Fiera Capital Corporation</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Brandes Investment Partners, L.P.</w:t>
            </w:r>
          </w:p>
        </w:tc>
        <w:tc>
          <w:tcPr>
            <w:tcW w:w="8040" w:type="dxa"/>
            <w:vAlign w:val="bottom"/>
          </w:tcPr>
          <w:p>
            <w:pPr>
              <w:ind w:left="2400"/>
              <w:spacing w:after="0"/>
              <w:rPr>
                <w:sz w:val="20"/>
                <w:szCs w:val="20"/>
                <w:color w:val="auto"/>
              </w:rPr>
            </w:pPr>
            <w:r>
              <w:rPr>
                <w:rFonts w:ascii="Arial" w:cs="Arial" w:eastAsia="Arial" w:hAnsi="Arial"/>
                <w:sz w:val="15"/>
                <w:szCs w:val="15"/>
                <w:color w:val="7B7C80"/>
              </w:rPr>
              <w:t>Financial Engines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Brandywine Global Investment Management, LLC</w:t>
            </w:r>
          </w:p>
        </w:tc>
        <w:tc>
          <w:tcPr>
            <w:tcW w:w="8040" w:type="dxa"/>
            <w:vAlign w:val="bottom"/>
          </w:tcPr>
          <w:p>
            <w:pPr>
              <w:ind w:left="2400"/>
              <w:spacing w:after="0"/>
              <w:rPr>
                <w:sz w:val="20"/>
                <w:szCs w:val="20"/>
                <w:color w:val="auto"/>
              </w:rPr>
            </w:pPr>
            <w:r>
              <w:rPr>
                <w:rFonts w:ascii="Arial" w:cs="Arial" w:eastAsia="Arial" w:hAnsi="Arial"/>
                <w:sz w:val="15"/>
                <w:szCs w:val="15"/>
                <w:color w:val="7B7C80"/>
              </w:rPr>
              <w:t>First Eagle Investment Management, LLC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Bridgewater Associates, Inc.</w:t>
            </w:r>
          </w:p>
        </w:tc>
        <w:tc>
          <w:tcPr>
            <w:tcW w:w="8040" w:type="dxa"/>
            <w:vAlign w:val="bottom"/>
          </w:tcPr>
          <w:p>
            <w:pPr>
              <w:ind w:left="2400"/>
              <w:spacing w:after="0"/>
              <w:rPr>
                <w:sz w:val="20"/>
                <w:szCs w:val="20"/>
                <w:color w:val="auto"/>
              </w:rPr>
            </w:pPr>
            <w:r>
              <w:rPr>
                <w:rFonts w:ascii="Arial" w:cs="Arial" w:eastAsia="Arial" w:hAnsi="Arial"/>
                <w:sz w:val="15"/>
                <w:szCs w:val="15"/>
                <w:color w:val="7B7C80"/>
              </w:rPr>
              <w:t>First Quadrant, L.P.</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Bridgeway Capital Management, Inc.</w:t>
            </w:r>
          </w:p>
        </w:tc>
        <w:tc>
          <w:tcPr>
            <w:tcW w:w="8040" w:type="dxa"/>
            <w:vAlign w:val="bottom"/>
          </w:tcPr>
          <w:p>
            <w:pPr>
              <w:ind w:left="2400"/>
              <w:spacing w:after="0"/>
              <w:rPr>
                <w:sz w:val="20"/>
                <w:szCs w:val="20"/>
                <w:color w:val="auto"/>
              </w:rPr>
            </w:pPr>
            <w:r>
              <w:rPr>
                <w:rFonts w:ascii="Arial" w:cs="Arial" w:eastAsia="Arial" w:hAnsi="Arial"/>
                <w:sz w:val="15"/>
                <w:szCs w:val="15"/>
                <w:color w:val="7B7C80"/>
              </w:rPr>
              <w:t>Franklin Square Capital Partners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Brown Advisory</w:t>
            </w:r>
          </w:p>
        </w:tc>
        <w:tc>
          <w:tcPr>
            <w:tcW w:w="8040" w:type="dxa"/>
            <w:vAlign w:val="bottom"/>
          </w:tcPr>
          <w:p>
            <w:pPr>
              <w:ind w:left="2400"/>
              <w:spacing w:after="0"/>
              <w:rPr>
                <w:sz w:val="20"/>
                <w:szCs w:val="20"/>
                <w:color w:val="auto"/>
              </w:rPr>
            </w:pPr>
            <w:r>
              <w:rPr>
                <w:rFonts w:ascii="Arial" w:cs="Arial" w:eastAsia="Arial" w:hAnsi="Arial"/>
                <w:sz w:val="15"/>
                <w:szCs w:val="15"/>
                <w:color w:val="7B7C80"/>
              </w:rPr>
              <w:t>Franklin Templeton Investments</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Brown Brothers Harriman &amp; Co.</w:t>
            </w:r>
          </w:p>
        </w:tc>
        <w:tc>
          <w:tcPr>
            <w:tcW w:w="8040" w:type="dxa"/>
            <w:vAlign w:val="bottom"/>
          </w:tcPr>
          <w:p>
            <w:pPr>
              <w:ind w:left="2400"/>
              <w:spacing w:after="0"/>
              <w:rPr>
                <w:sz w:val="20"/>
                <w:szCs w:val="20"/>
                <w:color w:val="auto"/>
              </w:rPr>
            </w:pPr>
            <w:r>
              <w:rPr>
                <w:rFonts w:ascii="Arial" w:cs="Arial" w:eastAsia="Arial" w:hAnsi="Arial"/>
                <w:sz w:val="15"/>
                <w:szCs w:val="15"/>
                <w:color w:val="7B7C80"/>
              </w:rPr>
              <w:t>Fred Alger Management, Inc.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Calamos Investments</w:t>
            </w:r>
          </w:p>
        </w:tc>
        <w:tc>
          <w:tcPr>
            <w:tcW w:w="8040" w:type="dxa"/>
            <w:vAlign w:val="bottom"/>
          </w:tcPr>
          <w:p>
            <w:pPr>
              <w:ind w:left="2400"/>
              <w:spacing w:after="0"/>
              <w:rPr>
                <w:sz w:val="20"/>
                <w:szCs w:val="20"/>
                <w:color w:val="auto"/>
              </w:rPr>
            </w:pPr>
            <w:r>
              <w:rPr>
                <w:rFonts w:ascii="Arial" w:cs="Arial" w:eastAsia="Arial" w:hAnsi="Arial"/>
                <w:sz w:val="15"/>
                <w:szCs w:val="15"/>
                <w:color w:val="7B7C80"/>
              </w:rPr>
              <w:t>Fund Evaluation Group, LLC</w:t>
            </w:r>
          </w:p>
        </w:tc>
      </w:tr>
      <w:tr>
        <w:trPr>
          <w:trHeight w:val="172"/>
        </w:trPr>
        <w:tc>
          <w:tcPr>
            <w:tcW w:w="3400" w:type="dxa"/>
            <w:vAlign w:val="bottom"/>
          </w:tcPr>
          <w:p>
            <w:pPr>
              <w:spacing w:after="0"/>
              <w:rPr>
                <w:sz w:val="20"/>
                <w:szCs w:val="20"/>
                <w:color w:val="auto"/>
              </w:rPr>
            </w:pPr>
            <w:r>
              <w:rPr>
                <w:rFonts w:ascii="Arial" w:cs="Arial" w:eastAsia="Arial" w:hAnsi="Arial"/>
                <w:sz w:val="15"/>
                <w:szCs w:val="15"/>
                <w:color w:val="7B7C80"/>
              </w:rPr>
              <w:t>Capital Group</w:t>
            </w:r>
          </w:p>
        </w:tc>
        <w:tc>
          <w:tcPr>
            <w:tcW w:w="8040" w:type="dxa"/>
            <w:vAlign w:val="bottom"/>
          </w:tcPr>
          <w:p>
            <w:pPr>
              <w:ind w:left="2400"/>
              <w:spacing w:after="0"/>
              <w:rPr>
                <w:sz w:val="20"/>
                <w:szCs w:val="20"/>
                <w:color w:val="auto"/>
              </w:rPr>
            </w:pPr>
            <w:r>
              <w:rPr>
                <w:rFonts w:ascii="Arial" w:cs="Arial" w:eastAsia="Arial" w:hAnsi="Arial"/>
                <w:sz w:val="15"/>
                <w:szCs w:val="15"/>
                <w:color w:val="7B7C80"/>
              </w:rPr>
              <w:t>GAM USA</w:t>
            </w:r>
          </w:p>
        </w:tc>
      </w:tr>
      <w:tr>
        <w:trPr>
          <w:trHeight w:val="179"/>
        </w:trPr>
        <w:tc>
          <w:tcPr>
            <w:tcW w:w="3400" w:type="dxa"/>
            <w:vAlign w:val="bottom"/>
          </w:tcPr>
          <w:p>
            <w:pPr>
              <w:spacing w:after="0"/>
              <w:rPr>
                <w:sz w:val="20"/>
                <w:szCs w:val="20"/>
                <w:color w:val="auto"/>
              </w:rPr>
            </w:pPr>
            <w:r>
              <w:rPr>
                <w:rFonts w:ascii="Arial" w:cs="Arial" w:eastAsia="Arial" w:hAnsi="Arial"/>
                <w:sz w:val="15"/>
                <w:szCs w:val="15"/>
                <w:color w:val="7B7C80"/>
              </w:rPr>
              <w:t>Cardinal Capital Management, LLC</w:t>
            </w:r>
          </w:p>
        </w:tc>
        <w:tc>
          <w:tcPr>
            <w:tcW w:w="8040" w:type="dxa"/>
            <w:vAlign w:val="bottom"/>
          </w:tcPr>
          <w:p>
            <w:pPr>
              <w:ind w:left="2400"/>
              <w:spacing w:after="0"/>
              <w:rPr>
                <w:sz w:val="20"/>
                <w:szCs w:val="20"/>
                <w:color w:val="auto"/>
              </w:rPr>
            </w:pPr>
            <w:r>
              <w:rPr>
                <w:rFonts w:ascii="Arial" w:cs="Arial" w:eastAsia="Arial" w:hAnsi="Arial"/>
                <w:sz w:val="15"/>
                <w:szCs w:val="15"/>
                <w:color w:val="7B7C80"/>
              </w:rPr>
              <w:t>Geode Capital Management, LLC</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110490</wp:posOffset>
            </wp:positionV>
            <wp:extent cx="960120" cy="28384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294"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040" w:type="dxa"/>
            <w:vAlign w:val="bottom"/>
          </w:tcPr>
          <w:p>
            <w:pPr>
              <w:ind w:left="9400"/>
              <w:spacing w:after="0"/>
              <w:rPr>
                <w:sz w:val="20"/>
                <w:szCs w:val="20"/>
                <w:color w:val="auto"/>
              </w:rPr>
            </w:pPr>
            <w:r>
              <w:rPr>
                <w:rFonts w:ascii="Arial" w:cs="Arial" w:eastAsia="Arial" w:hAnsi="Arial"/>
                <w:sz w:val="15"/>
                <w:szCs w:val="15"/>
                <w:color w:val="7B7C80"/>
              </w:rPr>
              <w:t>2018 Proxy Statement</w:t>
            </w:r>
          </w:p>
        </w:tc>
        <w:tc>
          <w:tcPr>
            <w:tcW w:w="400" w:type="dxa"/>
            <w:vAlign w:val="bottom"/>
          </w:tcPr>
          <w:p>
            <w:pPr>
              <w:ind w:left="160"/>
              <w:spacing w:after="0"/>
              <w:rPr>
                <w:sz w:val="20"/>
                <w:szCs w:val="20"/>
                <w:color w:val="auto"/>
              </w:rPr>
            </w:pPr>
            <w:r>
              <w:rPr>
                <w:rFonts w:ascii="Arial" w:cs="Arial" w:eastAsia="Arial" w:hAnsi="Arial"/>
                <w:sz w:val="15"/>
                <w:szCs w:val="15"/>
                <w:color w:val="009CCC"/>
                <w:w w:val="94"/>
              </w:rPr>
              <w:t>A-3</w:t>
            </w:r>
          </w:p>
        </w:tc>
      </w:tr>
      <w:tr>
        <w:trPr>
          <w:trHeight w:val="318"/>
        </w:trPr>
        <w:tc>
          <w:tcPr>
            <w:tcW w:w="1104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71" w:name="page72"/>
    <w:bookmarkEnd w:id="71"/>
    <w:tbl>
      <w:tblPr>
        <w:tblLayout w:type="fixed"/>
        <w:tblInd w:w="0" w:type="dxa"/>
        <w:tblCellMar>
          <w:top w:w="0" w:type="dxa"/>
          <w:left w:w="0" w:type="dxa"/>
          <w:bottom w:w="0" w:type="dxa"/>
          <w:right w:w="0" w:type="dxa"/>
        </w:tblCellMar>
      </w:tblPr>
      <w:tr>
        <w:trPr>
          <w:trHeight w:val="172"/>
        </w:trPr>
        <w:tc>
          <w:tcPr>
            <w:tcW w:w="1160" w:type="dxa"/>
            <w:vAlign w:val="bottom"/>
            <w:tcBorders>
              <w:bottom w:val="single" w:sz="8" w:color="0000EE"/>
            </w:tcBorders>
            <w:gridSpan w:val="2"/>
          </w:tcPr>
          <w:p>
            <w:pPr>
              <w:spacing w:after="0"/>
              <w:rPr>
                <w:rFonts w:ascii="Arial" w:cs="Arial" w:eastAsia="Arial" w:hAnsi="Arial"/>
                <w:sz w:val="15"/>
                <w:szCs w:val="15"/>
                <w:color w:val="0000EE"/>
                <w:w w:val="96"/>
              </w:rPr>
            </w:pPr>
            <w:hyperlink w:anchor="page5">
              <w:r>
                <w:rPr>
                  <w:rFonts w:ascii="Arial" w:cs="Arial" w:eastAsia="Arial" w:hAnsi="Arial"/>
                  <w:sz w:val="15"/>
                  <w:szCs w:val="15"/>
                  <w:color w:val="0000EE"/>
                  <w:w w:val="96"/>
                </w:rPr>
                <w:t>Table of Contents</w:t>
              </w:r>
            </w:hyperlink>
          </w:p>
        </w:tc>
        <w:tc>
          <w:tcPr>
            <w:tcW w:w="3340" w:type="dxa"/>
            <w:vAlign w:val="bottom"/>
          </w:tcPr>
          <w:p>
            <w:pPr>
              <w:spacing w:after="0"/>
              <w:rPr>
                <w:sz w:val="14"/>
                <w:szCs w:val="14"/>
                <w:color w:val="auto"/>
              </w:rPr>
            </w:pPr>
          </w:p>
        </w:tc>
        <w:tc>
          <w:tcPr>
            <w:tcW w:w="6940" w:type="dxa"/>
            <w:vAlign w:val="bottom"/>
          </w:tcPr>
          <w:p>
            <w:pPr>
              <w:spacing w:after="0"/>
              <w:rPr>
                <w:sz w:val="14"/>
                <w:szCs w:val="14"/>
                <w:color w:val="auto"/>
              </w:rPr>
            </w:pPr>
          </w:p>
        </w:tc>
      </w:tr>
      <w:tr>
        <w:trPr>
          <w:trHeight w:val="361"/>
        </w:trPr>
        <w:tc>
          <w:tcPr>
            <w:tcW w:w="4500" w:type="dxa"/>
            <w:vAlign w:val="bottom"/>
            <w:gridSpan w:val="3"/>
          </w:tcPr>
          <w:p>
            <w:pPr>
              <w:spacing w:after="0"/>
              <w:rPr>
                <w:sz w:val="20"/>
                <w:szCs w:val="20"/>
                <w:color w:val="auto"/>
              </w:rPr>
            </w:pPr>
            <w:r>
              <w:rPr>
                <w:rFonts w:ascii="Arial" w:cs="Arial" w:eastAsia="Arial" w:hAnsi="Arial"/>
                <w:sz w:val="15"/>
                <w:szCs w:val="15"/>
                <w:color w:val="7B7C80"/>
              </w:rPr>
              <w:t>GIC Private Limited</w:t>
            </w:r>
          </w:p>
        </w:tc>
        <w:tc>
          <w:tcPr>
            <w:tcW w:w="6940" w:type="dxa"/>
            <w:vAlign w:val="bottom"/>
          </w:tcPr>
          <w:p>
            <w:pPr>
              <w:ind w:left="1300"/>
              <w:spacing w:after="0"/>
              <w:rPr>
                <w:sz w:val="20"/>
                <w:szCs w:val="20"/>
                <w:color w:val="auto"/>
              </w:rPr>
            </w:pPr>
            <w:r>
              <w:rPr>
                <w:rFonts w:ascii="Arial" w:cs="Arial" w:eastAsia="Arial" w:hAnsi="Arial"/>
                <w:sz w:val="15"/>
                <w:szCs w:val="15"/>
                <w:color w:val="7B7C80"/>
              </w:rPr>
              <w:t>Pzena Investment Management, LLC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Glenmede Trust Company</w:t>
            </w:r>
          </w:p>
        </w:tc>
        <w:tc>
          <w:tcPr>
            <w:tcW w:w="6940" w:type="dxa"/>
            <w:vAlign w:val="bottom"/>
          </w:tcPr>
          <w:p>
            <w:pPr>
              <w:ind w:left="1300"/>
              <w:spacing w:after="0"/>
              <w:rPr>
                <w:sz w:val="20"/>
                <w:szCs w:val="20"/>
                <w:color w:val="auto"/>
              </w:rPr>
            </w:pPr>
            <w:r>
              <w:rPr>
                <w:rFonts w:ascii="Arial" w:cs="Arial" w:eastAsia="Arial" w:hAnsi="Arial"/>
                <w:sz w:val="15"/>
                <w:szCs w:val="15"/>
                <w:color w:val="7B7C80"/>
              </w:rPr>
              <w:t>Rafferty Asset Management LLC (Direxion)</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Goldman Sachs Asset Management</w:t>
            </w:r>
          </w:p>
        </w:tc>
        <w:tc>
          <w:tcPr>
            <w:tcW w:w="6940" w:type="dxa"/>
            <w:vAlign w:val="bottom"/>
          </w:tcPr>
          <w:p>
            <w:pPr>
              <w:ind w:left="1300"/>
              <w:spacing w:after="0"/>
              <w:rPr>
                <w:sz w:val="20"/>
                <w:szCs w:val="20"/>
                <w:color w:val="auto"/>
              </w:rPr>
            </w:pPr>
            <w:r>
              <w:rPr>
                <w:rFonts w:ascii="Arial" w:cs="Arial" w:eastAsia="Arial" w:hAnsi="Arial"/>
                <w:sz w:val="15"/>
                <w:szCs w:val="15"/>
                <w:color w:val="7B7C80"/>
              </w:rPr>
              <w:t>Regions Investment Management, Inc.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Grantham, Mayo, Van Otterloo &amp; Co. LLC</w:t>
            </w:r>
          </w:p>
        </w:tc>
        <w:tc>
          <w:tcPr>
            <w:tcW w:w="6940" w:type="dxa"/>
            <w:vAlign w:val="bottom"/>
          </w:tcPr>
          <w:p>
            <w:pPr>
              <w:ind w:left="1300"/>
              <w:spacing w:after="0"/>
              <w:rPr>
                <w:sz w:val="20"/>
                <w:szCs w:val="20"/>
                <w:color w:val="auto"/>
              </w:rPr>
            </w:pPr>
            <w:r>
              <w:rPr>
                <w:rFonts w:ascii="Arial" w:cs="Arial" w:eastAsia="Arial" w:hAnsi="Arial"/>
                <w:sz w:val="15"/>
                <w:szCs w:val="15"/>
                <w:color w:val="7B7C80"/>
              </w:rPr>
              <w:t>River Road Asset Management, LLC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Guggenheim Investments</w:t>
            </w:r>
          </w:p>
        </w:tc>
        <w:tc>
          <w:tcPr>
            <w:tcW w:w="6940" w:type="dxa"/>
            <w:vAlign w:val="bottom"/>
          </w:tcPr>
          <w:p>
            <w:pPr>
              <w:ind w:left="1300"/>
              <w:spacing w:after="0"/>
              <w:rPr>
                <w:sz w:val="20"/>
                <w:szCs w:val="20"/>
                <w:color w:val="auto"/>
              </w:rPr>
            </w:pPr>
            <w:r>
              <w:rPr>
                <w:rFonts w:ascii="Arial" w:cs="Arial" w:eastAsia="Arial" w:hAnsi="Arial"/>
                <w:sz w:val="15"/>
                <w:szCs w:val="15"/>
                <w:color w:val="7B7C80"/>
              </w:rPr>
              <w:t>RidgeWorth Investments</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HarbourVest Partners, LLC</w:t>
            </w:r>
          </w:p>
        </w:tc>
        <w:tc>
          <w:tcPr>
            <w:tcW w:w="6940" w:type="dxa"/>
            <w:vAlign w:val="bottom"/>
          </w:tcPr>
          <w:p>
            <w:pPr>
              <w:ind w:left="1300"/>
              <w:spacing w:after="0"/>
              <w:rPr>
                <w:sz w:val="20"/>
                <w:szCs w:val="20"/>
                <w:color w:val="auto"/>
              </w:rPr>
            </w:pPr>
            <w:r>
              <w:rPr>
                <w:rFonts w:ascii="Arial" w:cs="Arial" w:eastAsia="Arial" w:hAnsi="Arial"/>
                <w:sz w:val="15"/>
                <w:szCs w:val="15"/>
                <w:color w:val="7B7C80"/>
              </w:rPr>
              <w:t>Rockefeller &amp; Co., Inc.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Harding Loevner LP</w:t>
            </w:r>
          </w:p>
        </w:tc>
        <w:tc>
          <w:tcPr>
            <w:tcW w:w="6940" w:type="dxa"/>
            <w:vAlign w:val="bottom"/>
          </w:tcPr>
          <w:p>
            <w:pPr>
              <w:ind w:left="1300"/>
              <w:spacing w:after="0"/>
              <w:rPr>
                <w:sz w:val="20"/>
                <w:szCs w:val="20"/>
                <w:color w:val="auto"/>
              </w:rPr>
            </w:pPr>
            <w:r>
              <w:rPr>
                <w:rFonts w:ascii="Arial" w:cs="Arial" w:eastAsia="Arial" w:hAnsi="Arial"/>
                <w:sz w:val="15"/>
                <w:szCs w:val="15"/>
                <w:color w:val="7B7C80"/>
              </w:rPr>
              <w:t>Rothschild Asset Management Inc.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Harvest Global Investments</w:t>
            </w:r>
          </w:p>
        </w:tc>
        <w:tc>
          <w:tcPr>
            <w:tcW w:w="6940" w:type="dxa"/>
            <w:vAlign w:val="bottom"/>
          </w:tcPr>
          <w:p>
            <w:pPr>
              <w:ind w:left="1300"/>
              <w:spacing w:after="0"/>
              <w:rPr>
                <w:sz w:val="20"/>
                <w:szCs w:val="20"/>
                <w:color w:val="auto"/>
              </w:rPr>
            </w:pPr>
            <w:r>
              <w:rPr>
                <w:rFonts w:ascii="Arial" w:cs="Arial" w:eastAsia="Arial" w:hAnsi="Arial"/>
                <w:sz w:val="15"/>
                <w:szCs w:val="15"/>
                <w:color w:val="7B7C80"/>
              </w:rPr>
              <w:t>Russell Investments</w:t>
            </w:r>
          </w:p>
        </w:tc>
      </w:tr>
      <w:tr>
        <w:trPr>
          <w:trHeight w:val="172"/>
        </w:trPr>
        <w:tc>
          <w:tcPr>
            <w:tcW w:w="560" w:type="dxa"/>
            <w:vAlign w:val="bottom"/>
          </w:tcPr>
          <w:p>
            <w:pPr>
              <w:spacing w:after="0"/>
              <w:rPr>
                <w:sz w:val="20"/>
                <w:szCs w:val="20"/>
                <w:color w:val="auto"/>
              </w:rPr>
            </w:pPr>
            <w:r>
              <w:rPr>
                <w:rFonts w:ascii="Arial" w:cs="Arial" w:eastAsia="Arial" w:hAnsi="Arial"/>
                <w:sz w:val="15"/>
                <w:szCs w:val="15"/>
                <w:color w:val="7B7C80"/>
                <w:w w:val="96"/>
              </w:rPr>
              <w:t>Heitman</w:t>
            </w:r>
          </w:p>
        </w:tc>
        <w:tc>
          <w:tcPr>
            <w:tcW w:w="600" w:type="dxa"/>
            <w:vAlign w:val="bottom"/>
          </w:tcPr>
          <w:p>
            <w:pPr>
              <w:spacing w:after="0"/>
              <w:rPr>
                <w:sz w:val="14"/>
                <w:szCs w:val="14"/>
                <w:color w:val="auto"/>
              </w:rPr>
            </w:pPr>
          </w:p>
        </w:tc>
        <w:tc>
          <w:tcPr>
            <w:tcW w:w="3340" w:type="dxa"/>
            <w:vAlign w:val="bottom"/>
          </w:tcPr>
          <w:p>
            <w:pPr>
              <w:spacing w:after="0"/>
              <w:rPr>
                <w:sz w:val="14"/>
                <w:szCs w:val="14"/>
                <w:color w:val="auto"/>
              </w:rPr>
            </w:pPr>
          </w:p>
        </w:tc>
        <w:tc>
          <w:tcPr>
            <w:tcW w:w="6940" w:type="dxa"/>
            <w:vAlign w:val="bottom"/>
          </w:tcPr>
          <w:p>
            <w:pPr>
              <w:ind w:left="1300"/>
              <w:spacing w:after="0"/>
              <w:rPr>
                <w:sz w:val="20"/>
                <w:szCs w:val="20"/>
                <w:color w:val="auto"/>
              </w:rPr>
            </w:pPr>
            <w:r>
              <w:rPr>
                <w:rFonts w:ascii="Arial" w:cs="Arial" w:eastAsia="Arial" w:hAnsi="Arial"/>
                <w:sz w:val="15"/>
                <w:szCs w:val="15"/>
                <w:color w:val="7B7C80"/>
              </w:rPr>
              <w:t>Sands Capital Management, LLC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Henderson Global Investors</w:t>
            </w:r>
          </w:p>
        </w:tc>
        <w:tc>
          <w:tcPr>
            <w:tcW w:w="6940" w:type="dxa"/>
            <w:vAlign w:val="bottom"/>
          </w:tcPr>
          <w:p>
            <w:pPr>
              <w:ind w:left="1300"/>
              <w:spacing w:after="0"/>
              <w:rPr>
                <w:sz w:val="20"/>
                <w:szCs w:val="20"/>
                <w:color w:val="auto"/>
              </w:rPr>
            </w:pPr>
            <w:r>
              <w:rPr>
                <w:rFonts w:ascii="Arial" w:cs="Arial" w:eastAsia="Arial" w:hAnsi="Arial"/>
                <w:sz w:val="15"/>
                <w:szCs w:val="15"/>
                <w:color w:val="7B7C80"/>
              </w:rPr>
              <w:t>Santa Barbara Asset Management, LLC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Hennessey Advisors, Inc.</w:t>
            </w:r>
          </w:p>
        </w:tc>
        <w:tc>
          <w:tcPr>
            <w:tcW w:w="6940" w:type="dxa"/>
            <w:vAlign w:val="bottom"/>
          </w:tcPr>
          <w:p>
            <w:pPr>
              <w:ind w:left="1300"/>
              <w:spacing w:after="0"/>
              <w:rPr>
                <w:sz w:val="20"/>
                <w:szCs w:val="20"/>
                <w:color w:val="auto"/>
              </w:rPr>
            </w:pPr>
            <w:r>
              <w:rPr>
                <w:rFonts w:ascii="Arial" w:cs="Arial" w:eastAsia="Arial" w:hAnsi="Arial"/>
                <w:sz w:val="15"/>
                <w:szCs w:val="15"/>
                <w:color w:val="7B7C80"/>
              </w:rPr>
              <w:t>Schroder Investment Management</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IFM Investors Pty Ltd.</w:t>
            </w:r>
          </w:p>
        </w:tc>
        <w:tc>
          <w:tcPr>
            <w:tcW w:w="6940" w:type="dxa"/>
            <w:vAlign w:val="bottom"/>
          </w:tcPr>
          <w:p>
            <w:pPr>
              <w:ind w:left="1300"/>
              <w:spacing w:after="0"/>
              <w:rPr>
                <w:sz w:val="20"/>
                <w:szCs w:val="20"/>
                <w:color w:val="auto"/>
              </w:rPr>
            </w:pPr>
            <w:r>
              <w:rPr>
                <w:rFonts w:ascii="Arial" w:cs="Arial" w:eastAsia="Arial" w:hAnsi="Arial"/>
                <w:sz w:val="15"/>
                <w:szCs w:val="15"/>
                <w:color w:val="7B7C80"/>
              </w:rPr>
              <w:t>SEI Investments</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Income Research &amp; Management</w:t>
            </w:r>
          </w:p>
        </w:tc>
        <w:tc>
          <w:tcPr>
            <w:tcW w:w="6940" w:type="dxa"/>
            <w:vAlign w:val="bottom"/>
          </w:tcPr>
          <w:p>
            <w:pPr>
              <w:ind w:left="1300"/>
              <w:spacing w:after="0"/>
              <w:rPr>
                <w:sz w:val="20"/>
                <w:szCs w:val="20"/>
                <w:color w:val="auto"/>
              </w:rPr>
            </w:pPr>
            <w:r>
              <w:rPr>
                <w:rFonts w:ascii="Arial" w:cs="Arial" w:eastAsia="Arial" w:hAnsi="Arial"/>
                <w:sz w:val="15"/>
                <w:szCs w:val="15"/>
                <w:color w:val="7B7C80"/>
              </w:rPr>
              <w:t>Southeastern Asset Management, Inc.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Insight Investment LLC</w:t>
            </w:r>
          </w:p>
        </w:tc>
        <w:tc>
          <w:tcPr>
            <w:tcW w:w="6940" w:type="dxa"/>
            <w:vAlign w:val="bottom"/>
          </w:tcPr>
          <w:p>
            <w:pPr>
              <w:ind w:left="1300"/>
              <w:spacing w:after="0"/>
              <w:rPr>
                <w:sz w:val="20"/>
                <w:szCs w:val="20"/>
                <w:color w:val="auto"/>
              </w:rPr>
            </w:pPr>
            <w:r>
              <w:rPr>
                <w:rFonts w:ascii="Arial" w:cs="Arial" w:eastAsia="Arial" w:hAnsi="Arial"/>
                <w:sz w:val="15"/>
                <w:szCs w:val="15"/>
                <w:color w:val="7B7C80"/>
              </w:rPr>
              <w:t>Standish Mellon Asset Management Company LLC</w:t>
            </w:r>
          </w:p>
        </w:tc>
      </w:tr>
      <w:tr>
        <w:trPr>
          <w:trHeight w:val="172"/>
        </w:trPr>
        <w:tc>
          <w:tcPr>
            <w:tcW w:w="560" w:type="dxa"/>
            <w:vAlign w:val="bottom"/>
          </w:tcPr>
          <w:p>
            <w:pPr>
              <w:spacing w:after="0"/>
              <w:rPr>
                <w:sz w:val="20"/>
                <w:szCs w:val="20"/>
                <w:color w:val="auto"/>
              </w:rPr>
            </w:pPr>
            <w:r>
              <w:rPr>
                <w:rFonts w:ascii="Arial" w:cs="Arial" w:eastAsia="Arial" w:hAnsi="Arial"/>
                <w:sz w:val="15"/>
                <w:szCs w:val="15"/>
                <w:color w:val="7B7C80"/>
                <w:w w:val="96"/>
              </w:rPr>
              <w:t>INTECH</w:t>
            </w:r>
          </w:p>
        </w:tc>
        <w:tc>
          <w:tcPr>
            <w:tcW w:w="600" w:type="dxa"/>
            <w:vAlign w:val="bottom"/>
          </w:tcPr>
          <w:p>
            <w:pPr>
              <w:spacing w:after="0"/>
              <w:rPr>
                <w:sz w:val="14"/>
                <w:szCs w:val="14"/>
                <w:color w:val="auto"/>
              </w:rPr>
            </w:pPr>
          </w:p>
        </w:tc>
        <w:tc>
          <w:tcPr>
            <w:tcW w:w="3340" w:type="dxa"/>
            <w:vAlign w:val="bottom"/>
          </w:tcPr>
          <w:p>
            <w:pPr>
              <w:spacing w:after="0"/>
              <w:rPr>
                <w:sz w:val="14"/>
                <w:szCs w:val="14"/>
                <w:color w:val="auto"/>
              </w:rPr>
            </w:pPr>
          </w:p>
        </w:tc>
        <w:tc>
          <w:tcPr>
            <w:tcW w:w="6940" w:type="dxa"/>
            <w:vAlign w:val="bottom"/>
          </w:tcPr>
          <w:p>
            <w:pPr>
              <w:ind w:left="1300"/>
              <w:spacing w:after="0"/>
              <w:rPr>
                <w:sz w:val="20"/>
                <w:szCs w:val="20"/>
                <w:color w:val="auto"/>
              </w:rPr>
            </w:pPr>
            <w:r>
              <w:rPr>
                <w:rFonts w:ascii="Arial" w:cs="Arial" w:eastAsia="Arial" w:hAnsi="Arial"/>
                <w:sz w:val="15"/>
                <w:szCs w:val="15"/>
                <w:color w:val="7B7C80"/>
              </w:rPr>
              <w:t>State Street Global Advisors</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Intermediate Capital Group</w:t>
            </w:r>
          </w:p>
        </w:tc>
        <w:tc>
          <w:tcPr>
            <w:tcW w:w="6940" w:type="dxa"/>
            <w:vAlign w:val="bottom"/>
          </w:tcPr>
          <w:p>
            <w:pPr>
              <w:ind w:left="1300"/>
              <w:spacing w:after="0"/>
              <w:rPr>
                <w:sz w:val="20"/>
                <w:szCs w:val="20"/>
                <w:color w:val="auto"/>
              </w:rPr>
            </w:pPr>
            <w:r>
              <w:rPr>
                <w:rFonts w:ascii="Arial" w:cs="Arial" w:eastAsia="Arial" w:hAnsi="Arial"/>
                <w:sz w:val="15"/>
                <w:szCs w:val="15"/>
                <w:color w:val="7B7C80"/>
              </w:rPr>
              <w:t>Symphony Asset Management LLC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Invesco Ltd</w:t>
            </w:r>
          </w:p>
        </w:tc>
        <w:tc>
          <w:tcPr>
            <w:tcW w:w="6940" w:type="dxa"/>
            <w:vAlign w:val="bottom"/>
          </w:tcPr>
          <w:p>
            <w:pPr>
              <w:ind w:left="1300"/>
              <w:spacing w:after="0"/>
              <w:rPr>
                <w:sz w:val="20"/>
                <w:szCs w:val="20"/>
                <w:color w:val="auto"/>
              </w:rPr>
            </w:pPr>
            <w:r>
              <w:rPr>
                <w:rFonts w:ascii="Arial" w:cs="Arial" w:eastAsia="Arial" w:hAnsi="Arial"/>
                <w:sz w:val="15"/>
                <w:szCs w:val="15"/>
                <w:color w:val="7B7C80"/>
              </w:rPr>
              <w:t>T. Rowe Price Associates, Inc.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Investec Asset Management US Ltd.</w:t>
            </w:r>
          </w:p>
        </w:tc>
        <w:tc>
          <w:tcPr>
            <w:tcW w:w="6940" w:type="dxa"/>
            <w:vAlign w:val="bottom"/>
          </w:tcPr>
          <w:p>
            <w:pPr>
              <w:ind w:left="1300"/>
              <w:spacing w:after="0"/>
              <w:rPr>
                <w:sz w:val="20"/>
                <w:szCs w:val="20"/>
                <w:color w:val="auto"/>
              </w:rPr>
            </w:pPr>
            <w:r>
              <w:rPr>
                <w:rFonts w:ascii="Arial" w:cs="Arial" w:eastAsia="Arial" w:hAnsi="Arial"/>
                <w:sz w:val="15"/>
                <w:szCs w:val="15"/>
                <w:color w:val="7B7C80"/>
              </w:rPr>
              <w:t>TCW Group</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Investment Counselors of Maryland, LLC</w:t>
            </w:r>
          </w:p>
        </w:tc>
        <w:tc>
          <w:tcPr>
            <w:tcW w:w="6940" w:type="dxa"/>
            <w:vAlign w:val="bottom"/>
          </w:tcPr>
          <w:p>
            <w:pPr>
              <w:ind w:left="1300"/>
              <w:spacing w:after="0"/>
              <w:rPr>
                <w:sz w:val="20"/>
                <w:szCs w:val="20"/>
                <w:color w:val="auto"/>
              </w:rPr>
            </w:pPr>
            <w:r>
              <w:rPr>
                <w:rFonts w:ascii="Arial" w:cs="Arial" w:eastAsia="Arial" w:hAnsi="Arial"/>
                <w:sz w:val="15"/>
                <w:szCs w:val="15"/>
                <w:color w:val="7B7C80"/>
              </w:rPr>
              <w:t>Thompson, Siegel &amp; Walmsley LLC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J O Hambro Capital Management Ltd.</w:t>
            </w:r>
          </w:p>
        </w:tc>
        <w:tc>
          <w:tcPr>
            <w:tcW w:w="6940" w:type="dxa"/>
            <w:vAlign w:val="bottom"/>
          </w:tcPr>
          <w:p>
            <w:pPr>
              <w:ind w:left="1300"/>
              <w:spacing w:after="0"/>
              <w:rPr>
                <w:sz w:val="20"/>
                <w:szCs w:val="20"/>
                <w:color w:val="auto"/>
              </w:rPr>
            </w:pPr>
            <w:r>
              <w:rPr>
                <w:rFonts w:ascii="Arial" w:cs="Arial" w:eastAsia="Arial" w:hAnsi="Arial"/>
                <w:sz w:val="15"/>
                <w:szCs w:val="15"/>
                <w:color w:val="7B7C80"/>
              </w:rPr>
              <w:t>Thornburg Investment Management, Inc.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Jacobs Levy Equity Management, Inc.</w:t>
            </w:r>
          </w:p>
        </w:tc>
        <w:tc>
          <w:tcPr>
            <w:tcW w:w="6940" w:type="dxa"/>
            <w:vAlign w:val="bottom"/>
          </w:tcPr>
          <w:p>
            <w:pPr>
              <w:ind w:left="1300"/>
              <w:spacing w:after="0"/>
              <w:rPr>
                <w:sz w:val="20"/>
                <w:szCs w:val="20"/>
                <w:color w:val="auto"/>
              </w:rPr>
            </w:pPr>
            <w:r>
              <w:rPr>
                <w:rFonts w:ascii="Arial" w:cs="Arial" w:eastAsia="Arial" w:hAnsi="Arial"/>
                <w:sz w:val="15"/>
                <w:szCs w:val="15"/>
                <w:color w:val="7B7C80"/>
              </w:rPr>
              <w:t>UBS Asset Management</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Janus Capital Group</w:t>
            </w:r>
          </w:p>
        </w:tc>
        <w:tc>
          <w:tcPr>
            <w:tcW w:w="6940" w:type="dxa"/>
            <w:vAlign w:val="bottom"/>
          </w:tcPr>
          <w:p>
            <w:pPr>
              <w:ind w:left="1300"/>
              <w:spacing w:after="0"/>
              <w:rPr>
                <w:sz w:val="20"/>
                <w:szCs w:val="20"/>
                <w:color w:val="auto"/>
              </w:rPr>
            </w:pPr>
            <w:r>
              <w:rPr>
                <w:rFonts w:ascii="Arial" w:cs="Arial" w:eastAsia="Arial" w:hAnsi="Arial"/>
                <w:sz w:val="15"/>
                <w:szCs w:val="15"/>
                <w:color w:val="7B7C80"/>
              </w:rPr>
              <w:t>Van Eck Associates Corporation</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Jennison Associates, LLC</w:t>
            </w:r>
          </w:p>
        </w:tc>
        <w:tc>
          <w:tcPr>
            <w:tcW w:w="6940" w:type="dxa"/>
            <w:vAlign w:val="bottom"/>
          </w:tcPr>
          <w:p>
            <w:pPr>
              <w:ind w:left="1300"/>
              <w:spacing w:after="0"/>
              <w:rPr>
                <w:sz w:val="20"/>
                <w:szCs w:val="20"/>
                <w:color w:val="auto"/>
              </w:rPr>
            </w:pPr>
            <w:r>
              <w:rPr>
                <w:rFonts w:ascii="Arial" w:cs="Arial" w:eastAsia="Arial" w:hAnsi="Arial"/>
                <w:sz w:val="15"/>
                <w:szCs w:val="15"/>
                <w:color w:val="7B7C80"/>
              </w:rPr>
              <w:t>Vanguard Group, Inc., The</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JPMorgan Asset &amp; Wealth Management</w:t>
            </w:r>
          </w:p>
        </w:tc>
        <w:tc>
          <w:tcPr>
            <w:tcW w:w="6940" w:type="dxa"/>
            <w:vAlign w:val="bottom"/>
          </w:tcPr>
          <w:p>
            <w:pPr>
              <w:ind w:left="1300"/>
              <w:spacing w:after="0"/>
              <w:rPr>
                <w:sz w:val="20"/>
                <w:szCs w:val="20"/>
                <w:color w:val="auto"/>
              </w:rPr>
            </w:pPr>
            <w:r>
              <w:rPr>
                <w:rFonts w:ascii="Arial" w:cs="Arial" w:eastAsia="Arial" w:hAnsi="Arial"/>
                <w:sz w:val="15"/>
                <w:szCs w:val="15"/>
                <w:color w:val="7B7C80"/>
              </w:rPr>
              <w:t>Vaughan Nelson Investment Management, L.P.</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Kayne Anderson Rudnick Investment Mgmt, LLC</w:t>
            </w:r>
          </w:p>
        </w:tc>
        <w:tc>
          <w:tcPr>
            <w:tcW w:w="6940" w:type="dxa"/>
            <w:vAlign w:val="bottom"/>
          </w:tcPr>
          <w:p>
            <w:pPr>
              <w:ind w:left="1300"/>
              <w:spacing w:after="0"/>
              <w:rPr>
                <w:sz w:val="20"/>
                <w:szCs w:val="20"/>
                <w:color w:val="auto"/>
              </w:rPr>
            </w:pPr>
            <w:r>
              <w:rPr>
                <w:rFonts w:ascii="Arial" w:cs="Arial" w:eastAsia="Arial" w:hAnsi="Arial"/>
                <w:sz w:val="15"/>
                <w:szCs w:val="15"/>
                <w:color w:val="7B7C80"/>
              </w:rPr>
              <w:t>Virtus Investment Partners, Inc.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Lazard Asset Management LLC</w:t>
            </w:r>
          </w:p>
        </w:tc>
        <w:tc>
          <w:tcPr>
            <w:tcW w:w="6940" w:type="dxa"/>
            <w:vAlign w:val="bottom"/>
          </w:tcPr>
          <w:p>
            <w:pPr>
              <w:ind w:left="1300"/>
              <w:spacing w:after="0"/>
              <w:rPr>
                <w:sz w:val="20"/>
                <w:szCs w:val="20"/>
                <w:color w:val="auto"/>
              </w:rPr>
            </w:pPr>
            <w:r>
              <w:rPr>
                <w:rFonts w:ascii="Arial" w:cs="Arial" w:eastAsia="Arial" w:hAnsi="Arial"/>
                <w:sz w:val="15"/>
                <w:szCs w:val="15"/>
                <w:color w:val="7B7C80"/>
              </w:rPr>
              <w:t>Vontobel Asset Management, Inc.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Legg Mason &amp; Co., LLC</w:t>
            </w:r>
          </w:p>
        </w:tc>
        <w:tc>
          <w:tcPr>
            <w:tcW w:w="6940" w:type="dxa"/>
            <w:vAlign w:val="bottom"/>
          </w:tcPr>
          <w:p>
            <w:pPr>
              <w:ind w:left="1300"/>
              <w:spacing w:after="0"/>
              <w:rPr>
                <w:sz w:val="20"/>
                <w:szCs w:val="20"/>
                <w:color w:val="auto"/>
              </w:rPr>
            </w:pPr>
            <w:r>
              <w:rPr>
                <w:rFonts w:ascii="Arial" w:cs="Arial" w:eastAsia="Arial" w:hAnsi="Arial"/>
                <w:sz w:val="15"/>
                <w:szCs w:val="15"/>
                <w:color w:val="7B7C80"/>
              </w:rPr>
              <w:t>Waddell &amp; Reed Investment Management Co.</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Logan Circle Partners, L.P.</w:t>
            </w:r>
          </w:p>
        </w:tc>
        <w:tc>
          <w:tcPr>
            <w:tcW w:w="6940" w:type="dxa"/>
            <w:vAlign w:val="bottom"/>
          </w:tcPr>
          <w:p>
            <w:pPr>
              <w:ind w:left="1300"/>
              <w:spacing w:after="0"/>
              <w:rPr>
                <w:sz w:val="20"/>
                <w:szCs w:val="20"/>
                <w:color w:val="auto"/>
              </w:rPr>
            </w:pPr>
            <w:r>
              <w:rPr>
                <w:rFonts w:ascii="Arial" w:cs="Arial" w:eastAsia="Arial" w:hAnsi="Arial"/>
                <w:sz w:val="15"/>
                <w:szCs w:val="15"/>
                <w:color w:val="7B7C80"/>
              </w:rPr>
              <w:t>Wellington Management Company, LLP</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Loomis, Sayles &amp; Company, L.P.</w:t>
            </w:r>
          </w:p>
        </w:tc>
        <w:tc>
          <w:tcPr>
            <w:tcW w:w="6940" w:type="dxa"/>
            <w:vAlign w:val="bottom"/>
          </w:tcPr>
          <w:p>
            <w:pPr>
              <w:ind w:left="1300"/>
              <w:spacing w:after="0"/>
              <w:rPr>
                <w:sz w:val="20"/>
                <w:szCs w:val="20"/>
                <w:color w:val="auto"/>
              </w:rPr>
            </w:pPr>
            <w:r>
              <w:rPr>
                <w:rFonts w:ascii="Arial" w:cs="Arial" w:eastAsia="Arial" w:hAnsi="Arial"/>
                <w:sz w:val="15"/>
                <w:szCs w:val="15"/>
                <w:color w:val="7B7C80"/>
              </w:rPr>
              <w:t>Western Asset Management Company</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Lord, Abbett &amp; Co., LLC</w:t>
            </w:r>
          </w:p>
        </w:tc>
        <w:tc>
          <w:tcPr>
            <w:tcW w:w="6940" w:type="dxa"/>
            <w:vAlign w:val="bottom"/>
          </w:tcPr>
          <w:p>
            <w:pPr>
              <w:ind w:left="1300"/>
              <w:spacing w:after="0"/>
              <w:rPr>
                <w:sz w:val="20"/>
                <w:szCs w:val="20"/>
                <w:color w:val="auto"/>
              </w:rPr>
            </w:pPr>
            <w:r>
              <w:rPr>
                <w:rFonts w:ascii="Arial" w:cs="Arial" w:eastAsia="Arial" w:hAnsi="Arial"/>
                <w:sz w:val="15"/>
                <w:szCs w:val="15"/>
                <w:color w:val="7B7C80"/>
              </w:rPr>
              <w:t>Westwood Holdings Group, Inc.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Luther King Capital Management</w:t>
            </w:r>
          </w:p>
        </w:tc>
        <w:tc>
          <w:tcPr>
            <w:tcW w:w="6940" w:type="dxa"/>
            <w:vAlign w:val="bottom"/>
          </w:tcPr>
          <w:p>
            <w:pPr>
              <w:ind w:left="1300"/>
              <w:spacing w:after="0"/>
              <w:rPr>
                <w:sz w:val="20"/>
                <w:szCs w:val="20"/>
                <w:color w:val="auto"/>
              </w:rPr>
            </w:pPr>
            <w:r>
              <w:rPr>
                <w:rFonts w:ascii="Arial" w:cs="Arial" w:eastAsia="Arial" w:hAnsi="Arial"/>
                <w:sz w:val="15"/>
                <w:szCs w:val="15"/>
                <w:color w:val="7B7C80"/>
              </w:rPr>
              <w:t>William Blair &amp; Company, L.L.C.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MacKay Shields LLC</w:t>
            </w:r>
          </w:p>
        </w:tc>
        <w:tc>
          <w:tcPr>
            <w:tcW w:w="6940" w:type="dxa"/>
            <w:vAlign w:val="bottom"/>
          </w:tcPr>
          <w:p>
            <w:pPr>
              <w:ind w:left="1300"/>
              <w:spacing w:after="0"/>
              <w:rPr>
                <w:sz w:val="20"/>
                <w:szCs w:val="20"/>
                <w:color w:val="auto"/>
              </w:rPr>
            </w:pPr>
            <w:r>
              <w:rPr>
                <w:rFonts w:ascii="Arial" w:cs="Arial" w:eastAsia="Arial" w:hAnsi="Arial"/>
                <w:sz w:val="15"/>
                <w:szCs w:val="15"/>
                <w:color w:val="7B7C80"/>
              </w:rPr>
              <w:t>WisdomTree Investments, Inc.</w:t>
            </w: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Matthews International Capital Management LLC</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Mellon Capital Management</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Mercer Global Investments</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MFS Investment Management</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Morgan Stanley Investment Management</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Natixis Global Asset Management, L.P.</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Neuberger Berman Group</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Newfleet Asset Management, LLC</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Nikko Asset Management Americas, Inc.</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Nomura Corporate Research &amp; Asset Mgmt, Inc.</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Numeric Investors LLC</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Nuveen Investments</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NWQ Investment Management Company, LLC</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Oaktree Capital Management, LLC</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Old Mutual Asset Management</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Oppenheimer Funds</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Orbis Investment Management Limited</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Pacific Investment Management Company LLC</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PanAgora Asset Management, Inc.</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Parnassus Investments</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Principal Global Investors</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ProShare Advisors LLC</w:t>
            </w:r>
          </w:p>
        </w:tc>
        <w:tc>
          <w:tcPr>
            <w:tcW w:w="6940" w:type="dxa"/>
            <w:vAlign w:val="bottom"/>
          </w:tcPr>
          <w:p>
            <w:pPr>
              <w:spacing w:after="0"/>
              <w:rPr>
                <w:sz w:val="14"/>
                <w:szCs w:val="14"/>
                <w:color w:val="auto"/>
              </w:rPr>
            </w:pPr>
          </w:p>
        </w:tc>
      </w:tr>
      <w:tr>
        <w:trPr>
          <w:trHeight w:val="172"/>
        </w:trPr>
        <w:tc>
          <w:tcPr>
            <w:tcW w:w="4500" w:type="dxa"/>
            <w:vAlign w:val="bottom"/>
            <w:gridSpan w:val="3"/>
          </w:tcPr>
          <w:p>
            <w:pPr>
              <w:spacing w:after="0"/>
              <w:rPr>
                <w:sz w:val="20"/>
                <w:szCs w:val="20"/>
                <w:color w:val="auto"/>
              </w:rPr>
            </w:pPr>
            <w:r>
              <w:rPr>
                <w:rFonts w:ascii="Arial" w:cs="Arial" w:eastAsia="Arial" w:hAnsi="Arial"/>
                <w:sz w:val="15"/>
                <w:szCs w:val="15"/>
                <w:color w:val="7B7C80"/>
              </w:rPr>
              <w:t>PSP Investments</w:t>
            </w:r>
          </w:p>
        </w:tc>
        <w:tc>
          <w:tcPr>
            <w:tcW w:w="6940" w:type="dxa"/>
            <w:vAlign w:val="bottom"/>
          </w:tcPr>
          <w:p>
            <w:pPr>
              <w:spacing w:after="0"/>
              <w:rPr>
                <w:sz w:val="14"/>
                <w:szCs w:val="14"/>
                <w:color w:val="auto"/>
              </w:rPr>
            </w:pPr>
          </w:p>
        </w:tc>
      </w:tr>
      <w:tr>
        <w:trPr>
          <w:trHeight w:val="179"/>
        </w:trPr>
        <w:tc>
          <w:tcPr>
            <w:tcW w:w="4500" w:type="dxa"/>
            <w:vAlign w:val="bottom"/>
            <w:gridSpan w:val="3"/>
          </w:tcPr>
          <w:p>
            <w:pPr>
              <w:spacing w:after="0"/>
              <w:rPr>
                <w:sz w:val="20"/>
                <w:szCs w:val="20"/>
                <w:color w:val="auto"/>
              </w:rPr>
            </w:pPr>
            <w:r>
              <w:rPr>
                <w:rFonts w:ascii="Arial" w:cs="Arial" w:eastAsia="Arial" w:hAnsi="Arial"/>
                <w:sz w:val="15"/>
                <w:szCs w:val="15"/>
                <w:color w:val="7B7C80"/>
              </w:rPr>
              <w:t>Putnam Investments</w:t>
            </w:r>
          </w:p>
        </w:tc>
        <w:tc>
          <w:tcPr>
            <w:tcW w:w="6940" w:type="dxa"/>
            <w:vAlign w:val="bottom"/>
          </w:tcPr>
          <w:p>
            <w:pPr>
              <w:spacing w:after="0"/>
              <w:rPr>
                <w:sz w:val="15"/>
                <w:szCs w:val="15"/>
                <w:color w:val="auto"/>
              </w:rPr>
            </w:pPr>
          </w:p>
        </w:tc>
      </w:tr>
      <w:tr>
        <w:trPr>
          <w:trHeight w:val="493"/>
        </w:trPr>
        <w:tc>
          <w:tcPr>
            <w:tcW w:w="560" w:type="dxa"/>
            <w:vAlign w:val="bottom"/>
          </w:tcPr>
          <w:p>
            <w:pPr>
              <w:spacing w:after="0"/>
              <w:rPr>
                <w:sz w:val="20"/>
                <w:szCs w:val="20"/>
                <w:color w:val="auto"/>
              </w:rPr>
            </w:pPr>
            <w:r>
              <w:rPr>
                <w:rFonts w:ascii="Arial" w:cs="Arial" w:eastAsia="Arial" w:hAnsi="Arial"/>
                <w:sz w:val="15"/>
                <w:szCs w:val="15"/>
                <w:color w:val="009CCC"/>
              </w:rPr>
              <w:t>A-4</w:t>
            </w:r>
          </w:p>
        </w:tc>
        <w:tc>
          <w:tcPr>
            <w:tcW w:w="3940" w:type="dxa"/>
            <w:vAlign w:val="bottom"/>
            <w:gridSpan w:val="2"/>
          </w:tcPr>
          <w:p>
            <w:pPr>
              <w:spacing w:after="0"/>
              <w:rPr>
                <w:sz w:val="20"/>
                <w:szCs w:val="20"/>
                <w:color w:val="auto"/>
              </w:rPr>
            </w:pPr>
            <w:r>
              <w:rPr>
                <w:rFonts w:ascii="Arial" w:cs="Arial" w:eastAsia="Arial" w:hAnsi="Arial"/>
                <w:sz w:val="15"/>
                <w:szCs w:val="15"/>
                <w:color w:val="7B7C80"/>
              </w:rPr>
              <w:t>2018 Proxy Statement</w:t>
            </w:r>
          </w:p>
        </w:tc>
        <w:tc>
          <w:tcPr>
            <w:tcW w:w="6940" w:type="dxa"/>
            <w:vAlign w:val="bottom"/>
          </w:tcPr>
          <w:p>
            <w:pPr>
              <w:spacing w:after="0"/>
              <w:rPr>
                <w:sz w:val="24"/>
                <w:szCs w:val="24"/>
                <w:color w:val="auto"/>
              </w:rPr>
            </w:pPr>
          </w:p>
        </w:tc>
      </w:tr>
      <w:tr>
        <w:trPr>
          <w:trHeight w:val="318"/>
        </w:trPr>
        <w:tc>
          <w:tcPr>
            <w:tcW w:w="560" w:type="dxa"/>
            <w:vAlign w:val="bottom"/>
            <w:tcBorders>
              <w:bottom w:val="single" w:sz="8" w:color="808080"/>
            </w:tcBorders>
          </w:tcPr>
          <w:p>
            <w:pPr>
              <w:spacing w:after="0"/>
              <w:rPr>
                <w:sz w:val="24"/>
                <w:szCs w:val="24"/>
                <w:color w:val="auto"/>
              </w:rPr>
            </w:pPr>
          </w:p>
        </w:tc>
        <w:tc>
          <w:tcPr>
            <w:tcW w:w="600" w:type="dxa"/>
            <w:vAlign w:val="bottom"/>
            <w:tcBorders>
              <w:bottom w:val="single" w:sz="8" w:color="808080"/>
            </w:tcBorders>
          </w:tcPr>
          <w:p>
            <w:pPr>
              <w:spacing w:after="0"/>
              <w:rPr>
                <w:sz w:val="24"/>
                <w:szCs w:val="24"/>
                <w:color w:val="auto"/>
              </w:rPr>
            </w:pPr>
          </w:p>
        </w:tc>
        <w:tc>
          <w:tcPr>
            <w:tcW w:w="3340" w:type="dxa"/>
            <w:vAlign w:val="bottom"/>
            <w:tcBorders>
              <w:bottom w:val="single" w:sz="8" w:color="808080"/>
            </w:tcBorders>
          </w:tcPr>
          <w:p>
            <w:pPr>
              <w:spacing w:after="0"/>
              <w:rPr>
                <w:sz w:val="24"/>
                <w:szCs w:val="24"/>
                <w:color w:val="auto"/>
              </w:rPr>
            </w:pPr>
          </w:p>
        </w:tc>
        <w:tc>
          <w:tcPr>
            <w:tcW w:w="69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3188335</wp:posOffset>
            </wp:positionH>
            <wp:positionV relativeFrom="paragraph">
              <wp:posOffset>-416560</wp:posOffset>
            </wp:positionV>
            <wp:extent cx="960120" cy="28384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ectPr>
          <w:pgSz w:w="11900" w:h="16838" w:orient="portrait"/>
          <w:cols w:equalWidth="0" w:num="1">
            <w:col w:w="11440"/>
          </w:cols>
          <w:pgMar w:left="240" w:top="116" w:right="219" w:bottom="1440" w:gutter="0" w:footer="0" w:header="0"/>
        </w:sectPr>
      </w:pPr>
    </w:p>
    <w:bookmarkStart w:id="72" w:name="page73"/>
    <w:bookmarkEnd w:id="72"/>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49"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APPENDIX B</w:t>
      </w:r>
    </w:p>
    <w:p>
      <w:pPr>
        <w:spacing w:after="0" w:line="194" w:lineRule="exact"/>
        <w:rPr>
          <w:sz w:val="20"/>
          <w:szCs w:val="20"/>
          <w:color w:val="auto"/>
        </w:rPr>
      </w:pPr>
    </w:p>
    <w:p>
      <w:pPr>
        <w:jc w:val="center"/>
        <w:ind w:right="80"/>
        <w:spacing w:after="0"/>
        <w:rPr>
          <w:sz w:val="20"/>
          <w:szCs w:val="20"/>
          <w:color w:val="auto"/>
        </w:rPr>
      </w:pPr>
      <w:r>
        <w:rPr>
          <w:rFonts w:ascii="Arial" w:cs="Arial" w:eastAsia="Arial" w:hAnsi="Arial"/>
          <w:sz w:val="27"/>
          <w:szCs w:val="27"/>
          <w:b w:val="1"/>
          <w:bCs w:val="1"/>
          <w:color w:val="7B7C80"/>
        </w:rPr>
        <w:t>Non-GAAP financial measure reconciliations</w:t>
      </w:r>
    </w:p>
    <w:p>
      <w:pPr>
        <w:spacing w:after="0" w:line="209" w:lineRule="exact"/>
        <w:rPr>
          <w:sz w:val="20"/>
          <w:szCs w:val="20"/>
          <w:color w:val="auto"/>
        </w:rPr>
      </w:pPr>
    </w:p>
    <w:p>
      <w:pPr>
        <w:spacing w:after="0"/>
        <w:rPr>
          <w:sz w:val="20"/>
          <w:szCs w:val="20"/>
          <w:color w:val="auto"/>
        </w:rPr>
      </w:pPr>
      <w:r>
        <w:rPr>
          <w:rFonts w:ascii="Arial" w:cs="Arial" w:eastAsia="Arial" w:hAnsi="Arial"/>
          <w:sz w:val="15"/>
          <w:szCs w:val="15"/>
          <w:b w:val="1"/>
          <w:bCs w:val="1"/>
          <w:color w:val="009CCC"/>
        </w:rPr>
        <w:t>Principal Financial Group, Inc.</w:t>
      </w:r>
    </w:p>
    <w:p>
      <w:pPr>
        <w:spacing w:after="0" w:line="178" w:lineRule="exact"/>
        <w:rPr>
          <w:sz w:val="20"/>
          <w:szCs w:val="20"/>
          <w:color w:val="auto"/>
        </w:rPr>
      </w:pPr>
    </w:p>
    <w:tbl>
      <w:tblPr>
        <w:tblLayout w:type="fixed"/>
        <w:tblInd w:w="1360" w:type="dxa"/>
        <w:tblCellMar>
          <w:top w:w="0" w:type="dxa"/>
          <w:left w:w="0" w:type="dxa"/>
          <w:bottom w:w="0" w:type="dxa"/>
          <w:right w:w="0" w:type="dxa"/>
        </w:tblCellMar>
      </w:tblPr>
      <w:tr>
        <w:trPr>
          <w:trHeight w:val="149"/>
        </w:trPr>
        <w:tc>
          <w:tcPr>
            <w:tcW w:w="5100" w:type="dxa"/>
            <w:vAlign w:val="bottom"/>
            <w:tcBorders>
              <w:top w:val="single" w:sz="8" w:color="009CCC"/>
              <w:bottom w:val="single" w:sz="8" w:color="009CCC"/>
            </w:tcBorders>
            <w:gridSpan w:val="2"/>
            <w:vMerge w:val="restart"/>
          </w:tcPr>
          <w:p>
            <w:pPr>
              <w:spacing w:after="0"/>
              <w:rPr>
                <w:sz w:val="20"/>
                <w:szCs w:val="20"/>
                <w:color w:val="auto"/>
              </w:rPr>
            </w:pPr>
            <w:r>
              <w:rPr>
                <w:rFonts w:ascii="Arial" w:cs="Arial" w:eastAsia="Arial" w:hAnsi="Arial"/>
                <w:sz w:val="12"/>
                <w:szCs w:val="12"/>
                <w:b w:val="1"/>
                <w:bCs w:val="1"/>
                <w:color w:val="009CCC"/>
              </w:rPr>
              <w:t>(in millions, except as indicated)</w:t>
            </w:r>
          </w:p>
        </w:tc>
        <w:tc>
          <w:tcPr>
            <w:tcW w:w="220" w:type="dxa"/>
            <w:vAlign w:val="bottom"/>
            <w:tcBorders>
              <w:top w:val="single" w:sz="8" w:color="009CCC"/>
            </w:tcBorders>
          </w:tcPr>
          <w:p>
            <w:pPr>
              <w:spacing w:after="0"/>
              <w:rPr>
                <w:sz w:val="12"/>
                <w:szCs w:val="12"/>
                <w:color w:val="auto"/>
              </w:rPr>
            </w:pPr>
          </w:p>
        </w:tc>
        <w:tc>
          <w:tcPr>
            <w:tcW w:w="100" w:type="dxa"/>
            <w:vAlign w:val="bottom"/>
            <w:tcBorders>
              <w:top w:val="single" w:sz="8" w:color="009CCC"/>
            </w:tcBorders>
          </w:tcPr>
          <w:p>
            <w:pPr>
              <w:spacing w:after="0"/>
              <w:rPr>
                <w:sz w:val="12"/>
                <w:szCs w:val="12"/>
                <w:color w:val="auto"/>
              </w:rPr>
            </w:pPr>
          </w:p>
        </w:tc>
        <w:tc>
          <w:tcPr>
            <w:tcW w:w="500" w:type="dxa"/>
            <w:vAlign w:val="bottom"/>
            <w:tcBorders>
              <w:top w:val="single" w:sz="8" w:color="009CCC"/>
              <w:bottom w:val="single" w:sz="8" w:color="009CCC"/>
            </w:tcBorders>
          </w:tcPr>
          <w:p>
            <w:pPr>
              <w:spacing w:after="0"/>
              <w:rPr>
                <w:sz w:val="12"/>
                <w:szCs w:val="12"/>
                <w:color w:val="auto"/>
              </w:rPr>
            </w:pPr>
          </w:p>
        </w:tc>
        <w:tc>
          <w:tcPr>
            <w:tcW w:w="80" w:type="dxa"/>
            <w:vAlign w:val="bottom"/>
            <w:tcBorders>
              <w:top w:val="single" w:sz="8" w:color="009CCC"/>
              <w:bottom w:val="single" w:sz="8" w:color="009CCC"/>
            </w:tcBorders>
          </w:tcPr>
          <w:p>
            <w:pPr>
              <w:spacing w:after="0"/>
              <w:rPr>
                <w:sz w:val="12"/>
                <w:szCs w:val="12"/>
                <w:color w:val="auto"/>
              </w:rPr>
            </w:pPr>
          </w:p>
        </w:tc>
        <w:tc>
          <w:tcPr>
            <w:tcW w:w="1900" w:type="dxa"/>
            <w:vAlign w:val="bottom"/>
            <w:tcBorders>
              <w:top w:val="single" w:sz="8" w:color="009CCC"/>
              <w:bottom w:val="single" w:sz="8" w:color="009CCC"/>
            </w:tcBorders>
            <w:gridSpan w:val="5"/>
          </w:tcPr>
          <w:p>
            <w:pPr>
              <w:jc w:val="right"/>
              <w:ind w:right="179"/>
              <w:spacing w:after="0"/>
              <w:rPr>
                <w:sz w:val="20"/>
                <w:szCs w:val="20"/>
                <w:color w:val="auto"/>
              </w:rPr>
            </w:pPr>
            <w:r>
              <w:rPr>
                <w:rFonts w:ascii="Arial" w:cs="Arial" w:eastAsia="Arial" w:hAnsi="Arial"/>
                <w:sz w:val="12"/>
                <w:szCs w:val="12"/>
                <w:b w:val="1"/>
                <w:bCs w:val="1"/>
                <w:color w:val="009CCC"/>
              </w:rPr>
              <w:t>For the year ended Dec.31</w:t>
            </w:r>
          </w:p>
        </w:tc>
        <w:tc>
          <w:tcPr>
            <w:tcW w:w="100" w:type="dxa"/>
            <w:vAlign w:val="bottom"/>
            <w:tcBorders>
              <w:top w:val="single" w:sz="8" w:color="009CCC"/>
              <w:bottom w:val="single" w:sz="8" w:color="009CCC"/>
            </w:tcBorders>
          </w:tcPr>
          <w:p>
            <w:pPr>
              <w:spacing w:after="0"/>
              <w:rPr>
                <w:sz w:val="12"/>
                <w:szCs w:val="12"/>
                <w:color w:val="auto"/>
              </w:rPr>
            </w:pPr>
          </w:p>
        </w:tc>
        <w:tc>
          <w:tcPr>
            <w:tcW w:w="580" w:type="dxa"/>
            <w:vAlign w:val="bottom"/>
            <w:tcBorders>
              <w:top w:val="single" w:sz="8" w:color="009CCC"/>
              <w:bottom w:val="single" w:sz="8" w:color="009CCC"/>
            </w:tcBorders>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5100" w:type="dxa"/>
            <w:vAlign w:val="bottom"/>
            <w:tcBorders>
              <w:bottom w:val="single" w:sz="8" w:color="7B7C80"/>
            </w:tcBorders>
            <w:gridSpan w:val="2"/>
            <w:vMerge w:val="continue"/>
          </w:tcPr>
          <w:p>
            <w:pPr>
              <w:spacing w:after="0"/>
              <w:rPr>
                <w:sz w:val="11"/>
                <w:szCs w:val="11"/>
                <w:color w:val="auto"/>
              </w:rPr>
            </w:pPr>
          </w:p>
        </w:tc>
        <w:tc>
          <w:tcPr>
            <w:tcW w:w="220" w:type="dxa"/>
            <w:vAlign w:val="bottom"/>
            <w:tcBorders>
              <w:bottom w:val="single" w:sz="8" w:color="7B7C80"/>
            </w:tcBorders>
          </w:tcPr>
          <w:p>
            <w:pPr>
              <w:spacing w:after="0"/>
              <w:rPr>
                <w:sz w:val="11"/>
                <w:szCs w:val="11"/>
                <w:color w:val="auto"/>
              </w:rPr>
            </w:pPr>
          </w:p>
        </w:tc>
        <w:tc>
          <w:tcPr>
            <w:tcW w:w="100" w:type="dxa"/>
            <w:vAlign w:val="bottom"/>
            <w:tcBorders>
              <w:bottom w:val="single" w:sz="8" w:color="7B7C80"/>
            </w:tcBorders>
          </w:tcPr>
          <w:p>
            <w:pPr>
              <w:spacing w:after="0"/>
              <w:rPr>
                <w:sz w:val="11"/>
                <w:szCs w:val="11"/>
                <w:color w:val="auto"/>
              </w:rPr>
            </w:pPr>
          </w:p>
        </w:tc>
        <w:tc>
          <w:tcPr>
            <w:tcW w:w="50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b w:val="1"/>
                <w:bCs w:val="1"/>
                <w:color w:val="009CCC"/>
              </w:rPr>
              <w:t>2017</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b w:val="1"/>
                <w:bCs w:val="1"/>
                <w:color w:val="009CCC"/>
              </w:rPr>
              <w:t>2016</w:t>
            </w:r>
          </w:p>
        </w:tc>
        <w:tc>
          <w:tcPr>
            <w:tcW w:w="80" w:type="dxa"/>
            <w:vAlign w:val="bottom"/>
            <w:tcBorders>
              <w:bottom w:val="single" w:sz="8" w:color="7B7C80"/>
            </w:tcBorders>
          </w:tcPr>
          <w:p>
            <w:pPr>
              <w:spacing w:after="0"/>
              <w:rPr>
                <w:sz w:val="11"/>
                <w:szCs w:val="11"/>
                <w:color w:val="auto"/>
              </w:rPr>
            </w:pPr>
          </w:p>
        </w:tc>
        <w:tc>
          <w:tcPr>
            <w:tcW w:w="540" w:type="dxa"/>
            <w:vAlign w:val="bottom"/>
            <w:tcBorders>
              <w:bottom w:val="single" w:sz="8" w:color="7B7C80"/>
            </w:tcBorders>
          </w:tcPr>
          <w:p>
            <w:pPr>
              <w:jc w:val="right"/>
              <w:spacing w:after="0" w:line="129" w:lineRule="exact"/>
              <w:rPr>
                <w:sz w:val="20"/>
                <w:szCs w:val="20"/>
                <w:color w:val="auto"/>
              </w:rPr>
            </w:pPr>
            <w:r>
              <w:rPr>
                <w:rFonts w:ascii="Arial" w:cs="Arial" w:eastAsia="Arial" w:hAnsi="Arial"/>
                <w:sz w:val="12"/>
                <w:szCs w:val="12"/>
                <w:b w:val="1"/>
                <w:bCs w:val="1"/>
                <w:color w:val="009CCC"/>
              </w:rPr>
              <w:t>2015</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59"/>
              <w:spacing w:after="0" w:line="129" w:lineRule="exact"/>
              <w:rPr>
                <w:sz w:val="20"/>
                <w:szCs w:val="20"/>
                <w:color w:val="auto"/>
              </w:rPr>
            </w:pPr>
            <w:r>
              <w:rPr>
                <w:rFonts w:ascii="Arial" w:cs="Arial" w:eastAsia="Arial" w:hAnsi="Arial"/>
                <w:sz w:val="12"/>
                <w:szCs w:val="12"/>
                <w:b w:val="1"/>
                <w:bCs w:val="1"/>
                <w:color w:val="009CCC"/>
              </w:rPr>
              <w:t>2014</w:t>
            </w:r>
          </w:p>
        </w:tc>
        <w:tc>
          <w:tcPr>
            <w:tcW w:w="100" w:type="dxa"/>
            <w:vAlign w:val="bottom"/>
            <w:tcBorders>
              <w:bottom w:val="single" w:sz="8" w:color="7B7C80"/>
            </w:tcBorders>
          </w:tcPr>
          <w:p>
            <w:pPr>
              <w:spacing w:after="0"/>
              <w:rPr>
                <w:sz w:val="11"/>
                <w:szCs w:val="11"/>
                <w:color w:val="auto"/>
              </w:rPr>
            </w:pPr>
          </w:p>
        </w:tc>
        <w:tc>
          <w:tcPr>
            <w:tcW w:w="580" w:type="dxa"/>
            <w:vAlign w:val="bottom"/>
            <w:tcBorders>
              <w:bottom w:val="single" w:sz="8" w:color="7B7C80"/>
            </w:tcBorders>
          </w:tcPr>
          <w:p>
            <w:pPr>
              <w:jc w:val="right"/>
              <w:ind w:right="119"/>
              <w:spacing w:after="0" w:line="129" w:lineRule="exact"/>
              <w:rPr>
                <w:sz w:val="20"/>
                <w:szCs w:val="20"/>
                <w:color w:val="auto"/>
              </w:rPr>
            </w:pPr>
            <w:r>
              <w:rPr>
                <w:rFonts w:ascii="Arial" w:cs="Arial" w:eastAsia="Arial" w:hAnsi="Arial"/>
                <w:sz w:val="12"/>
                <w:szCs w:val="12"/>
                <w:b w:val="1"/>
                <w:bCs w:val="1"/>
                <w:color w:val="009CCC"/>
              </w:rPr>
              <w:t>2013</w:t>
            </w:r>
          </w:p>
        </w:tc>
        <w:tc>
          <w:tcPr>
            <w:tcW w:w="0" w:type="dxa"/>
            <w:vAlign w:val="bottom"/>
          </w:tcPr>
          <w:p>
            <w:pPr>
              <w:spacing w:after="0"/>
              <w:rPr>
                <w:sz w:val="1"/>
                <w:szCs w:val="1"/>
                <w:color w:val="auto"/>
              </w:rPr>
            </w:pPr>
          </w:p>
        </w:tc>
      </w:tr>
      <w:tr>
        <w:trPr>
          <w:trHeight w:val="129"/>
        </w:trPr>
        <w:tc>
          <w:tcPr>
            <w:tcW w:w="5100" w:type="dxa"/>
            <w:vAlign w:val="bottom"/>
            <w:gridSpan w:val="2"/>
            <w:shd w:val="clear" w:color="auto" w:fill="E7E6E7"/>
          </w:tcPr>
          <w:p>
            <w:pPr>
              <w:spacing w:after="0" w:line="129" w:lineRule="exact"/>
              <w:rPr>
                <w:sz w:val="20"/>
                <w:szCs w:val="20"/>
                <w:color w:val="auto"/>
              </w:rPr>
            </w:pPr>
            <w:r>
              <w:rPr>
                <w:rFonts w:ascii="Arial" w:cs="Arial" w:eastAsia="Arial" w:hAnsi="Arial"/>
                <w:sz w:val="12"/>
                <w:szCs w:val="12"/>
                <w:b w:val="1"/>
                <w:bCs w:val="1"/>
                <w:color w:val="7B7C80"/>
              </w:rPr>
              <w:t>Net income available to common stockholders</w:t>
            </w:r>
          </w:p>
        </w:tc>
        <w:tc>
          <w:tcPr>
            <w:tcW w:w="220" w:type="dxa"/>
            <w:vAlign w:val="bottom"/>
            <w:shd w:val="clear" w:color="auto" w:fill="E7E6E7"/>
          </w:tcPr>
          <w:p>
            <w:pPr>
              <w:spacing w:after="0"/>
              <w:rPr>
                <w:sz w:val="11"/>
                <w:szCs w:val="11"/>
                <w:color w:val="auto"/>
              </w:rPr>
            </w:pPr>
          </w:p>
        </w:tc>
        <w:tc>
          <w:tcPr>
            <w:tcW w:w="100" w:type="dxa"/>
            <w:vAlign w:val="bottom"/>
            <w:shd w:val="clear" w:color="auto" w:fill="E7E6E7"/>
          </w:tcPr>
          <w:p>
            <w:pPr>
              <w:spacing w:after="0"/>
              <w:rPr>
                <w:sz w:val="11"/>
                <w:szCs w:val="11"/>
                <w:color w:val="auto"/>
              </w:rPr>
            </w:pPr>
          </w:p>
        </w:tc>
        <w:tc>
          <w:tcPr>
            <w:tcW w:w="50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Net income available to common stockholders</w:t>
            </w:r>
          </w:p>
        </w:tc>
        <w:tc>
          <w:tcPr>
            <w:tcW w:w="220" w:type="dxa"/>
            <w:vAlign w:val="bottom"/>
          </w:tcPr>
          <w:p>
            <w:pPr>
              <w:spacing w:after="0"/>
              <w:rPr>
                <w:sz w:val="11"/>
                <w:szCs w:val="11"/>
                <w:color w:val="auto"/>
              </w:rPr>
            </w:pPr>
          </w:p>
        </w:tc>
        <w:tc>
          <w:tcPr>
            <w:tcW w:w="600" w:type="dxa"/>
            <w:vAlign w:val="bottom"/>
            <w:gridSpan w:val="2"/>
          </w:tcPr>
          <w:p>
            <w:pPr>
              <w:jc w:val="right"/>
              <w:spacing w:after="0"/>
              <w:rPr>
                <w:sz w:val="20"/>
                <w:szCs w:val="20"/>
                <w:color w:val="auto"/>
              </w:rPr>
            </w:pPr>
            <w:r>
              <w:rPr>
                <w:rFonts w:ascii="Arial" w:cs="Arial" w:eastAsia="Arial" w:hAnsi="Arial"/>
                <w:sz w:val="12"/>
                <w:szCs w:val="12"/>
                <w:color w:val="7B7C80"/>
              </w:rPr>
              <w:t>$ 2,310.4</w:t>
            </w:r>
          </w:p>
        </w:tc>
        <w:tc>
          <w:tcPr>
            <w:tcW w:w="8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7B7C80"/>
              </w:rPr>
              <w:t>$ 1,316.5</w:t>
            </w:r>
          </w:p>
        </w:tc>
        <w:tc>
          <w:tcPr>
            <w:tcW w:w="620" w:type="dxa"/>
            <w:vAlign w:val="bottom"/>
            <w:gridSpan w:val="2"/>
          </w:tcPr>
          <w:p>
            <w:pPr>
              <w:jc w:val="right"/>
              <w:spacing w:after="0"/>
              <w:rPr>
                <w:sz w:val="20"/>
                <w:szCs w:val="20"/>
                <w:color w:val="auto"/>
              </w:rPr>
            </w:pPr>
            <w:r>
              <w:rPr>
                <w:rFonts w:ascii="Arial" w:cs="Arial" w:eastAsia="Arial" w:hAnsi="Arial"/>
                <w:sz w:val="12"/>
                <w:szCs w:val="12"/>
                <w:color w:val="7B7C80"/>
              </w:rPr>
              <w:t>$1,209.3</w:t>
            </w:r>
          </w:p>
        </w:tc>
        <w:tc>
          <w:tcPr>
            <w:tcW w:w="680" w:type="dxa"/>
            <w:vAlign w:val="bottom"/>
            <w:gridSpan w:val="2"/>
          </w:tcPr>
          <w:p>
            <w:pPr>
              <w:jc w:val="right"/>
              <w:ind w:right="59"/>
              <w:spacing w:after="0"/>
              <w:rPr>
                <w:sz w:val="20"/>
                <w:szCs w:val="20"/>
                <w:color w:val="auto"/>
              </w:rPr>
            </w:pPr>
            <w:r>
              <w:rPr>
                <w:rFonts w:ascii="Arial" w:cs="Arial" w:eastAsia="Arial" w:hAnsi="Arial"/>
                <w:sz w:val="12"/>
                <w:szCs w:val="12"/>
                <w:color w:val="7B7C80"/>
              </w:rPr>
              <w:t>$ 1,111.1</w:t>
            </w:r>
          </w:p>
        </w:tc>
        <w:tc>
          <w:tcPr>
            <w:tcW w:w="100" w:type="dxa"/>
            <w:vAlign w:val="bottom"/>
          </w:tcPr>
          <w:p>
            <w:pPr>
              <w:jc w:val="right"/>
              <w:spacing w:after="0"/>
              <w:rPr>
                <w:sz w:val="20"/>
                <w:szCs w:val="20"/>
                <w:color w:val="auto"/>
              </w:rPr>
            </w:pPr>
            <w:r>
              <w:rPr>
                <w:rFonts w:ascii="Arial" w:cs="Arial" w:eastAsia="Arial" w:hAnsi="Arial"/>
                <w:sz w:val="12"/>
                <w:szCs w:val="12"/>
                <w:color w:val="7B7C80"/>
              </w:rPr>
              <w:t>$</w:t>
            </w:r>
          </w:p>
        </w:tc>
        <w:tc>
          <w:tcPr>
            <w:tcW w:w="580" w:type="dxa"/>
            <w:vAlign w:val="bottom"/>
          </w:tcPr>
          <w:p>
            <w:pPr>
              <w:jc w:val="right"/>
              <w:ind w:right="119"/>
              <w:spacing w:after="0"/>
              <w:rPr>
                <w:sz w:val="20"/>
                <w:szCs w:val="20"/>
                <w:color w:val="auto"/>
              </w:rPr>
            </w:pPr>
            <w:r>
              <w:rPr>
                <w:rFonts w:ascii="Arial" w:cs="Arial" w:eastAsia="Arial" w:hAnsi="Arial"/>
                <w:sz w:val="12"/>
                <w:szCs w:val="12"/>
                <w:color w:val="7B7C80"/>
              </w:rPr>
              <w:t>879.7</w:t>
            </w:r>
          </w:p>
        </w:tc>
        <w:tc>
          <w:tcPr>
            <w:tcW w:w="0" w:type="dxa"/>
            <w:vAlign w:val="bottom"/>
          </w:tcPr>
          <w:p>
            <w:pPr>
              <w:spacing w:after="0"/>
              <w:rPr>
                <w:sz w:val="1"/>
                <w:szCs w:val="1"/>
                <w:color w:val="auto"/>
              </w:rPr>
            </w:pPr>
          </w:p>
        </w:tc>
      </w:tr>
      <w:tr>
        <w:trPr>
          <w:trHeight w:val="160"/>
        </w:trPr>
        <w:tc>
          <w:tcPr>
            <w:tcW w:w="5100" w:type="dxa"/>
            <w:vAlign w:val="bottom"/>
            <w:gridSpan w:val="2"/>
            <w:shd w:val="clear" w:color="auto" w:fill="E7E6E7"/>
          </w:tcPr>
          <w:p>
            <w:pPr>
              <w:spacing w:after="0" w:line="160" w:lineRule="exact"/>
              <w:rPr>
                <w:sz w:val="20"/>
                <w:szCs w:val="20"/>
                <w:color w:val="auto"/>
              </w:rPr>
            </w:pPr>
            <w:r>
              <w:rPr>
                <w:rFonts w:ascii="Arial" w:cs="Arial" w:eastAsia="Arial" w:hAnsi="Arial"/>
                <w:sz w:val="12"/>
                <w:szCs w:val="12"/>
                <w:color w:val="7B7C80"/>
              </w:rPr>
              <w:t>Net realized capital (gains) losses, as adjusted</w:t>
            </w:r>
            <w:r>
              <w:rPr>
                <w:rFonts w:ascii="Arial" w:cs="Arial" w:eastAsia="Arial" w:hAnsi="Arial"/>
                <w:sz w:val="18"/>
                <w:szCs w:val="18"/>
                <w:color w:val="7B7C80"/>
                <w:vertAlign w:val="superscript"/>
              </w:rPr>
              <w:t>(1)</w:t>
            </w:r>
          </w:p>
        </w:tc>
        <w:tc>
          <w:tcPr>
            <w:tcW w:w="220" w:type="dxa"/>
            <w:vAlign w:val="bottom"/>
            <w:shd w:val="clear" w:color="auto" w:fill="E7E6E7"/>
          </w:tcPr>
          <w:p>
            <w:pPr>
              <w:spacing w:after="0"/>
              <w:rPr>
                <w:sz w:val="13"/>
                <w:szCs w:val="13"/>
                <w:color w:val="auto"/>
              </w:rPr>
            </w:pPr>
          </w:p>
        </w:tc>
        <w:tc>
          <w:tcPr>
            <w:tcW w:w="680" w:type="dxa"/>
            <w:vAlign w:val="bottom"/>
            <w:gridSpan w:val="3"/>
            <w:shd w:val="clear" w:color="auto" w:fill="E7E6E7"/>
          </w:tcPr>
          <w:p>
            <w:pPr>
              <w:jc w:val="right"/>
              <w:spacing w:after="0"/>
              <w:rPr>
                <w:sz w:val="20"/>
                <w:szCs w:val="20"/>
                <w:color w:val="auto"/>
              </w:rPr>
            </w:pPr>
            <w:r>
              <w:rPr>
                <w:rFonts w:ascii="Arial" w:cs="Arial" w:eastAsia="Arial" w:hAnsi="Arial"/>
                <w:sz w:val="12"/>
                <w:szCs w:val="12"/>
                <w:color w:val="7B7C80"/>
              </w:rPr>
              <w:t>(307.3)</w:t>
            </w:r>
          </w:p>
        </w:tc>
        <w:tc>
          <w:tcPr>
            <w:tcW w:w="60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(37.4)</w:t>
            </w:r>
          </w:p>
        </w:tc>
        <w:tc>
          <w:tcPr>
            <w:tcW w:w="80" w:type="dxa"/>
            <w:vAlign w:val="bottom"/>
            <w:shd w:val="clear" w:color="auto" w:fill="E7E6E7"/>
          </w:tcPr>
          <w:p>
            <w:pPr>
              <w:spacing w:after="0"/>
              <w:rPr>
                <w:sz w:val="13"/>
                <w:szCs w:val="13"/>
                <w:color w:val="auto"/>
              </w:rPr>
            </w:pPr>
          </w:p>
        </w:tc>
        <w:tc>
          <w:tcPr>
            <w:tcW w:w="5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133.8</w:t>
            </w:r>
          </w:p>
        </w:tc>
        <w:tc>
          <w:tcPr>
            <w:tcW w:w="80" w:type="dxa"/>
            <w:vAlign w:val="bottom"/>
            <w:shd w:val="clear" w:color="auto" w:fill="E7E6E7"/>
          </w:tcPr>
          <w:p>
            <w:pPr>
              <w:spacing w:after="0"/>
              <w:rPr>
                <w:sz w:val="13"/>
                <w:szCs w:val="13"/>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100.5</w:t>
            </w:r>
          </w:p>
        </w:tc>
        <w:tc>
          <w:tcPr>
            <w:tcW w:w="100" w:type="dxa"/>
            <w:vAlign w:val="bottom"/>
            <w:shd w:val="clear" w:color="auto" w:fill="E7E6E7"/>
          </w:tcPr>
          <w:p>
            <w:pPr>
              <w:spacing w:after="0"/>
              <w:rPr>
                <w:sz w:val="13"/>
                <w:szCs w:val="13"/>
                <w:color w:val="auto"/>
              </w:rPr>
            </w:pPr>
          </w:p>
        </w:tc>
        <w:tc>
          <w:tcPr>
            <w:tcW w:w="5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179.1</w:t>
            </w:r>
          </w:p>
        </w:tc>
        <w:tc>
          <w:tcPr>
            <w:tcW w:w="0" w:type="dxa"/>
            <w:vAlign w:val="bottom"/>
          </w:tcPr>
          <w:p>
            <w:pPr>
              <w:spacing w:after="0"/>
              <w:rPr>
                <w:sz w:val="1"/>
                <w:szCs w:val="1"/>
                <w:color w:val="auto"/>
              </w:rPr>
            </w:pPr>
          </w:p>
        </w:tc>
      </w:tr>
      <w:tr>
        <w:trPr>
          <w:trHeight w:val="137"/>
        </w:trPr>
        <w:tc>
          <w:tcPr>
            <w:tcW w:w="5100" w:type="dxa"/>
            <w:vAlign w:val="bottom"/>
            <w:tcBorders>
              <w:bottom w:val="single" w:sz="8" w:color="7B7C80"/>
            </w:tcBorders>
            <w:gridSpan w:val="2"/>
          </w:tcPr>
          <w:p>
            <w:pPr>
              <w:spacing w:after="0"/>
              <w:rPr>
                <w:sz w:val="20"/>
                <w:szCs w:val="20"/>
                <w:color w:val="auto"/>
              </w:rPr>
            </w:pPr>
            <w:r>
              <w:rPr>
                <w:rFonts w:ascii="Arial" w:cs="Arial" w:eastAsia="Arial" w:hAnsi="Arial"/>
                <w:sz w:val="12"/>
                <w:szCs w:val="12"/>
                <w:color w:val="7B7C80"/>
              </w:rPr>
              <w:t>Other after-tax adjustments</w:t>
            </w:r>
          </w:p>
        </w:tc>
        <w:tc>
          <w:tcPr>
            <w:tcW w:w="220" w:type="dxa"/>
            <w:vAlign w:val="bottom"/>
            <w:tcBorders>
              <w:bottom w:val="single" w:sz="8" w:color="7B7C80"/>
            </w:tcBorders>
          </w:tcPr>
          <w:p>
            <w:pPr>
              <w:spacing w:after="0"/>
              <w:rPr>
                <w:sz w:val="11"/>
                <w:szCs w:val="11"/>
                <w:color w:val="auto"/>
              </w:rPr>
            </w:pPr>
          </w:p>
        </w:tc>
        <w:tc>
          <w:tcPr>
            <w:tcW w:w="680" w:type="dxa"/>
            <w:vAlign w:val="bottom"/>
            <w:tcBorders>
              <w:bottom w:val="single" w:sz="8" w:color="7B7C80"/>
            </w:tcBorders>
            <w:gridSpan w:val="3"/>
          </w:tcPr>
          <w:p>
            <w:pPr>
              <w:jc w:val="right"/>
              <w:spacing w:after="0"/>
              <w:rPr>
                <w:sz w:val="20"/>
                <w:szCs w:val="20"/>
                <w:color w:val="auto"/>
              </w:rPr>
            </w:pPr>
            <w:r>
              <w:rPr>
                <w:rFonts w:ascii="Arial" w:cs="Arial" w:eastAsia="Arial" w:hAnsi="Arial"/>
                <w:sz w:val="12"/>
                <w:szCs w:val="12"/>
                <w:color w:val="7B7C80"/>
              </w:rPr>
              <w:t>(524.5)</w:t>
            </w: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52.0</w:t>
            </w:r>
          </w:p>
        </w:tc>
        <w:tc>
          <w:tcPr>
            <w:tcW w:w="80" w:type="dxa"/>
            <w:vAlign w:val="bottom"/>
            <w:tcBorders>
              <w:bottom w:val="single" w:sz="8" w:color="7B7C80"/>
            </w:tcBorders>
          </w:tcPr>
          <w:p>
            <w:pPr>
              <w:spacing w:after="0"/>
              <w:rPr>
                <w:sz w:val="11"/>
                <w:szCs w:val="11"/>
                <w:color w:val="auto"/>
              </w:rPr>
            </w:pPr>
          </w:p>
        </w:tc>
        <w:tc>
          <w:tcPr>
            <w:tcW w:w="5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(72.6)</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59"/>
              <w:spacing w:after="0"/>
              <w:rPr>
                <w:sz w:val="20"/>
                <w:szCs w:val="20"/>
                <w:color w:val="auto"/>
              </w:rPr>
            </w:pPr>
            <w:r>
              <w:rPr>
                <w:rFonts w:ascii="Arial" w:cs="Arial" w:eastAsia="Arial" w:hAnsi="Arial"/>
                <w:sz w:val="12"/>
                <w:szCs w:val="12"/>
                <w:color w:val="7B7C80"/>
              </w:rPr>
              <w:t>106.3</w:t>
            </w:r>
          </w:p>
        </w:tc>
        <w:tc>
          <w:tcPr>
            <w:tcW w:w="100" w:type="dxa"/>
            <w:vAlign w:val="bottom"/>
            <w:tcBorders>
              <w:bottom w:val="single" w:sz="8" w:color="7B7C80"/>
            </w:tcBorders>
          </w:tcPr>
          <w:p>
            <w:pPr>
              <w:spacing w:after="0"/>
              <w:rPr>
                <w:sz w:val="11"/>
                <w:szCs w:val="11"/>
                <w:color w:val="auto"/>
              </w:rPr>
            </w:pPr>
          </w:p>
        </w:tc>
        <w:tc>
          <w:tcPr>
            <w:tcW w:w="580" w:type="dxa"/>
            <w:vAlign w:val="bottom"/>
            <w:tcBorders>
              <w:bottom w:val="single" w:sz="8" w:color="7B7C80"/>
            </w:tcBorders>
          </w:tcPr>
          <w:p>
            <w:pPr>
              <w:jc w:val="right"/>
              <w:ind w:right="119"/>
              <w:spacing w:after="0"/>
              <w:rPr>
                <w:sz w:val="20"/>
                <w:szCs w:val="20"/>
                <w:color w:val="auto"/>
              </w:rPr>
            </w:pPr>
            <w:r>
              <w:rPr>
                <w:rFonts w:ascii="Arial" w:cs="Arial" w:eastAsia="Arial" w:hAnsi="Arial"/>
                <w:sz w:val="12"/>
                <w:szCs w:val="12"/>
                <w:color w:val="7B7C80"/>
              </w:rPr>
              <w:t>1.1</w:t>
            </w:r>
          </w:p>
        </w:tc>
        <w:tc>
          <w:tcPr>
            <w:tcW w:w="0" w:type="dxa"/>
            <w:vAlign w:val="bottom"/>
          </w:tcPr>
          <w:p>
            <w:pPr>
              <w:spacing w:after="0"/>
              <w:rPr>
                <w:sz w:val="1"/>
                <w:szCs w:val="1"/>
                <w:color w:val="auto"/>
              </w:rPr>
            </w:pPr>
          </w:p>
        </w:tc>
      </w:tr>
      <w:tr>
        <w:trPr>
          <w:trHeight w:val="132"/>
        </w:trPr>
        <w:tc>
          <w:tcPr>
            <w:tcW w:w="5100" w:type="dxa"/>
            <w:vAlign w:val="bottom"/>
            <w:tcBorders>
              <w:bottom w:val="single" w:sz="8" w:color="009CCC"/>
            </w:tcBorders>
            <w:gridSpan w:val="2"/>
            <w:shd w:val="clear" w:color="auto" w:fill="E7E6E7"/>
          </w:tcPr>
          <w:p>
            <w:pPr>
              <w:spacing w:after="0" w:line="129" w:lineRule="exact"/>
              <w:rPr>
                <w:sz w:val="20"/>
                <w:szCs w:val="20"/>
                <w:color w:val="auto"/>
              </w:rPr>
            </w:pPr>
            <w:r>
              <w:rPr>
                <w:rFonts w:ascii="Arial" w:cs="Arial" w:eastAsia="Arial" w:hAnsi="Arial"/>
                <w:sz w:val="12"/>
                <w:szCs w:val="12"/>
                <w:color w:val="7B7C80"/>
              </w:rPr>
              <w:t>Non-GAAP operating earnings</w:t>
            </w:r>
          </w:p>
        </w:tc>
        <w:tc>
          <w:tcPr>
            <w:tcW w:w="220" w:type="dxa"/>
            <w:vAlign w:val="bottom"/>
            <w:tcBorders>
              <w:bottom w:val="single" w:sz="8" w:color="009CCC"/>
            </w:tcBorders>
            <w:shd w:val="clear" w:color="auto" w:fill="E7E6E7"/>
          </w:tcPr>
          <w:p>
            <w:pPr>
              <w:spacing w:after="0"/>
              <w:rPr>
                <w:sz w:val="11"/>
                <w:szCs w:val="11"/>
                <w:color w:val="auto"/>
              </w:rPr>
            </w:pPr>
          </w:p>
        </w:tc>
        <w:tc>
          <w:tcPr>
            <w:tcW w:w="600" w:type="dxa"/>
            <w:vAlign w:val="bottom"/>
            <w:tcBorders>
              <w:bottom w:val="single" w:sz="8" w:color="009CCC"/>
            </w:tcBorders>
            <w:gridSpan w:val="2"/>
            <w:shd w:val="clear" w:color="auto" w:fill="E7E6E7"/>
          </w:tcPr>
          <w:p>
            <w:pPr>
              <w:jc w:val="right"/>
              <w:spacing w:after="0" w:line="129" w:lineRule="exact"/>
              <w:rPr>
                <w:sz w:val="20"/>
                <w:szCs w:val="20"/>
                <w:color w:val="auto"/>
              </w:rPr>
            </w:pPr>
            <w:r>
              <w:rPr>
                <w:rFonts w:ascii="Arial" w:cs="Arial" w:eastAsia="Arial" w:hAnsi="Arial"/>
                <w:sz w:val="12"/>
                <w:szCs w:val="12"/>
                <w:color w:val="7B7C80"/>
              </w:rPr>
              <w:t>$ 1,478.6</w:t>
            </w:r>
          </w:p>
        </w:tc>
        <w:tc>
          <w:tcPr>
            <w:tcW w:w="80" w:type="dxa"/>
            <w:vAlign w:val="bottom"/>
            <w:tcBorders>
              <w:bottom w:val="single" w:sz="8" w:color="009CCC"/>
            </w:tcBorders>
            <w:shd w:val="clear" w:color="auto" w:fill="E7E6E7"/>
          </w:tcPr>
          <w:p>
            <w:pPr>
              <w:spacing w:after="0"/>
              <w:rPr>
                <w:sz w:val="11"/>
                <w:szCs w:val="11"/>
                <w:color w:val="auto"/>
              </w:rPr>
            </w:pPr>
          </w:p>
        </w:tc>
        <w:tc>
          <w:tcPr>
            <w:tcW w:w="600" w:type="dxa"/>
            <w:vAlign w:val="bottom"/>
            <w:tcBorders>
              <w:bottom w:val="single" w:sz="8" w:color="009CCC"/>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$ 1,331.1</w:t>
            </w:r>
          </w:p>
        </w:tc>
        <w:tc>
          <w:tcPr>
            <w:tcW w:w="620" w:type="dxa"/>
            <w:vAlign w:val="bottom"/>
            <w:tcBorders>
              <w:bottom w:val="single" w:sz="8" w:color="009CCC"/>
            </w:tcBorders>
            <w:gridSpan w:val="2"/>
            <w:shd w:val="clear" w:color="auto" w:fill="E7E6E7"/>
          </w:tcPr>
          <w:p>
            <w:pPr>
              <w:jc w:val="right"/>
              <w:spacing w:after="0" w:line="129" w:lineRule="exact"/>
              <w:rPr>
                <w:sz w:val="20"/>
                <w:szCs w:val="20"/>
                <w:color w:val="auto"/>
              </w:rPr>
            </w:pPr>
            <w:r>
              <w:rPr>
                <w:rFonts w:ascii="Arial" w:cs="Arial" w:eastAsia="Arial" w:hAnsi="Arial"/>
                <w:sz w:val="12"/>
                <w:szCs w:val="12"/>
                <w:color w:val="7B7C80"/>
              </w:rPr>
              <w:t>$1,270.5</w:t>
            </w:r>
          </w:p>
        </w:tc>
        <w:tc>
          <w:tcPr>
            <w:tcW w:w="680" w:type="dxa"/>
            <w:vAlign w:val="bottom"/>
            <w:tcBorders>
              <w:bottom w:val="single" w:sz="8" w:color="009CCC"/>
            </w:tcBorders>
            <w:gridSpan w:val="2"/>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rPr>
              <w:t>$ 1,317.9</w:t>
            </w:r>
          </w:p>
        </w:tc>
        <w:tc>
          <w:tcPr>
            <w:tcW w:w="100" w:type="dxa"/>
            <w:vAlign w:val="bottom"/>
            <w:tcBorders>
              <w:bottom w:val="single" w:sz="8" w:color="009CCC"/>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009CCC"/>
            </w:tcBorders>
            <w:shd w:val="clear" w:color="auto" w:fill="E7E6E7"/>
          </w:tcPr>
          <w:p>
            <w:pPr>
              <w:jc w:val="right"/>
              <w:ind w:right="119"/>
              <w:spacing w:after="0" w:line="129" w:lineRule="exact"/>
              <w:rPr>
                <w:sz w:val="20"/>
                <w:szCs w:val="20"/>
                <w:color w:val="auto"/>
              </w:rPr>
            </w:pPr>
            <w:r>
              <w:rPr>
                <w:rFonts w:ascii="Arial" w:cs="Arial" w:eastAsia="Arial" w:hAnsi="Arial"/>
                <w:sz w:val="12"/>
                <w:szCs w:val="12"/>
                <w:color w:val="7B7C80"/>
                <w:w w:val="94"/>
              </w:rPr>
              <w:t>1,059.9</w:t>
            </w:r>
          </w:p>
        </w:tc>
        <w:tc>
          <w:tcPr>
            <w:tcW w:w="0" w:type="dxa"/>
            <w:vAlign w:val="bottom"/>
          </w:tcPr>
          <w:p>
            <w:pPr>
              <w:spacing w:after="0"/>
              <w:rPr>
                <w:sz w:val="1"/>
                <w:szCs w:val="1"/>
                <w:color w:val="auto"/>
              </w:rPr>
            </w:pPr>
          </w:p>
        </w:tc>
      </w:tr>
      <w:tr>
        <w:trPr>
          <w:trHeight w:val="334"/>
        </w:trPr>
        <w:tc>
          <w:tcPr>
            <w:tcW w:w="300" w:type="dxa"/>
            <w:vAlign w:val="bottom"/>
          </w:tcPr>
          <w:p>
            <w:pPr>
              <w:spacing w:after="0"/>
              <w:rPr>
                <w:sz w:val="20"/>
                <w:szCs w:val="20"/>
                <w:color w:val="auto"/>
              </w:rPr>
            </w:pPr>
            <w:r>
              <w:rPr>
                <w:rFonts w:ascii="Arial" w:cs="Arial" w:eastAsia="Arial" w:hAnsi="Arial"/>
                <w:sz w:val="12"/>
                <w:szCs w:val="12"/>
                <w:color w:val="7B7C80"/>
              </w:rPr>
              <w:t>(1)</w:t>
            </w:r>
          </w:p>
        </w:tc>
        <w:tc>
          <w:tcPr>
            <w:tcW w:w="4800" w:type="dxa"/>
            <w:vAlign w:val="bottom"/>
          </w:tcPr>
          <w:p>
            <w:pPr>
              <w:ind w:left="160"/>
              <w:spacing w:after="0"/>
              <w:rPr>
                <w:sz w:val="20"/>
                <w:szCs w:val="20"/>
                <w:color w:val="auto"/>
              </w:rPr>
            </w:pPr>
            <w:r>
              <w:rPr>
                <w:rFonts w:ascii="Arial" w:cs="Arial" w:eastAsia="Arial" w:hAnsi="Arial"/>
                <w:sz w:val="12"/>
                <w:szCs w:val="12"/>
                <w:color w:val="7B7C80"/>
              </w:rPr>
              <w:t>This is a non-GAAP financial measure. See reconciliation below.</w:t>
            </w: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5100" w:type="dxa"/>
            <w:vAlign w:val="bottom"/>
            <w:gridSpan w:val="2"/>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b w:val="1"/>
                <w:bCs w:val="1"/>
                <w:color w:val="7B7C80"/>
              </w:rPr>
              <w:t>Net realized capital gains (loses)</w:t>
            </w:r>
          </w:p>
        </w:tc>
        <w:tc>
          <w:tcPr>
            <w:tcW w:w="220" w:type="dxa"/>
            <w:vAlign w:val="bottom"/>
            <w:shd w:val="clear" w:color="auto" w:fill="E7E6E7"/>
          </w:tcPr>
          <w:p>
            <w:pPr>
              <w:spacing w:after="0"/>
              <w:rPr>
                <w:sz w:val="11"/>
                <w:szCs w:val="11"/>
                <w:color w:val="auto"/>
              </w:rPr>
            </w:pPr>
          </w:p>
        </w:tc>
        <w:tc>
          <w:tcPr>
            <w:tcW w:w="100" w:type="dxa"/>
            <w:vAlign w:val="bottom"/>
            <w:shd w:val="clear" w:color="auto" w:fill="E7E6E7"/>
          </w:tcPr>
          <w:p>
            <w:pPr>
              <w:spacing w:after="0"/>
              <w:rPr>
                <w:sz w:val="11"/>
                <w:szCs w:val="11"/>
                <w:color w:val="auto"/>
              </w:rPr>
            </w:pPr>
          </w:p>
        </w:tc>
        <w:tc>
          <w:tcPr>
            <w:tcW w:w="50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GAAP net realized capital gains (losses)</w:t>
            </w:r>
          </w:p>
        </w:tc>
        <w:tc>
          <w:tcPr>
            <w:tcW w:w="220" w:type="dxa"/>
            <w:vAlign w:val="bottom"/>
          </w:tcPr>
          <w:p>
            <w:pPr>
              <w:jc w:val="right"/>
              <w:spacing w:after="0"/>
              <w:rPr>
                <w:sz w:val="20"/>
                <w:szCs w:val="20"/>
                <w:color w:val="auto"/>
              </w:rPr>
            </w:pPr>
            <w:r>
              <w:rPr>
                <w:rFonts w:ascii="Arial" w:cs="Arial" w:eastAsia="Arial" w:hAnsi="Arial"/>
                <w:sz w:val="12"/>
                <w:szCs w:val="12"/>
                <w:color w:val="7B7C80"/>
              </w:rPr>
              <w:t>$</w:t>
            </w:r>
          </w:p>
        </w:tc>
        <w:tc>
          <w:tcPr>
            <w:tcW w:w="600" w:type="dxa"/>
            <w:vAlign w:val="bottom"/>
            <w:gridSpan w:val="2"/>
          </w:tcPr>
          <w:p>
            <w:pPr>
              <w:jc w:val="right"/>
              <w:ind w:right="59"/>
              <w:spacing w:after="0"/>
              <w:rPr>
                <w:sz w:val="20"/>
                <w:szCs w:val="20"/>
                <w:color w:val="auto"/>
              </w:rPr>
            </w:pPr>
            <w:r>
              <w:rPr>
                <w:rFonts w:ascii="Arial" w:cs="Arial" w:eastAsia="Arial" w:hAnsi="Arial"/>
                <w:sz w:val="12"/>
                <w:szCs w:val="12"/>
                <w:color w:val="7B7C80"/>
              </w:rPr>
              <w:t>524.2</w:t>
            </w:r>
          </w:p>
        </w:tc>
        <w:tc>
          <w:tcPr>
            <w:tcW w:w="80" w:type="dxa"/>
            <w:vAlign w:val="bottom"/>
          </w:tcPr>
          <w:p>
            <w:pPr>
              <w:jc w:val="right"/>
              <w:spacing w:after="0"/>
              <w:rPr>
                <w:sz w:val="20"/>
                <w:szCs w:val="20"/>
                <w:color w:val="auto"/>
              </w:rPr>
            </w:pPr>
            <w:r>
              <w:rPr>
                <w:rFonts w:ascii="Arial" w:cs="Arial" w:eastAsia="Arial" w:hAnsi="Arial"/>
                <w:sz w:val="12"/>
                <w:szCs w:val="12"/>
                <w:color w:val="7B7C80"/>
                <w:w w:val="89"/>
              </w:rPr>
              <w:t>$</w:t>
            </w:r>
          </w:p>
        </w:tc>
        <w:tc>
          <w:tcPr>
            <w:tcW w:w="600" w:type="dxa"/>
            <w:vAlign w:val="bottom"/>
          </w:tcPr>
          <w:p>
            <w:pPr>
              <w:jc w:val="right"/>
              <w:ind w:right="59"/>
              <w:spacing w:after="0"/>
              <w:rPr>
                <w:sz w:val="20"/>
                <w:szCs w:val="20"/>
                <w:color w:val="auto"/>
              </w:rPr>
            </w:pPr>
            <w:r>
              <w:rPr>
                <w:rFonts w:ascii="Arial" w:cs="Arial" w:eastAsia="Arial" w:hAnsi="Arial"/>
                <w:sz w:val="12"/>
                <w:szCs w:val="12"/>
                <w:color w:val="7B7C80"/>
              </w:rPr>
              <w:t>171.1</w:t>
            </w:r>
          </w:p>
        </w:tc>
        <w:tc>
          <w:tcPr>
            <w:tcW w:w="80" w:type="dxa"/>
            <w:vAlign w:val="bottom"/>
          </w:tcPr>
          <w:p>
            <w:pPr>
              <w:jc w:val="right"/>
              <w:spacing w:after="0"/>
              <w:rPr>
                <w:sz w:val="20"/>
                <w:szCs w:val="20"/>
                <w:color w:val="auto"/>
              </w:rPr>
            </w:pPr>
            <w:r>
              <w:rPr>
                <w:rFonts w:ascii="Arial" w:cs="Arial" w:eastAsia="Arial" w:hAnsi="Arial"/>
                <w:sz w:val="12"/>
                <w:szCs w:val="12"/>
                <w:color w:val="7B7C80"/>
                <w:w w:val="89"/>
              </w:rPr>
              <w:t>$</w:t>
            </w:r>
          </w:p>
        </w:tc>
        <w:tc>
          <w:tcPr>
            <w:tcW w:w="540" w:type="dxa"/>
            <w:vAlign w:val="bottom"/>
          </w:tcPr>
          <w:p>
            <w:pPr>
              <w:jc w:val="right"/>
              <w:ind w:right="19"/>
              <w:spacing w:after="0"/>
              <w:rPr>
                <w:sz w:val="20"/>
                <w:szCs w:val="20"/>
                <w:color w:val="auto"/>
              </w:rPr>
            </w:pPr>
            <w:r>
              <w:rPr>
                <w:rFonts w:ascii="Arial" w:cs="Arial" w:eastAsia="Arial" w:hAnsi="Arial"/>
                <w:sz w:val="12"/>
                <w:szCs w:val="12"/>
                <w:color w:val="7B7C80"/>
              </w:rPr>
              <w:t>(51.1)</w:t>
            </w:r>
          </w:p>
        </w:tc>
        <w:tc>
          <w:tcPr>
            <w:tcW w:w="80" w:type="dxa"/>
            <w:vAlign w:val="bottom"/>
          </w:tcPr>
          <w:p>
            <w:pPr>
              <w:jc w:val="right"/>
              <w:spacing w:after="0"/>
              <w:rPr>
                <w:sz w:val="20"/>
                <w:szCs w:val="20"/>
                <w:color w:val="auto"/>
              </w:rPr>
            </w:pPr>
            <w:r>
              <w:rPr>
                <w:rFonts w:ascii="Arial" w:cs="Arial" w:eastAsia="Arial" w:hAnsi="Arial"/>
                <w:sz w:val="12"/>
                <w:szCs w:val="12"/>
                <w:color w:val="7B7C80"/>
                <w:w w:val="89"/>
              </w:rPr>
              <w:t>$</w:t>
            </w:r>
          </w:p>
        </w:tc>
        <w:tc>
          <w:tcPr>
            <w:tcW w:w="600" w:type="dxa"/>
            <w:vAlign w:val="bottom"/>
          </w:tcPr>
          <w:p>
            <w:pPr>
              <w:jc w:val="right"/>
              <w:ind w:right="59"/>
              <w:spacing w:after="0"/>
              <w:rPr>
                <w:sz w:val="20"/>
                <w:szCs w:val="20"/>
                <w:color w:val="auto"/>
              </w:rPr>
            </w:pPr>
            <w:r>
              <w:rPr>
                <w:rFonts w:ascii="Arial" w:cs="Arial" w:eastAsia="Arial" w:hAnsi="Arial"/>
                <w:sz w:val="12"/>
                <w:szCs w:val="12"/>
                <w:color w:val="7B7C80"/>
              </w:rPr>
              <w:t>14.7</w:t>
            </w:r>
          </w:p>
        </w:tc>
        <w:tc>
          <w:tcPr>
            <w:tcW w:w="100" w:type="dxa"/>
            <w:vAlign w:val="bottom"/>
          </w:tcPr>
          <w:p>
            <w:pPr>
              <w:jc w:val="right"/>
              <w:spacing w:after="0"/>
              <w:rPr>
                <w:sz w:val="20"/>
                <w:szCs w:val="20"/>
                <w:color w:val="auto"/>
              </w:rPr>
            </w:pPr>
            <w:r>
              <w:rPr>
                <w:rFonts w:ascii="Arial" w:cs="Arial" w:eastAsia="Arial" w:hAnsi="Arial"/>
                <w:sz w:val="12"/>
                <w:szCs w:val="12"/>
                <w:color w:val="7B7C80"/>
              </w:rPr>
              <w:t>$</w:t>
            </w:r>
          </w:p>
        </w:tc>
        <w:tc>
          <w:tcPr>
            <w:tcW w:w="580" w:type="dxa"/>
            <w:vAlign w:val="bottom"/>
          </w:tcPr>
          <w:p>
            <w:pPr>
              <w:jc w:val="right"/>
              <w:ind w:right="79"/>
              <w:spacing w:after="0"/>
              <w:rPr>
                <w:sz w:val="20"/>
                <w:szCs w:val="20"/>
                <w:color w:val="auto"/>
              </w:rPr>
            </w:pPr>
            <w:r>
              <w:rPr>
                <w:rFonts w:ascii="Arial" w:cs="Arial" w:eastAsia="Arial" w:hAnsi="Arial"/>
                <w:sz w:val="12"/>
                <w:szCs w:val="12"/>
                <w:color w:val="7B7C80"/>
              </w:rPr>
              <w:t>(225.2)</w:t>
            </w: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Recognition of front-end fee revenues</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ind w:right="19"/>
              <w:spacing w:after="0"/>
              <w:rPr>
                <w:sz w:val="20"/>
                <w:szCs w:val="20"/>
                <w:color w:val="auto"/>
              </w:rPr>
            </w:pPr>
            <w:r>
              <w:rPr>
                <w:rFonts w:ascii="Arial" w:cs="Arial" w:eastAsia="Arial" w:hAnsi="Arial"/>
                <w:sz w:val="12"/>
                <w:szCs w:val="12"/>
                <w:color w:val="7B7C80"/>
              </w:rPr>
              <w:t>(0.2)</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0.2</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ind w:right="19"/>
              <w:spacing w:after="0"/>
              <w:rPr>
                <w:sz w:val="20"/>
                <w:szCs w:val="20"/>
                <w:color w:val="auto"/>
              </w:rPr>
            </w:pPr>
            <w:r>
              <w:rPr>
                <w:rFonts w:ascii="Arial" w:cs="Arial" w:eastAsia="Arial" w:hAnsi="Arial"/>
                <w:sz w:val="12"/>
                <w:szCs w:val="12"/>
                <w:color w:val="7B7C80"/>
              </w:rPr>
              <w:t>(0.1)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0.7</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ind w:right="79"/>
              <w:spacing w:after="0"/>
              <w:rPr>
                <w:sz w:val="20"/>
                <w:szCs w:val="20"/>
                <w:color w:val="auto"/>
              </w:rPr>
            </w:pPr>
            <w:r>
              <w:rPr>
                <w:rFonts w:ascii="Arial" w:cs="Arial" w:eastAsia="Arial" w:hAnsi="Arial"/>
                <w:sz w:val="12"/>
                <w:szCs w:val="12"/>
                <w:color w:val="7B7C80"/>
              </w:rPr>
              <w:t>(0.9)</w:t>
            </w: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Market value adjustments to fee revenues</w:t>
            </w:r>
          </w:p>
        </w:tc>
        <w:tc>
          <w:tcPr>
            <w:tcW w:w="220" w:type="dxa"/>
            <w:vAlign w:val="bottom"/>
          </w:tcPr>
          <w:p>
            <w:pPr>
              <w:spacing w:after="0"/>
              <w:rPr>
                <w:sz w:val="11"/>
                <w:szCs w:val="11"/>
                <w:color w:val="auto"/>
              </w:rPr>
            </w:pPr>
          </w:p>
        </w:tc>
        <w:tc>
          <w:tcPr>
            <w:tcW w:w="600" w:type="dxa"/>
            <w:vAlign w:val="bottom"/>
            <w:gridSpan w:val="2"/>
          </w:tcPr>
          <w:p>
            <w:pPr>
              <w:jc w:val="right"/>
              <w:ind w:right="19"/>
              <w:spacing w:after="0"/>
              <w:rPr>
                <w:sz w:val="20"/>
                <w:szCs w:val="20"/>
                <w:color w:val="auto"/>
              </w:rPr>
            </w:pPr>
            <w:r>
              <w:rPr>
                <w:rFonts w:ascii="Arial" w:cs="Arial" w:eastAsia="Arial" w:hAnsi="Arial"/>
                <w:sz w:val="12"/>
                <w:szCs w:val="12"/>
                <w:color w:val="7B7C80"/>
              </w:rPr>
              <w:t>(0.1)</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(2.5)</w:t>
            </w:r>
          </w:p>
        </w:tc>
        <w:tc>
          <w:tcPr>
            <w:tcW w:w="80" w:type="dxa"/>
            <w:vAlign w:val="bottom"/>
          </w:tcPr>
          <w:p>
            <w:pPr>
              <w:spacing w:after="0"/>
              <w:rPr>
                <w:sz w:val="11"/>
                <w:szCs w:val="11"/>
                <w:color w:val="auto"/>
              </w:rPr>
            </w:pPr>
          </w:p>
        </w:tc>
        <w:tc>
          <w:tcPr>
            <w:tcW w:w="540" w:type="dxa"/>
            <w:vAlign w:val="bottom"/>
          </w:tcPr>
          <w:p>
            <w:pPr>
              <w:jc w:val="right"/>
              <w:ind w:right="19"/>
              <w:spacing w:after="0"/>
              <w:rPr>
                <w:sz w:val="20"/>
                <w:szCs w:val="20"/>
                <w:color w:val="auto"/>
              </w:rPr>
            </w:pPr>
            <w:r>
              <w:rPr>
                <w:rFonts w:ascii="Arial" w:cs="Arial" w:eastAsia="Arial" w:hAnsi="Arial"/>
                <w:sz w:val="12"/>
                <w:szCs w:val="12"/>
                <w:color w:val="7B7C80"/>
              </w:rPr>
              <w:t>(1.1)</w:t>
            </w:r>
          </w:p>
        </w:tc>
        <w:tc>
          <w:tcPr>
            <w:tcW w:w="80" w:type="dxa"/>
            <w:vAlign w:val="bottom"/>
          </w:tcPr>
          <w:p>
            <w:pPr>
              <w:spacing w:after="0"/>
              <w:rPr>
                <w:sz w:val="11"/>
                <w:szCs w:val="11"/>
                <w:color w:val="auto"/>
              </w:rPr>
            </w:pPr>
          </w:p>
        </w:tc>
        <w:tc>
          <w:tcPr>
            <w:tcW w:w="600" w:type="dxa"/>
            <w:vAlign w:val="bottom"/>
          </w:tcPr>
          <w:p>
            <w:pPr>
              <w:jc w:val="right"/>
              <w:ind w:right="59"/>
              <w:spacing w:after="0"/>
              <w:rPr>
                <w:sz w:val="20"/>
                <w:szCs w:val="20"/>
                <w:color w:val="auto"/>
              </w:rPr>
            </w:pPr>
            <w:r>
              <w:rPr>
                <w:rFonts w:ascii="Arial" w:cs="Arial" w:eastAsia="Arial" w:hAnsi="Arial"/>
                <w:sz w:val="12"/>
                <w:szCs w:val="12"/>
                <w:color w:val="7B7C80"/>
              </w:rPr>
              <w:t>—</w:t>
            </w:r>
          </w:p>
        </w:tc>
        <w:tc>
          <w:tcPr>
            <w:tcW w:w="100" w:type="dxa"/>
            <w:vAlign w:val="bottom"/>
          </w:tcPr>
          <w:p>
            <w:pPr>
              <w:spacing w:after="0"/>
              <w:rPr>
                <w:sz w:val="11"/>
                <w:szCs w:val="11"/>
                <w:color w:val="auto"/>
              </w:rPr>
            </w:pPr>
          </w:p>
        </w:tc>
        <w:tc>
          <w:tcPr>
            <w:tcW w:w="580" w:type="dxa"/>
            <w:vAlign w:val="bottom"/>
          </w:tcPr>
          <w:p>
            <w:pPr>
              <w:jc w:val="right"/>
              <w:ind w:right="119"/>
              <w:spacing w:after="0"/>
              <w:rPr>
                <w:sz w:val="20"/>
                <w:szCs w:val="20"/>
                <w:color w:val="auto"/>
              </w:rPr>
            </w:pPr>
            <w:r>
              <w:rPr>
                <w:rFonts w:ascii="Arial" w:cs="Arial" w:eastAsia="Arial" w:hAnsi="Arial"/>
                <w:sz w:val="12"/>
                <w:szCs w:val="12"/>
                <w:color w:val="7B7C80"/>
              </w:rPr>
              <w:t>—</w:t>
            </w: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Net realized capital gains (losses) related to equity method investments</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ind w:right="59"/>
              <w:spacing w:after="0"/>
              <w:rPr>
                <w:sz w:val="20"/>
                <w:szCs w:val="20"/>
                <w:color w:val="auto"/>
              </w:rPr>
            </w:pPr>
            <w:r>
              <w:rPr>
                <w:rFonts w:ascii="Arial" w:cs="Arial" w:eastAsia="Arial" w:hAnsi="Arial"/>
                <w:sz w:val="12"/>
                <w:szCs w:val="12"/>
                <w:color w:val="7B7C80"/>
              </w:rPr>
              <w:t>1.4</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0.1</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w:t>
            </w: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Derivative and hedging-related adjustments</w:t>
            </w:r>
          </w:p>
        </w:tc>
        <w:tc>
          <w:tcPr>
            <w:tcW w:w="220" w:type="dxa"/>
            <w:vAlign w:val="bottom"/>
          </w:tcPr>
          <w:p>
            <w:pPr>
              <w:spacing w:after="0"/>
              <w:rPr>
                <w:sz w:val="11"/>
                <w:szCs w:val="11"/>
                <w:color w:val="auto"/>
              </w:rPr>
            </w:pPr>
          </w:p>
        </w:tc>
        <w:tc>
          <w:tcPr>
            <w:tcW w:w="600" w:type="dxa"/>
            <w:vAlign w:val="bottom"/>
            <w:gridSpan w:val="2"/>
          </w:tcPr>
          <w:p>
            <w:pPr>
              <w:jc w:val="right"/>
              <w:ind w:right="19"/>
              <w:spacing w:after="0"/>
              <w:rPr>
                <w:sz w:val="20"/>
                <w:szCs w:val="20"/>
                <w:color w:val="auto"/>
              </w:rPr>
            </w:pPr>
            <w:r>
              <w:rPr>
                <w:rFonts w:ascii="Arial" w:cs="Arial" w:eastAsia="Arial" w:hAnsi="Arial"/>
                <w:sz w:val="12"/>
                <w:szCs w:val="12"/>
                <w:color w:val="7B7C80"/>
              </w:rPr>
              <w:t>(59.4)</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(94.1)</w:t>
            </w:r>
          </w:p>
        </w:tc>
        <w:tc>
          <w:tcPr>
            <w:tcW w:w="80" w:type="dxa"/>
            <w:vAlign w:val="bottom"/>
          </w:tcPr>
          <w:p>
            <w:pPr>
              <w:spacing w:after="0"/>
              <w:rPr>
                <w:sz w:val="11"/>
                <w:szCs w:val="11"/>
                <w:color w:val="auto"/>
              </w:rPr>
            </w:pPr>
          </w:p>
        </w:tc>
        <w:tc>
          <w:tcPr>
            <w:tcW w:w="540" w:type="dxa"/>
            <w:vAlign w:val="bottom"/>
          </w:tcPr>
          <w:p>
            <w:pPr>
              <w:jc w:val="right"/>
              <w:ind w:right="19"/>
              <w:spacing w:after="0"/>
              <w:rPr>
                <w:sz w:val="20"/>
                <w:szCs w:val="20"/>
                <w:color w:val="auto"/>
              </w:rPr>
            </w:pPr>
            <w:r>
              <w:rPr>
                <w:rFonts w:ascii="Arial" w:cs="Arial" w:eastAsia="Arial" w:hAnsi="Arial"/>
                <w:sz w:val="12"/>
                <w:szCs w:val="12"/>
                <w:color w:val="7B7C80"/>
              </w:rPr>
              <w:t>(111.7)</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(92.8)</w:t>
            </w:r>
          </w:p>
        </w:tc>
        <w:tc>
          <w:tcPr>
            <w:tcW w:w="100" w:type="dxa"/>
            <w:vAlign w:val="bottom"/>
          </w:tcPr>
          <w:p>
            <w:pPr>
              <w:spacing w:after="0"/>
              <w:rPr>
                <w:sz w:val="11"/>
                <w:szCs w:val="11"/>
                <w:color w:val="auto"/>
              </w:rPr>
            </w:pPr>
          </w:p>
        </w:tc>
        <w:tc>
          <w:tcPr>
            <w:tcW w:w="580" w:type="dxa"/>
            <w:vAlign w:val="bottom"/>
          </w:tcPr>
          <w:p>
            <w:pPr>
              <w:jc w:val="right"/>
              <w:ind w:right="79"/>
              <w:spacing w:after="0"/>
              <w:rPr>
                <w:sz w:val="20"/>
                <w:szCs w:val="20"/>
                <w:color w:val="auto"/>
              </w:rPr>
            </w:pPr>
            <w:r>
              <w:rPr>
                <w:rFonts w:ascii="Arial" w:cs="Arial" w:eastAsia="Arial" w:hAnsi="Arial"/>
                <w:sz w:val="12"/>
                <w:szCs w:val="12"/>
                <w:color w:val="7B7C80"/>
              </w:rPr>
              <w:t>(93.9)</w:t>
            </w: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Sponsored investment fund adjustments</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ind w:right="59"/>
              <w:spacing w:after="0"/>
              <w:rPr>
                <w:sz w:val="20"/>
                <w:szCs w:val="20"/>
                <w:color w:val="auto"/>
              </w:rPr>
            </w:pPr>
            <w:r>
              <w:rPr>
                <w:rFonts w:ascii="Arial" w:cs="Arial" w:eastAsia="Arial" w:hAnsi="Arial"/>
                <w:sz w:val="12"/>
                <w:szCs w:val="12"/>
                <w:color w:val="7B7C80"/>
              </w:rPr>
              <w:t>6.3</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6.1</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1.3</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w:t>
            </w: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Amortization of deferred acquisition costs</w:t>
            </w:r>
          </w:p>
        </w:tc>
        <w:tc>
          <w:tcPr>
            <w:tcW w:w="220" w:type="dxa"/>
            <w:vAlign w:val="bottom"/>
          </w:tcPr>
          <w:p>
            <w:pPr>
              <w:spacing w:after="0"/>
              <w:rPr>
                <w:sz w:val="11"/>
                <w:szCs w:val="11"/>
                <w:color w:val="auto"/>
              </w:rPr>
            </w:pPr>
          </w:p>
        </w:tc>
        <w:tc>
          <w:tcPr>
            <w:tcW w:w="600" w:type="dxa"/>
            <w:vAlign w:val="bottom"/>
            <w:gridSpan w:val="2"/>
          </w:tcPr>
          <w:p>
            <w:pPr>
              <w:jc w:val="right"/>
              <w:ind w:right="59"/>
              <w:spacing w:after="0"/>
              <w:rPr>
                <w:sz w:val="20"/>
                <w:szCs w:val="20"/>
                <w:color w:val="auto"/>
              </w:rPr>
            </w:pPr>
            <w:r>
              <w:rPr>
                <w:rFonts w:ascii="Arial" w:cs="Arial" w:eastAsia="Arial" w:hAnsi="Arial"/>
                <w:sz w:val="12"/>
                <w:szCs w:val="12"/>
                <w:color w:val="7B7C80"/>
              </w:rPr>
              <w:t>47.4</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(66.2)</w:t>
            </w:r>
          </w:p>
        </w:tc>
        <w:tc>
          <w:tcPr>
            <w:tcW w:w="80" w:type="dxa"/>
            <w:vAlign w:val="bottom"/>
          </w:tcPr>
          <w:p>
            <w:pPr>
              <w:spacing w:after="0"/>
              <w:rPr>
                <w:sz w:val="11"/>
                <w:szCs w:val="11"/>
                <w:color w:val="auto"/>
              </w:rPr>
            </w:pPr>
          </w:p>
        </w:tc>
        <w:tc>
          <w:tcPr>
            <w:tcW w:w="540" w:type="dxa"/>
            <w:vAlign w:val="bottom"/>
          </w:tcPr>
          <w:p>
            <w:pPr>
              <w:jc w:val="right"/>
              <w:ind w:right="19"/>
              <w:spacing w:after="0"/>
              <w:rPr>
                <w:sz w:val="20"/>
                <w:szCs w:val="20"/>
                <w:color w:val="auto"/>
              </w:rPr>
            </w:pPr>
            <w:r>
              <w:rPr>
                <w:rFonts w:ascii="Arial" w:cs="Arial" w:eastAsia="Arial" w:hAnsi="Arial"/>
                <w:sz w:val="12"/>
                <w:szCs w:val="12"/>
                <w:color w:val="7B7C80"/>
              </w:rPr>
              <w:t>(12.2)</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(37.7)</w:t>
            </w:r>
          </w:p>
        </w:tc>
        <w:tc>
          <w:tcPr>
            <w:tcW w:w="100" w:type="dxa"/>
            <w:vAlign w:val="bottom"/>
          </w:tcPr>
          <w:p>
            <w:pPr>
              <w:spacing w:after="0"/>
              <w:rPr>
                <w:sz w:val="11"/>
                <w:szCs w:val="11"/>
                <w:color w:val="auto"/>
              </w:rPr>
            </w:pPr>
          </w:p>
        </w:tc>
        <w:tc>
          <w:tcPr>
            <w:tcW w:w="580" w:type="dxa"/>
            <w:vAlign w:val="bottom"/>
          </w:tcPr>
          <w:p>
            <w:pPr>
              <w:jc w:val="right"/>
              <w:ind w:right="119"/>
              <w:spacing w:after="0"/>
              <w:rPr>
                <w:sz w:val="20"/>
                <w:szCs w:val="20"/>
                <w:color w:val="auto"/>
              </w:rPr>
            </w:pPr>
            <w:r>
              <w:rPr>
                <w:rFonts w:ascii="Arial" w:cs="Arial" w:eastAsia="Arial" w:hAnsi="Arial"/>
                <w:sz w:val="12"/>
                <w:szCs w:val="12"/>
                <w:color w:val="7B7C80"/>
              </w:rPr>
              <w:t>32.3</w:t>
            </w: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Capital gains distributed—operating expenses</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ind w:right="19"/>
              <w:spacing w:after="0"/>
              <w:rPr>
                <w:sz w:val="20"/>
                <w:szCs w:val="20"/>
                <w:color w:val="auto"/>
              </w:rPr>
            </w:pPr>
            <w:r>
              <w:rPr>
                <w:rFonts w:ascii="Arial" w:cs="Arial" w:eastAsia="Arial" w:hAnsi="Arial"/>
                <w:sz w:val="12"/>
                <w:szCs w:val="12"/>
                <w:color w:val="7B7C80"/>
              </w:rPr>
              <w:t>(38.9)</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3.7</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15.4</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19"/>
              <w:spacing w:after="0"/>
              <w:rPr>
                <w:sz w:val="20"/>
                <w:szCs w:val="20"/>
                <w:color w:val="auto"/>
              </w:rPr>
            </w:pPr>
            <w:r>
              <w:rPr>
                <w:rFonts w:ascii="Arial" w:cs="Arial" w:eastAsia="Arial" w:hAnsi="Arial"/>
                <w:sz w:val="12"/>
                <w:szCs w:val="12"/>
                <w:color w:val="7B7C80"/>
              </w:rPr>
              <w:t>(10.6)</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ind w:right="79"/>
              <w:spacing w:after="0"/>
              <w:rPr>
                <w:sz w:val="20"/>
                <w:szCs w:val="20"/>
                <w:color w:val="auto"/>
              </w:rPr>
            </w:pPr>
            <w:r>
              <w:rPr>
                <w:rFonts w:ascii="Arial" w:cs="Arial" w:eastAsia="Arial" w:hAnsi="Arial"/>
                <w:sz w:val="12"/>
                <w:szCs w:val="12"/>
                <w:color w:val="7B7C80"/>
              </w:rPr>
              <w:t>(23.6)</w:t>
            </w: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Amortization of other actuarial balances</w:t>
            </w:r>
          </w:p>
        </w:tc>
        <w:tc>
          <w:tcPr>
            <w:tcW w:w="220" w:type="dxa"/>
            <w:vAlign w:val="bottom"/>
          </w:tcPr>
          <w:p>
            <w:pPr>
              <w:spacing w:after="0"/>
              <w:rPr>
                <w:sz w:val="11"/>
                <w:szCs w:val="11"/>
                <w:color w:val="auto"/>
              </w:rPr>
            </w:pPr>
          </w:p>
        </w:tc>
        <w:tc>
          <w:tcPr>
            <w:tcW w:w="600" w:type="dxa"/>
            <w:vAlign w:val="bottom"/>
            <w:gridSpan w:val="2"/>
          </w:tcPr>
          <w:p>
            <w:pPr>
              <w:jc w:val="right"/>
              <w:ind w:right="59"/>
              <w:spacing w:after="0"/>
              <w:rPr>
                <w:sz w:val="20"/>
                <w:szCs w:val="20"/>
                <w:color w:val="auto"/>
              </w:rPr>
            </w:pPr>
            <w:r>
              <w:rPr>
                <w:rFonts w:ascii="Arial" w:cs="Arial" w:eastAsia="Arial" w:hAnsi="Arial"/>
                <w:sz w:val="12"/>
                <w:szCs w:val="12"/>
                <w:color w:val="7B7C80"/>
              </w:rPr>
              <w:t>7.6</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(11.2)</w:t>
            </w:r>
          </w:p>
        </w:tc>
        <w:tc>
          <w:tcPr>
            <w:tcW w:w="80" w:type="dxa"/>
            <w:vAlign w:val="bottom"/>
          </w:tcPr>
          <w:p>
            <w:pPr>
              <w:spacing w:after="0"/>
              <w:rPr>
                <w:sz w:val="11"/>
                <w:szCs w:val="11"/>
                <w:color w:val="auto"/>
              </w:rPr>
            </w:pPr>
          </w:p>
        </w:tc>
        <w:tc>
          <w:tcPr>
            <w:tcW w:w="540" w:type="dxa"/>
            <w:vAlign w:val="bottom"/>
          </w:tcPr>
          <w:p>
            <w:pPr>
              <w:jc w:val="right"/>
              <w:ind w:right="19"/>
              <w:spacing w:after="0"/>
              <w:rPr>
                <w:sz w:val="20"/>
                <w:szCs w:val="20"/>
                <w:color w:val="auto"/>
              </w:rPr>
            </w:pPr>
            <w:r>
              <w:rPr>
                <w:rFonts w:ascii="Arial" w:cs="Arial" w:eastAsia="Arial" w:hAnsi="Arial"/>
                <w:sz w:val="12"/>
                <w:szCs w:val="12"/>
                <w:color w:val="7B7C80"/>
              </w:rPr>
              <w:t>(1.8)</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(11.6)</w:t>
            </w:r>
          </w:p>
        </w:tc>
        <w:tc>
          <w:tcPr>
            <w:tcW w:w="100" w:type="dxa"/>
            <w:vAlign w:val="bottom"/>
          </w:tcPr>
          <w:p>
            <w:pPr>
              <w:spacing w:after="0"/>
              <w:rPr>
                <w:sz w:val="11"/>
                <w:szCs w:val="11"/>
                <w:color w:val="auto"/>
              </w:rPr>
            </w:pPr>
          </w:p>
        </w:tc>
        <w:tc>
          <w:tcPr>
            <w:tcW w:w="580" w:type="dxa"/>
            <w:vAlign w:val="bottom"/>
          </w:tcPr>
          <w:p>
            <w:pPr>
              <w:jc w:val="right"/>
              <w:ind w:right="119"/>
              <w:spacing w:after="0"/>
              <w:rPr>
                <w:sz w:val="20"/>
                <w:szCs w:val="20"/>
                <w:color w:val="auto"/>
              </w:rPr>
            </w:pPr>
            <w:r>
              <w:rPr>
                <w:rFonts w:ascii="Arial" w:cs="Arial" w:eastAsia="Arial" w:hAnsi="Arial"/>
                <w:sz w:val="12"/>
                <w:szCs w:val="12"/>
                <w:color w:val="7B7C80"/>
              </w:rPr>
              <w:t>14.8</w:t>
            </w: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Market value adjustments of embedded derivatives</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ind w:right="59"/>
              <w:spacing w:after="0"/>
              <w:rPr>
                <w:sz w:val="20"/>
                <w:szCs w:val="20"/>
                <w:color w:val="auto"/>
              </w:rPr>
            </w:pPr>
            <w:r>
              <w:rPr>
                <w:rFonts w:ascii="Arial" w:cs="Arial" w:eastAsia="Arial" w:hAnsi="Arial"/>
                <w:sz w:val="12"/>
                <w:szCs w:val="12"/>
                <w:color w:val="7B7C80"/>
              </w:rPr>
              <w:t>48.1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50.0</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ind w:right="19"/>
              <w:spacing w:after="0"/>
              <w:rPr>
                <w:sz w:val="20"/>
                <w:szCs w:val="20"/>
                <w:color w:val="auto"/>
              </w:rPr>
            </w:pPr>
            <w:r>
              <w:rPr>
                <w:rFonts w:ascii="Arial" w:cs="Arial" w:eastAsia="Arial" w:hAnsi="Arial"/>
                <w:sz w:val="12"/>
                <w:szCs w:val="12"/>
                <w:color w:val="7B7C80"/>
              </w:rPr>
              <w:t>(0.2)</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4.8</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18.4</w:t>
            </w: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Capital gains distributed—cost of interest credited</w:t>
            </w:r>
          </w:p>
        </w:tc>
        <w:tc>
          <w:tcPr>
            <w:tcW w:w="220" w:type="dxa"/>
            <w:vAlign w:val="bottom"/>
          </w:tcPr>
          <w:p>
            <w:pPr>
              <w:spacing w:after="0"/>
              <w:rPr>
                <w:sz w:val="11"/>
                <w:szCs w:val="11"/>
                <w:color w:val="auto"/>
              </w:rPr>
            </w:pPr>
          </w:p>
        </w:tc>
        <w:tc>
          <w:tcPr>
            <w:tcW w:w="600" w:type="dxa"/>
            <w:vAlign w:val="bottom"/>
            <w:gridSpan w:val="2"/>
          </w:tcPr>
          <w:p>
            <w:pPr>
              <w:jc w:val="right"/>
              <w:ind w:right="19"/>
              <w:spacing w:after="0"/>
              <w:rPr>
                <w:sz w:val="20"/>
                <w:szCs w:val="20"/>
                <w:color w:val="auto"/>
              </w:rPr>
            </w:pPr>
            <w:r>
              <w:rPr>
                <w:rFonts w:ascii="Arial" w:cs="Arial" w:eastAsia="Arial" w:hAnsi="Arial"/>
                <w:sz w:val="12"/>
                <w:szCs w:val="12"/>
                <w:color w:val="7B7C80"/>
              </w:rPr>
              <w:t>(16.1)</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(10.9)</w:t>
            </w:r>
          </w:p>
        </w:tc>
        <w:tc>
          <w:tcPr>
            <w:tcW w:w="80" w:type="dxa"/>
            <w:vAlign w:val="bottom"/>
          </w:tcPr>
          <w:p>
            <w:pPr>
              <w:spacing w:after="0"/>
              <w:rPr>
                <w:sz w:val="11"/>
                <w:szCs w:val="11"/>
                <w:color w:val="auto"/>
              </w:rPr>
            </w:pPr>
          </w:p>
        </w:tc>
        <w:tc>
          <w:tcPr>
            <w:tcW w:w="540" w:type="dxa"/>
            <w:vAlign w:val="bottom"/>
          </w:tcPr>
          <w:p>
            <w:pPr>
              <w:jc w:val="right"/>
              <w:ind w:right="19"/>
              <w:spacing w:after="0"/>
              <w:rPr>
                <w:sz w:val="20"/>
                <w:szCs w:val="20"/>
                <w:color w:val="auto"/>
              </w:rPr>
            </w:pPr>
            <w:r>
              <w:rPr>
                <w:rFonts w:ascii="Arial" w:cs="Arial" w:eastAsia="Arial" w:hAnsi="Arial"/>
                <w:sz w:val="12"/>
                <w:szCs w:val="12"/>
                <w:color w:val="7B7C80"/>
              </w:rPr>
              <w:t>(9.2)</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(10.6)</w:t>
            </w:r>
          </w:p>
        </w:tc>
        <w:tc>
          <w:tcPr>
            <w:tcW w:w="100" w:type="dxa"/>
            <w:vAlign w:val="bottom"/>
          </w:tcPr>
          <w:p>
            <w:pPr>
              <w:spacing w:after="0"/>
              <w:rPr>
                <w:sz w:val="11"/>
                <w:szCs w:val="11"/>
                <w:color w:val="auto"/>
              </w:rPr>
            </w:pPr>
          </w:p>
        </w:tc>
        <w:tc>
          <w:tcPr>
            <w:tcW w:w="580" w:type="dxa"/>
            <w:vAlign w:val="bottom"/>
          </w:tcPr>
          <w:p>
            <w:pPr>
              <w:jc w:val="right"/>
              <w:ind w:right="79"/>
              <w:spacing w:after="0"/>
              <w:rPr>
                <w:sz w:val="20"/>
                <w:szCs w:val="20"/>
                <w:color w:val="auto"/>
              </w:rPr>
            </w:pPr>
            <w:r>
              <w:rPr>
                <w:rFonts w:ascii="Arial" w:cs="Arial" w:eastAsia="Arial" w:hAnsi="Arial"/>
                <w:sz w:val="12"/>
                <w:szCs w:val="12"/>
                <w:color w:val="7B7C80"/>
              </w:rPr>
              <w:t>(2.2)</w:t>
            </w: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Net realized capital gains (losses) tax adjustments</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ind w:right="19"/>
              <w:spacing w:after="0"/>
              <w:rPr>
                <w:sz w:val="20"/>
                <w:szCs w:val="20"/>
                <w:color w:val="auto"/>
              </w:rPr>
            </w:pPr>
            <w:r>
              <w:rPr>
                <w:rFonts w:ascii="Arial" w:cs="Arial" w:eastAsia="Arial" w:hAnsi="Arial"/>
                <w:sz w:val="12"/>
                <w:szCs w:val="12"/>
                <w:color w:val="7B7C80"/>
              </w:rPr>
              <w:t>(209.1)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6.6</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45.6</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43.6</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101.4</w:t>
            </w: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Net realized capital gains (losses) attributable to noncontrolling interest, after-tax</w:t>
            </w:r>
          </w:p>
        </w:tc>
        <w:tc>
          <w:tcPr>
            <w:tcW w:w="220" w:type="dxa"/>
            <w:vAlign w:val="bottom"/>
          </w:tcPr>
          <w:p>
            <w:pPr>
              <w:spacing w:after="0"/>
              <w:rPr>
                <w:sz w:val="11"/>
                <w:szCs w:val="11"/>
                <w:color w:val="auto"/>
              </w:rPr>
            </w:pPr>
          </w:p>
        </w:tc>
        <w:tc>
          <w:tcPr>
            <w:tcW w:w="600" w:type="dxa"/>
            <w:vAlign w:val="bottom"/>
            <w:gridSpan w:val="2"/>
          </w:tcPr>
          <w:p>
            <w:pPr>
              <w:jc w:val="right"/>
              <w:ind w:right="19"/>
              <w:spacing w:after="0"/>
              <w:rPr>
                <w:sz w:val="20"/>
                <w:szCs w:val="20"/>
                <w:color w:val="auto"/>
              </w:rPr>
            </w:pPr>
            <w:r>
              <w:rPr>
                <w:rFonts w:ascii="Arial" w:cs="Arial" w:eastAsia="Arial" w:hAnsi="Arial"/>
                <w:sz w:val="12"/>
                <w:szCs w:val="12"/>
                <w:color w:val="7B7C80"/>
              </w:rPr>
              <w:t>(3.9)</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(15.5)</w:t>
            </w:r>
          </w:p>
        </w:tc>
        <w:tc>
          <w:tcPr>
            <w:tcW w:w="80" w:type="dxa"/>
            <w:vAlign w:val="bottom"/>
          </w:tcPr>
          <w:p>
            <w:pPr>
              <w:spacing w:after="0"/>
              <w:rPr>
                <w:sz w:val="11"/>
                <w:szCs w:val="11"/>
                <w:color w:val="auto"/>
              </w:rPr>
            </w:pPr>
          </w:p>
        </w:tc>
        <w:tc>
          <w:tcPr>
            <w:tcW w:w="540" w:type="dxa"/>
            <w:vAlign w:val="bottom"/>
          </w:tcPr>
          <w:p>
            <w:pPr>
              <w:jc w:val="right"/>
              <w:ind w:right="19"/>
              <w:spacing w:after="0"/>
              <w:rPr>
                <w:sz w:val="20"/>
                <w:szCs w:val="20"/>
                <w:color w:val="auto"/>
              </w:rPr>
            </w:pPr>
            <w:r>
              <w:rPr>
                <w:rFonts w:ascii="Arial" w:cs="Arial" w:eastAsia="Arial" w:hAnsi="Arial"/>
                <w:sz w:val="12"/>
                <w:szCs w:val="12"/>
                <w:color w:val="7B7C80"/>
              </w:rPr>
              <w:t>(8.8)</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(1.0)</w:t>
            </w:r>
          </w:p>
        </w:tc>
        <w:tc>
          <w:tcPr>
            <w:tcW w:w="100" w:type="dxa"/>
            <w:vAlign w:val="bottom"/>
          </w:tcPr>
          <w:p>
            <w:pPr>
              <w:spacing w:after="0"/>
              <w:rPr>
                <w:sz w:val="11"/>
                <w:szCs w:val="11"/>
                <w:color w:val="auto"/>
              </w:rPr>
            </w:pPr>
          </w:p>
        </w:tc>
        <w:tc>
          <w:tcPr>
            <w:tcW w:w="580" w:type="dxa"/>
            <w:vAlign w:val="bottom"/>
          </w:tcPr>
          <w:p>
            <w:pPr>
              <w:jc w:val="right"/>
              <w:ind w:right="79"/>
              <w:spacing w:after="0"/>
              <w:rPr>
                <w:sz w:val="20"/>
                <w:szCs w:val="20"/>
                <w:color w:val="auto"/>
              </w:rPr>
            </w:pPr>
            <w:r>
              <w:rPr>
                <w:rFonts w:ascii="Arial" w:cs="Arial" w:eastAsia="Arial" w:hAnsi="Arial"/>
                <w:sz w:val="12"/>
                <w:szCs w:val="12"/>
                <w:color w:val="7B7C80"/>
              </w:rPr>
              <w:t>(0.2)</w:t>
            </w:r>
          </w:p>
        </w:tc>
        <w:tc>
          <w:tcPr>
            <w:tcW w:w="0" w:type="dxa"/>
            <w:vAlign w:val="bottom"/>
          </w:tcPr>
          <w:p>
            <w:pPr>
              <w:spacing w:after="0"/>
              <w:rPr>
                <w:sz w:val="1"/>
                <w:szCs w:val="1"/>
                <w:color w:val="auto"/>
              </w:rPr>
            </w:pPr>
          </w:p>
        </w:tc>
      </w:tr>
      <w:tr>
        <w:trPr>
          <w:trHeight w:val="142"/>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Net realized capital gains (losses) associated with exited group medical insurance business,</w:t>
            </w:r>
          </w:p>
        </w:tc>
        <w:tc>
          <w:tcPr>
            <w:tcW w:w="220" w:type="dxa"/>
            <w:vAlign w:val="bottom"/>
            <w:shd w:val="clear" w:color="auto" w:fill="E7E6E7"/>
          </w:tcPr>
          <w:p>
            <w:pPr>
              <w:spacing w:after="0"/>
              <w:rPr>
                <w:sz w:val="12"/>
                <w:szCs w:val="12"/>
                <w:color w:val="auto"/>
              </w:rPr>
            </w:pPr>
          </w:p>
        </w:tc>
        <w:tc>
          <w:tcPr>
            <w:tcW w:w="100" w:type="dxa"/>
            <w:vAlign w:val="bottom"/>
            <w:shd w:val="clear" w:color="auto" w:fill="E7E6E7"/>
          </w:tcPr>
          <w:p>
            <w:pPr>
              <w:spacing w:after="0"/>
              <w:rPr>
                <w:sz w:val="12"/>
                <w:szCs w:val="12"/>
                <w:color w:val="auto"/>
              </w:rPr>
            </w:pPr>
          </w:p>
        </w:tc>
        <w:tc>
          <w:tcPr>
            <w:tcW w:w="500" w:type="dxa"/>
            <w:vAlign w:val="bottom"/>
            <w:shd w:val="clear" w:color="auto" w:fill="E7E6E7"/>
          </w:tcPr>
          <w:p>
            <w:pPr>
              <w:spacing w:after="0"/>
              <w:rPr>
                <w:sz w:val="12"/>
                <w:szCs w:val="12"/>
                <w:color w:val="auto"/>
              </w:rPr>
            </w:pPr>
          </w:p>
        </w:tc>
        <w:tc>
          <w:tcPr>
            <w:tcW w:w="80" w:type="dxa"/>
            <w:vAlign w:val="bottom"/>
            <w:shd w:val="clear" w:color="auto" w:fill="E7E6E7"/>
          </w:tcPr>
          <w:p>
            <w:pPr>
              <w:spacing w:after="0"/>
              <w:rPr>
                <w:sz w:val="12"/>
                <w:szCs w:val="12"/>
                <w:color w:val="auto"/>
              </w:rPr>
            </w:pPr>
          </w:p>
        </w:tc>
        <w:tc>
          <w:tcPr>
            <w:tcW w:w="600" w:type="dxa"/>
            <w:vAlign w:val="bottom"/>
            <w:shd w:val="clear" w:color="auto" w:fill="E7E6E7"/>
          </w:tcPr>
          <w:p>
            <w:pPr>
              <w:spacing w:after="0"/>
              <w:rPr>
                <w:sz w:val="12"/>
                <w:szCs w:val="12"/>
                <w:color w:val="auto"/>
              </w:rPr>
            </w:pPr>
          </w:p>
        </w:tc>
        <w:tc>
          <w:tcPr>
            <w:tcW w:w="80" w:type="dxa"/>
            <w:vAlign w:val="bottom"/>
            <w:shd w:val="clear" w:color="auto" w:fill="E7E6E7"/>
          </w:tcPr>
          <w:p>
            <w:pPr>
              <w:spacing w:after="0"/>
              <w:rPr>
                <w:sz w:val="12"/>
                <w:szCs w:val="12"/>
                <w:color w:val="auto"/>
              </w:rPr>
            </w:pPr>
          </w:p>
        </w:tc>
        <w:tc>
          <w:tcPr>
            <w:tcW w:w="540" w:type="dxa"/>
            <w:vAlign w:val="bottom"/>
            <w:shd w:val="clear" w:color="auto" w:fill="E7E6E7"/>
          </w:tcPr>
          <w:p>
            <w:pPr>
              <w:spacing w:after="0"/>
              <w:rPr>
                <w:sz w:val="12"/>
                <w:szCs w:val="12"/>
                <w:color w:val="auto"/>
              </w:rPr>
            </w:pPr>
          </w:p>
        </w:tc>
        <w:tc>
          <w:tcPr>
            <w:tcW w:w="80" w:type="dxa"/>
            <w:vAlign w:val="bottom"/>
            <w:shd w:val="clear" w:color="auto" w:fill="E7E6E7"/>
          </w:tcPr>
          <w:p>
            <w:pPr>
              <w:spacing w:after="0"/>
              <w:rPr>
                <w:sz w:val="12"/>
                <w:szCs w:val="12"/>
                <w:color w:val="auto"/>
              </w:rPr>
            </w:pPr>
          </w:p>
        </w:tc>
        <w:tc>
          <w:tcPr>
            <w:tcW w:w="600" w:type="dxa"/>
            <w:vAlign w:val="bottom"/>
            <w:shd w:val="clear" w:color="auto" w:fill="E7E6E7"/>
          </w:tcPr>
          <w:p>
            <w:pPr>
              <w:spacing w:after="0"/>
              <w:rPr>
                <w:sz w:val="12"/>
                <w:szCs w:val="12"/>
                <w:color w:val="auto"/>
              </w:rPr>
            </w:pPr>
          </w:p>
        </w:tc>
        <w:tc>
          <w:tcPr>
            <w:tcW w:w="100" w:type="dxa"/>
            <w:vAlign w:val="bottom"/>
            <w:shd w:val="clear" w:color="auto" w:fill="E7E6E7"/>
          </w:tcPr>
          <w:p>
            <w:pPr>
              <w:spacing w:after="0"/>
              <w:rPr>
                <w:sz w:val="12"/>
                <w:szCs w:val="12"/>
                <w:color w:val="auto"/>
              </w:rPr>
            </w:pPr>
          </w:p>
        </w:tc>
        <w:tc>
          <w:tcPr>
            <w:tcW w:w="580" w:type="dxa"/>
            <w:vAlign w:val="bottom"/>
            <w:shd w:val="clear" w:color="auto" w:fill="E7E6E7"/>
          </w:tcPr>
          <w:p>
            <w:pPr>
              <w:spacing w:after="0"/>
              <w:rPr>
                <w:sz w:val="12"/>
                <w:szCs w:val="12"/>
                <w:color w:val="auto"/>
              </w:rPr>
            </w:pPr>
          </w:p>
        </w:tc>
        <w:tc>
          <w:tcPr>
            <w:tcW w:w="0" w:type="dxa"/>
            <w:vAlign w:val="bottom"/>
          </w:tcPr>
          <w:p>
            <w:pPr>
              <w:spacing w:after="0"/>
              <w:rPr>
                <w:sz w:val="1"/>
                <w:szCs w:val="1"/>
                <w:color w:val="auto"/>
              </w:rPr>
            </w:pPr>
          </w:p>
        </w:tc>
      </w:tr>
      <w:tr>
        <w:trPr>
          <w:trHeight w:val="133"/>
        </w:trPr>
        <w:tc>
          <w:tcPr>
            <w:tcW w:w="5100" w:type="dxa"/>
            <w:vAlign w:val="bottom"/>
            <w:tcBorders>
              <w:bottom w:val="single" w:sz="8" w:color="7B7C80"/>
            </w:tcBorders>
            <w:gridSpan w:val="2"/>
            <w:shd w:val="clear" w:color="auto" w:fill="E7E6E7"/>
          </w:tcPr>
          <w:p>
            <w:pPr>
              <w:ind w:left="120"/>
              <w:spacing w:after="0" w:line="134" w:lineRule="exact"/>
              <w:rPr>
                <w:sz w:val="20"/>
                <w:szCs w:val="20"/>
                <w:color w:val="auto"/>
              </w:rPr>
            </w:pPr>
            <w:r>
              <w:rPr>
                <w:rFonts w:ascii="Arial" w:cs="Arial" w:eastAsia="Arial" w:hAnsi="Arial"/>
                <w:sz w:val="12"/>
                <w:szCs w:val="12"/>
                <w:color w:val="7B7C80"/>
              </w:rPr>
              <w:t>after-tax</w:t>
            </w:r>
          </w:p>
        </w:tc>
        <w:tc>
          <w:tcPr>
            <w:tcW w:w="220" w:type="dxa"/>
            <w:vAlign w:val="bottom"/>
            <w:tcBorders>
              <w:bottom w:val="single" w:sz="8" w:color="7B7C80"/>
            </w:tcBorders>
            <w:shd w:val="clear" w:color="auto" w:fill="E7E6E7"/>
          </w:tcPr>
          <w:p>
            <w:pPr>
              <w:spacing w:after="0"/>
              <w:rPr>
                <w:sz w:val="11"/>
                <w:szCs w:val="11"/>
                <w:color w:val="auto"/>
              </w:rPr>
            </w:pPr>
          </w:p>
        </w:tc>
        <w:tc>
          <w:tcPr>
            <w:tcW w:w="100" w:type="dxa"/>
            <w:vAlign w:val="bottom"/>
            <w:tcBorders>
              <w:bottom w:val="single" w:sz="8" w:color="7B7C80"/>
            </w:tcBorders>
            <w:shd w:val="clear" w:color="auto" w:fill="E7E6E7"/>
          </w:tcPr>
          <w:p>
            <w:pPr>
              <w:spacing w:after="0"/>
              <w:rPr>
                <w:sz w:val="11"/>
                <w:szCs w:val="11"/>
                <w:color w:val="auto"/>
              </w:rPr>
            </w:pPr>
          </w:p>
        </w:tc>
        <w:tc>
          <w:tcPr>
            <w:tcW w:w="500" w:type="dxa"/>
            <w:vAlign w:val="bottom"/>
            <w:tcBorders>
              <w:bottom w:val="single" w:sz="8" w:color="7B7C80"/>
            </w:tcBorders>
            <w:shd w:val="clear" w:color="auto" w:fill="E7E6E7"/>
          </w:tcPr>
          <w:p>
            <w:pPr>
              <w:jc w:val="right"/>
              <w:ind w:right="59"/>
              <w:spacing w:after="0" w:line="134" w:lineRule="exact"/>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59"/>
              <w:spacing w:after="0" w:line="134" w:lineRule="exact"/>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shd w:val="clear" w:color="auto" w:fill="E7E6E7"/>
          </w:tcPr>
          <w:p>
            <w:pPr>
              <w:spacing w:after="0"/>
              <w:rPr>
                <w:sz w:val="11"/>
                <w:szCs w:val="11"/>
                <w:color w:val="auto"/>
              </w:rPr>
            </w:pPr>
          </w:p>
        </w:tc>
        <w:tc>
          <w:tcPr>
            <w:tcW w:w="540" w:type="dxa"/>
            <w:vAlign w:val="bottom"/>
            <w:tcBorders>
              <w:bottom w:val="single" w:sz="8" w:color="7B7C80"/>
            </w:tcBorders>
            <w:shd w:val="clear" w:color="auto" w:fill="E7E6E7"/>
          </w:tcPr>
          <w:p>
            <w:pPr>
              <w:jc w:val="right"/>
              <w:ind w:right="59"/>
              <w:spacing w:after="0" w:line="134" w:lineRule="exact"/>
              <w:rPr>
                <w:sz w:val="20"/>
                <w:szCs w:val="20"/>
                <w:color w:val="auto"/>
              </w:rPr>
            </w:pPr>
            <w:r>
              <w:rPr>
                <w:rFonts w:ascii="Arial" w:cs="Arial" w:eastAsia="Arial" w:hAnsi="Arial"/>
                <w:sz w:val="12"/>
                <w:szCs w:val="12"/>
                <w:color w:val="7B7C80"/>
              </w:rPr>
              <w:t>0.1</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59"/>
              <w:spacing w:after="0" w:line="134" w:lineRule="exact"/>
              <w:rPr>
                <w:sz w:val="20"/>
                <w:szCs w:val="20"/>
                <w:color w:val="auto"/>
              </w:rPr>
            </w:pPr>
            <w:r>
              <w:rPr>
                <w:rFonts w:ascii="Arial" w:cs="Arial" w:eastAsia="Arial" w:hAnsi="Arial"/>
                <w:sz w:val="12"/>
                <w:szCs w:val="12"/>
                <w:color w:val="7B7C80"/>
              </w:rPr>
              <w:t>—</w:t>
            </w:r>
          </w:p>
        </w:tc>
        <w:tc>
          <w:tcPr>
            <w:tcW w:w="100" w:type="dxa"/>
            <w:vAlign w:val="bottom"/>
            <w:tcBorders>
              <w:bottom w:val="single" w:sz="8" w:color="7B7C80"/>
            </w:tcBorders>
            <w:shd w:val="clear" w:color="auto" w:fill="E7E6E7"/>
          </w:tcPr>
          <w:p>
            <w:pPr>
              <w:spacing w:after="0"/>
              <w:rPr>
                <w:sz w:val="11"/>
                <w:szCs w:val="11"/>
                <w:color w:val="auto"/>
              </w:rPr>
            </w:pPr>
          </w:p>
        </w:tc>
        <w:tc>
          <w:tcPr>
            <w:tcW w:w="580" w:type="dxa"/>
            <w:vAlign w:val="bottom"/>
            <w:tcBorders>
              <w:bottom w:val="single" w:sz="8" w:color="7B7C80"/>
            </w:tcBorders>
            <w:shd w:val="clear" w:color="auto" w:fill="E7E6E7"/>
          </w:tcPr>
          <w:p>
            <w:pPr>
              <w:jc w:val="right"/>
              <w:ind w:right="119"/>
              <w:spacing w:after="0" w:line="134" w:lineRule="exact"/>
              <w:rPr>
                <w:sz w:val="20"/>
                <w:szCs w:val="20"/>
                <w:color w:val="auto"/>
              </w:rPr>
            </w:pPr>
            <w:r>
              <w:rPr>
                <w:rFonts w:ascii="Arial" w:cs="Arial" w:eastAsia="Arial" w:hAnsi="Arial"/>
                <w:sz w:val="12"/>
                <w:szCs w:val="12"/>
                <w:color w:val="7B7C80"/>
              </w:rPr>
              <w:t>—</w:t>
            </w:r>
          </w:p>
        </w:tc>
        <w:tc>
          <w:tcPr>
            <w:tcW w:w="0" w:type="dxa"/>
            <w:vAlign w:val="bottom"/>
          </w:tcPr>
          <w:p>
            <w:pPr>
              <w:spacing w:after="0"/>
              <w:rPr>
                <w:sz w:val="1"/>
                <w:szCs w:val="1"/>
                <w:color w:val="auto"/>
              </w:rPr>
            </w:pPr>
          </w:p>
        </w:tc>
      </w:tr>
      <w:tr>
        <w:trPr>
          <w:trHeight w:val="129"/>
        </w:trPr>
        <w:tc>
          <w:tcPr>
            <w:tcW w:w="5100" w:type="dxa"/>
            <w:vAlign w:val="bottom"/>
            <w:gridSpan w:val="2"/>
          </w:tcPr>
          <w:p>
            <w:pPr>
              <w:spacing w:after="0" w:line="129" w:lineRule="exact"/>
              <w:rPr>
                <w:sz w:val="20"/>
                <w:szCs w:val="20"/>
                <w:color w:val="auto"/>
              </w:rPr>
            </w:pPr>
            <w:r>
              <w:rPr>
                <w:rFonts w:ascii="Arial" w:cs="Arial" w:eastAsia="Arial" w:hAnsi="Arial"/>
                <w:sz w:val="12"/>
                <w:szCs w:val="12"/>
                <w:color w:val="7B7C80"/>
              </w:rPr>
              <w:t>Total net realized capital gains (losses) after-tax adjustments</w:t>
            </w:r>
          </w:p>
        </w:tc>
        <w:tc>
          <w:tcPr>
            <w:tcW w:w="220" w:type="dxa"/>
            <w:vAlign w:val="bottom"/>
          </w:tcPr>
          <w:p>
            <w:pPr>
              <w:spacing w:after="0"/>
              <w:rPr>
                <w:sz w:val="11"/>
                <w:szCs w:val="11"/>
                <w:color w:val="auto"/>
              </w:rPr>
            </w:pPr>
          </w:p>
        </w:tc>
        <w:tc>
          <w:tcPr>
            <w:tcW w:w="600" w:type="dxa"/>
            <w:vAlign w:val="bottom"/>
            <w:gridSpan w:val="2"/>
          </w:tcPr>
          <w:p>
            <w:pPr>
              <w:jc w:val="right"/>
              <w:ind w:right="19"/>
              <w:spacing w:after="0" w:line="129" w:lineRule="exact"/>
              <w:rPr>
                <w:sz w:val="20"/>
                <w:szCs w:val="20"/>
                <w:color w:val="auto"/>
              </w:rPr>
            </w:pPr>
            <w:r>
              <w:rPr>
                <w:rFonts w:ascii="Arial" w:cs="Arial" w:eastAsia="Arial" w:hAnsi="Arial"/>
                <w:sz w:val="12"/>
                <w:szCs w:val="12"/>
                <w:color w:val="7B7C80"/>
              </w:rPr>
              <w:t>(216.9)</w:t>
            </w:r>
          </w:p>
        </w:tc>
        <w:tc>
          <w:tcPr>
            <w:tcW w:w="80" w:type="dxa"/>
            <w:vAlign w:val="bottom"/>
          </w:tcPr>
          <w:p>
            <w:pPr>
              <w:spacing w:after="0"/>
              <w:rPr>
                <w:sz w:val="11"/>
                <w:szCs w:val="11"/>
                <w:color w:val="auto"/>
              </w:rPr>
            </w:pPr>
          </w:p>
        </w:tc>
        <w:tc>
          <w:tcPr>
            <w:tcW w:w="600" w:type="dxa"/>
            <w:vAlign w:val="bottom"/>
          </w:tcPr>
          <w:p>
            <w:pPr>
              <w:jc w:val="right"/>
              <w:ind w:right="19"/>
              <w:spacing w:after="0" w:line="129" w:lineRule="exact"/>
              <w:rPr>
                <w:sz w:val="20"/>
                <w:szCs w:val="20"/>
                <w:color w:val="auto"/>
              </w:rPr>
            </w:pPr>
            <w:r>
              <w:rPr>
                <w:rFonts w:ascii="Arial" w:cs="Arial" w:eastAsia="Arial" w:hAnsi="Arial"/>
                <w:sz w:val="12"/>
                <w:szCs w:val="12"/>
                <w:color w:val="7B7C80"/>
              </w:rPr>
              <w:t>(133.7)</w:t>
            </w:r>
          </w:p>
        </w:tc>
        <w:tc>
          <w:tcPr>
            <w:tcW w:w="80" w:type="dxa"/>
            <w:vAlign w:val="bottom"/>
          </w:tcPr>
          <w:p>
            <w:pPr>
              <w:spacing w:after="0"/>
              <w:rPr>
                <w:sz w:val="11"/>
                <w:szCs w:val="11"/>
                <w:color w:val="auto"/>
              </w:rPr>
            </w:pPr>
          </w:p>
        </w:tc>
        <w:tc>
          <w:tcPr>
            <w:tcW w:w="540" w:type="dxa"/>
            <w:vAlign w:val="bottom"/>
          </w:tcPr>
          <w:p>
            <w:pPr>
              <w:jc w:val="right"/>
              <w:ind w:right="19"/>
              <w:spacing w:after="0" w:line="129" w:lineRule="exact"/>
              <w:rPr>
                <w:sz w:val="20"/>
                <w:szCs w:val="20"/>
                <w:color w:val="auto"/>
              </w:rPr>
            </w:pPr>
            <w:r>
              <w:rPr>
                <w:rFonts w:ascii="Arial" w:cs="Arial" w:eastAsia="Arial" w:hAnsi="Arial"/>
                <w:sz w:val="12"/>
                <w:szCs w:val="12"/>
                <w:color w:val="7B7C80"/>
              </w:rPr>
              <w:t>(82.7)</w:t>
            </w:r>
          </w:p>
        </w:tc>
        <w:tc>
          <w:tcPr>
            <w:tcW w:w="80" w:type="dxa"/>
            <w:vAlign w:val="bottom"/>
          </w:tcPr>
          <w:p>
            <w:pPr>
              <w:spacing w:after="0"/>
              <w:rPr>
                <w:sz w:val="11"/>
                <w:szCs w:val="11"/>
                <w:color w:val="auto"/>
              </w:rPr>
            </w:pPr>
          </w:p>
        </w:tc>
        <w:tc>
          <w:tcPr>
            <w:tcW w:w="600" w:type="dxa"/>
            <w:vAlign w:val="bottom"/>
          </w:tcPr>
          <w:p>
            <w:pPr>
              <w:jc w:val="right"/>
              <w:ind w:right="19"/>
              <w:spacing w:after="0" w:line="129" w:lineRule="exact"/>
              <w:rPr>
                <w:sz w:val="20"/>
                <w:szCs w:val="20"/>
                <w:color w:val="auto"/>
              </w:rPr>
            </w:pPr>
            <w:r>
              <w:rPr>
                <w:rFonts w:ascii="Arial" w:cs="Arial" w:eastAsia="Arial" w:hAnsi="Arial"/>
                <w:sz w:val="12"/>
                <w:szCs w:val="12"/>
                <w:color w:val="7B7C80"/>
              </w:rPr>
              <w:t>(115.2)</w:t>
            </w:r>
          </w:p>
        </w:tc>
        <w:tc>
          <w:tcPr>
            <w:tcW w:w="100" w:type="dxa"/>
            <w:vAlign w:val="bottom"/>
          </w:tcPr>
          <w:p>
            <w:pPr>
              <w:spacing w:after="0"/>
              <w:rPr>
                <w:sz w:val="11"/>
                <w:szCs w:val="11"/>
                <w:color w:val="auto"/>
              </w:rPr>
            </w:pPr>
          </w:p>
        </w:tc>
        <w:tc>
          <w:tcPr>
            <w:tcW w:w="580" w:type="dxa"/>
            <w:vAlign w:val="bottom"/>
          </w:tcPr>
          <w:p>
            <w:pPr>
              <w:jc w:val="right"/>
              <w:ind w:right="119"/>
              <w:spacing w:after="0" w:line="129" w:lineRule="exact"/>
              <w:rPr>
                <w:sz w:val="20"/>
                <w:szCs w:val="20"/>
                <w:color w:val="auto"/>
              </w:rPr>
            </w:pPr>
            <w:r>
              <w:rPr>
                <w:rFonts w:ascii="Arial" w:cs="Arial" w:eastAsia="Arial" w:hAnsi="Arial"/>
                <w:sz w:val="12"/>
                <w:szCs w:val="12"/>
                <w:color w:val="7B7C80"/>
              </w:rPr>
              <w:t>46.1</w:t>
            </w:r>
          </w:p>
        </w:tc>
        <w:tc>
          <w:tcPr>
            <w:tcW w:w="0" w:type="dxa"/>
            <w:vAlign w:val="bottom"/>
          </w:tcPr>
          <w:p>
            <w:pPr>
              <w:spacing w:after="0"/>
              <w:rPr>
                <w:sz w:val="1"/>
                <w:szCs w:val="1"/>
                <w:color w:val="auto"/>
              </w:rPr>
            </w:pPr>
          </w:p>
        </w:tc>
      </w:tr>
      <w:tr>
        <w:trPr>
          <w:trHeight w:val="137"/>
        </w:trPr>
        <w:tc>
          <w:tcPr>
            <w:tcW w:w="5100" w:type="dxa"/>
            <w:vAlign w:val="bottom"/>
            <w:tcBorders>
              <w:bottom w:val="single" w:sz="8" w:color="7B7C80"/>
            </w:tcBorders>
            <w:gridSpan w:val="2"/>
            <w:shd w:val="clear" w:color="auto" w:fill="E7E6E7"/>
          </w:tcPr>
          <w:p>
            <w:pPr>
              <w:spacing w:after="0"/>
              <w:rPr>
                <w:sz w:val="20"/>
                <w:szCs w:val="20"/>
                <w:color w:val="auto"/>
              </w:rPr>
            </w:pPr>
            <w:r>
              <w:rPr>
                <w:rFonts w:ascii="Arial" w:cs="Arial" w:eastAsia="Arial" w:hAnsi="Arial"/>
                <w:sz w:val="12"/>
                <w:szCs w:val="12"/>
                <w:color w:val="7B7C80"/>
              </w:rPr>
              <w:t>Net realized capital gains (losses), as adjusted</w:t>
            </w:r>
          </w:p>
        </w:tc>
        <w:tc>
          <w:tcPr>
            <w:tcW w:w="2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00" w:type="dxa"/>
            <w:vAlign w:val="bottom"/>
            <w:tcBorders>
              <w:bottom w:val="single" w:sz="8" w:color="7B7C80"/>
            </w:tcBorders>
            <w:gridSpan w:val="2"/>
            <w:shd w:val="clear" w:color="auto" w:fill="E7E6E7"/>
          </w:tcPr>
          <w:p>
            <w:pPr>
              <w:jc w:val="right"/>
              <w:ind w:right="59"/>
              <w:spacing w:after="0"/>
              <w:rPr>
                <w:sz w:val="20"/>
                <w:szCs w:val="20"/>
                <w:color w:val="auto"/>
              </w:rPr>
            </w:pPr>
            <w:r>
              <w:rPr>
                <w:rFonts w:ascii="Arial" w:cs="Arial" w:eastAsia="Arial" w:hAnsi="Arial"/>
                <w:sz w:val="12"/>
                <w:szCs w:val="12"/>
                <w:color w:val="7B7C80"/>
              </w:rPr>
              <w:t>307.3</w:t>
            </w:r>
          </w:p>
        </w:tc>
        <w:tc>
          <w:tcPr>
            <w:tcW w:w="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shd w:val="clear" w:color="auto" w:fill="E7E6E7"/>
          </w:tcPr>
          <w:p>
            <w:pPr>
              <w:jc w:val="right"/>
              <w:ind w:right="59"/>
              <w:spacing w:after="0"/>
              <w:rPr>
                <w:sz w:val="20"/>
                <w:szCs w:val="20"/>
                <w:color w:val="auto"/>
              </w:rPr>
            </w:pPr>
            <w:r>
              <w:rPr>
                <w:rFonts w:ascii="Arial" w:cs="Arial" w:eastAsia="Arial" w:hAnsi="Arial"/>
                <w:sz w:val="12"/>
                <w:szCs w:val="12"/>
                <w:color w:val="7B7C80"/>
              </w:rPr>
              <w:t>37.4</w:t>
            </w:r>
          </w:p>
        </w:tc>
        <w:tc>
          <w:tcPr>
            <w:tcW w:w="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w w:val="89"/>
              </w:rPr>
              <w:t>$</w:t>
            </w:r>
          </w:p>
        </w:tc>
        <w:tc>
          <w:tcPr>
            <w:tcW w:w="540" w:type="dxa"/>
            <w:vAlign w:val="bottom"/>
            <w:tcBorders>
              <w:bottom w:val="single" w:sz="8" w:color="7B7C80"/>
            </w:tcBorders>
            <w:shd w:val="clear" w:color="auto" w:fill="E7E6E7"/>
          </w:tcPr>
          <w:p>
            <w:pPr>
              <w:jc w:val="right"/>
              <w:ind w:right="19"/>
              <w:spacing w:after="0"/>
              <w:rPr>
                <w:sz w:val="20"/>
                <w:szCs w:val="20"/>
                <w:color w:val="auto"/>
              </w:rPr>
            </w:pPr>
            <w:r>
              <w:rPr>
                <w:rFonts w:ascii="Arial" w:cs="Arial" w:eastAsia="Arial" w:hAnsi="Arial"/>
                <w:sz w:val="12"/>
                <w:szCs w:val="12"/>
                <w:color w:val="7B7C80"/>
              </w:rPr>
              <w:t>(133.8)</w:t>
            </w:r>
          </w:p>
        </w:tc>
        <w:tc>
          <w:tcPr>
            <w:tcW w:w="8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shd w:val="clear" w:color="auto" w:fill="E7E6E7"/>
          </w:tcPr>
          <w:p>
            <w:pPr>
              <w:jc w:val="right"/>
              <w:ind w:right="19"/>
              <w:spacing w:after="0"/>
              <w:rPr>
                <w:sz w:val="20"/>
                <w:szCs w:val="20"/>
                <w:color w:val="auto"/>
              </w:rPr>
            </w:pPr>
            <w:r>
              <w:rPr>
                <w:rFonts w:ascii="Arial" w:cs="Arial" w:eastAsia="Arial" w:hAnsi="Arial"/>
                <w:sz w:val="12"/>
                <w:szCs w:val="12"/>
                <w:color w:val="7B7C80"/>
              </w:rPr>
              <w:t>(100.5)</w:t>
            </w:r>
          </w:p>
        </w:tc>
        <w:tc>
          <w:tcPr>
            <w:tcW w:w="10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79"/>
              <w:spacing w:after="0"/>
              <w:rPr>
                <w:sz w:val="20"/>
                <w:szCs w:val="20"/>
                <w:color w:val="auto"/>
              </w:rPr>
            </w:pPr>
            <w:r>
              <w:rPr>
                <w:rFonts w:ascii="Arial" w:cs="Arial" w:eastAsia="Arial" w:hAnsi="Arial"/>
                <w:sz w:val="12"/>
                <w:szCs w:val="12"/>
                <w:color w:val="7B7C80"/>
              </w:rPr>
              <w:t>(179.1)</w:t>
            </w:r>
          </w:p>
        </w:tc>
        <w:tc>
          <w:tcPr>
            <w:tcW w:w="0" w:type="dxa"/>
            <w:vAlign w:val="bottom"/>
          </w:tcPr>
          <w:p>
            <w:pPr>
              <w:spacing w:after="0"/>
              <w:rPr>
                <w:sz w:val="1"/>
                <w:szCs w:val="1"/>
                <w:color w:val="auto"/>
              </w:rPr>
            </w:pPr>
          </w:p>
        </w:tc>
      </w:tr>
      <w:tr>
        <w:trPr>
          <w:trHeight w:val="129"/>
        </w:trPr>
        <w:tc>
          <w:tcPr>
            <w:tcW w:w="5100" w:type="dxa"/>
            <w:vAlign w:val="bottom"/>
            <w:gridSpan w:val="2"/>
          </w:tcPr>
          <w:p>
            <w:pPr>
              <w:spacing w:after="0" w:line="129" w:lineRule="exact"/>
              <w:rPr>
                <w:sz w:val="20"/>
                <w:szCs w:val="20"/>
                <w:color w:val="auto"/>
              </w:rPr>
            </w:pPr>
            <w:r>
              <w:rPr>
                <w:rFonts w:ascii="Arial" w:cs="Arial" w:eastAsia="Arial" w:hAnsi="Arial"/>
                <w:sz w:val="12"/>
                <w:szCs w:val="12"/>
                <w:b w:val="1"/>
                <w:bCs w:val="1"/>
                <w:color w:val="7B7C80"/>
              </w:rPr>
              <w:t>Diluted earnings per common share</w:t>
            </w: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Net income</w:t>
            </w:r>
          </w:p>
        </w:tc>
        <w:tc>
          <w:tcPr>
            <w:tcW w:w="22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00" w:type="dxa"/>
            <w:vAlign w:val="bottom"/>
            <w:gridSpan w:val="2"/>
            <w:shd w:val="clear" w:color="auto" w:fill="E7E6E7"/>
          </w:tcPr>
          <w:p>
            <w:pPr>
              <w:jc w:val="right"/>
              <w:ind w:right="59"/>
              <w:spacing w:after="0"/>
              <w:rPr>
                <w:sz w:val="20"/>
                <w:szCs w:val="20"/>
                <w:color w:val="auto"/>
              </w:rPr>
            </w:pPr>
            <w:r>
              <w:rPr>
                <w:rFonts w:ascii="Arial" w:cs="Arial" w:eastAsia="Arial" w:hAnsi="Arial"/>
                <w:sz w:val="12"/>
                <w:szCs w:val="12"/>
                <w:color w:val="7B7C80"/>
              </w:rPr>
              <w:t>7.88</w:t>
            </w:r>
          </w:p>
        </w:tc>
        <w:tc>
          <w:tcPr>
            <w:tcW w:w="80" w:type="dxa"/>
            <w:vAlign w:val="bottom"/>
            <w:shd w:val="clear" w:color="auto" w:fill="E7E6E7"/>
          </w:tcPr>
          <w:p>
            <w:pPr>
              <w:jc w:val="right"/>
              <w:spacing w:after="0"/>
              <w:rPr>
                <w:sz w:val="20"/>
                <w:szCs w:val="20"/>
                <w:color w:val="auto"/>
              </w:rPr>
            </w:pPr>
            <w:r>
              <w:rPr>
                <w:rFonts w:ascii="Arial" w:cs="Arial" w:eastAsia="Arial" w:hAnsi="Arial"/>
                <w:sz w:val="12"/>
                <w:szCs w:val="12"/>
                <w:color w:val="7B7C80"/>
                <w:w w:val="89"/>
              </w:rPr>
              <w:t>$</w:t>
            </w: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4.50</w:t>
            </w:r>
          </w:p>
        </w:tc>
        <w:tc>
          <w:tcPr>
            <w:tcW w:w="80" w:type="dxa"/>
            <w:vAlign w:val="bottom"/>
            <w:shd w:val="clear" w:color="auto" w:fill="E7E6E7"/>
          </w:tcPr>
          <w:p>
            <w:pPr>
              <w:jc w:val="right"/>
              <w:spacing w:after="0"/>
              <w:rPr>
                <w:sz w:val="20"/>
                <w:szCs w:val="20"/>
                <w:color w:val="auto"/>
              </w:rPr>
            </w:pPr>
            <w:r>
              <w:rPr>
                <w:rFonts w:ascii="Arial" w:cs="Arial" w:eastAsia="Arial" w:hAnsi="Arial"/>
                <w:sz w:val="12"/>
                <w:szCs w:val="12"/>
                <w:color w:val="7B7C80"/>
                <w:w w:val="89"/>
              </w:rPr>
              <w:t>$</w:t>
            </w:r>
          </w:p>
        </w:tc>
        <w:tc>
          <w:tcPr>
            <w:tcW w:w="54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4.06</w:t>
            </w:r>
          </w:p>
        </w:tc>
        <w:tc>
          <w:tcPr>
            <w:tcW w:w="80" w:type="dxa"/>
            <w:vAlign w:val="bottom"/>
            <w:shd w:val="clear" w:color="auto" w:fill="E7E6E7"/>
          </w:tcPr>
          <w:p>
            <w:pPr>
              <w:jc w:val="right"/>
              <w:spacing w:after="0"/>
              <w:rPr>
                <w:sz w:val="20"/>
                <w:szCs w:val="20"/>
                <w:color w:val="auto"/>
              </w:rPr>
            </w:pPr>
            <w:r>
              <w:rPr>
                <w:rFonts w:ascii="Arial" w:cs="Arial" w:eastAsia="Arial" w:hAnsi="Arial"/>
                <w:sz w:val="12"/>
                <w:szCs w:val="12"/>
                <w:color w:val="7B7C80"/>
                <w:w w:val="89"/>
              </w:rPr>
              <w:t>$</w:t>
            </w: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3.65</w:t>
            </w:r>
          </w:p>
        </w:tc>
        <w:tc>
          <w:tcPr>
            <w:tcW w:w="10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2.95</w:t>
            </w: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Net realized capital (gains) losses, as adjusted</w:t>
            </w:r>
          </w:p>
        </w:tc>
        <w:tc>
          <w:tcPr>
            <w:tcW w:w="220" w:type="dxa"/>
            <w:vAlign w:val="bottom"/>
          </w:tcPr>
          <w:p>
            <w:pPr>
              <w:spacing w:after="0"/>
              <w:rPr>
                <w:sz w:val="11"/>
                <w:szCs w:val="11"/>
                <w:color w:val="auto"/>
              </w:rPr>
            </w:pPr>
          </w:p>
        </w:tc>
        <w:tc>
          <w:tcPr>
            <w:tcW w:w="600" w:type="dxa"/>
            <w:vAlign w:val="bottom"/>
            <w:gridSpan w:val="2"/>
          </w:tcPr>
          <w:p>
            <w:pPr>
              <w:jc w:val="right"/>
              <w:ind w:right="19"/>
              <w:spacing w:after="0"/>
              <w:rPr>
                <w:sz w:val="20"/>
                <w:szCs w:val="20"/>
                <w:color w:val="auto"/>
              </w:rPr>
            </w:pPr>
            <w:r>
              <w:rPr>
                <w:rFonts w:ascii="Arial" w:cs="Arial" w:eastAsia="Arial" w:hAnsi="Arial"/>
                <w:sz w:val="12"/>
                <w:szCs w:val="12"/>
                <w:color w:val="7B7C80"/>
              </w:rPr>
              <w:t>(1.05)</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(0.13)</w:t>
            </w:r>
          </w:p>
        </w:tc>
        <w:tc>
          <w:tcPr>
            <w:tcW w:w="80" w:type="dxa"/>
            <w:vAlign w:val="bottom"/>
          </w:tcPr>
          <w:p>
            <w:pPr>
              <w:spacing w:after="0"/>
              <w:rPr>
                <w:sz w:val="11"/>
                <w:szCs w:val="11"/>
                <w:color w:val="auto"/>
              </w:rPr>
            </w:pPr>
          </w:p>
        </w:tc>
        <w:tc>
          <w:tcPr>
            <w:tcW w:w="540" w:type="dxa"/>
            <w:vAlign w:val="bottom"/>
          </w:tcPr>
          <w:p>
            <w:pPr>
              <w:jc w:val="right"/>
              <w:ind w:right="59"/>
              <w:spacing w:after="0"/>
              <w:rPr>
                <w:sz w:val="20"/>
                <w:szCs w:val="20"/>
                <w:color w:val="auto"/>
              </w:rPr>
            </w:pPr>
            <w:r>
              <w:rPr>
                <w:rFonts w:ascii="Arial" w:cs="Arial" w:eastAsia="Arial" w:hAnsi="Arial"/>
                <w:sz w:val="12"/>
                <w:szCs w:val="12"/>
                <w:color w:val="7B7C80"/>
              </w:rPr>
              <w:t>0.44</w:t>
            </w:r>
          </w:p>
        </w:tc>
        <w:tc>
          <w:tcPr>
            <w:tcW w:w="80" w:type="dxa"/>
            <w:vAlign w:val="bottom"/>
          </w:tcPr>
          <w:p>
            <w:pPr>
              <w:spacing w:after="0"/>
              <w:rPr>
                <w:sz w:val="11"/>
                <w:szCs w:val="11"/>
                <w:color w:val="auto"/>
              </w:rPr>
            </w:pPr>
          </w:p>
        </w:tc>
        <w:tc>
          <w:tcPr>
            <w:tcW w:w="600" w:type="dxa"/>
            <w:vAlign w:val="bottom"/>
          </w:tcPr>
          <w:p>
            <w:pPr>
              <w:jc w:val="right"/>
              <w:ind w:right="59"/>
              <w:spacing w:after="0"/>
              <w:rPr>
                <w:sz w:val="20"/>
                <w:szCs w:val="20"/>
                <w:color w:val="auto"/>
              </w:rPr>
            </w:pPr>
            <w:r>
              <w:rPr>
                <w:rFonts w:ascii="Arial" w:cs="Arial" w:eastAsia="Arial" w:hAnsi="Arial"/>
                <w:sz w:val="12"/>
                <w:szCs w:val="12"/>
                <w:color w:val="7B7C80"/>
              </w:rPr>
              <w:t>0.34</w:t>
            </w:r>
          </w:p>
        </w:tc>
        <w:tc>
          <w:tcPr>
            <w:tcW w:w="100" w:type="dxa"/>
            <w:vAlign w:val="bottom"/>
          </w:tcPr>
          <w:p>
            <w:pPr>
              <w:spacing w:after="0"/>
              <w:rPr>
                <w:sz w:val="11"/>
                <w:szCs w:val="11"/>
                <w:color w:val="auto"/>
              </w:rPr>
            </w:pPr>
          </w:p>
        </w:tc>
        <w:tc>
          <w:tcPr>
            <w:tcW w:w="580" w:type="dxa"/>
            <w:vAlign w:val="bottom"/>
          </w:tcPr>
          <w:p>
            <w:pPr>
              <w:jc w:val="right"/>
              <w:ind w:right="119"/>
              <w:spacing w:after="0"/>
              <w:rPr>
                <w:sz w:val="20"/>
                <w:szCs w:val="20"/>
                <w:color w:val="auto"/>
              </w:rPr>
            </w:pPr>
            <w:r>
              <w:rPr>
                <w:rFonts w:ascii="Arial" w:cs="Arial" w:eastAsia="Arial" w:hAnsi="Arial"/>
                <w:sz w:val="12"/>
                <w:szCs w:val="12"/>
                <w:color w:val="7B7C80"/>
              </w:rPr>
              <w:t>0.60</w:t>
            </w: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Other after-tax adjustments</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ind w:right="19"/>
              <w:spacing w:after="0"/>
              <w:rPr>
                <w:sz w:val="20"/>
                <w:szCs w:val="20"/>
                <w:color w:val="auto"/>
              </w:rPr>
            </w:pPr>
            <w:r>
              <w:rPr>
                <w:rFonts w:ascii="Arial" w:cs="Arial" w:eastAsia="Arial" w:hAnsi="Arial"/>
                <w:sz w:val="12"/>
                <w:szCs w:val="12"/>
                <w:color w:val="7B7C80"/>
              </w:rPr>
              <w:t>(1.79)</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0.18</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ind w:right="19"/>
              <w:spacing w:after="0"/>
              <w:rPr>
                <w:sz w:val="20"/>
                <w:szCs w:val="20"/>
                <w:color w:val="auto"/>
              </w:rPr>
            </w:pPr>
            <w:r>
              <w:rPr>
                <w:rFonts w:ascii="Arial" w:cs="Arial" w:eastAsia="Arial" w:hAnsi="Arial"/>
                <w:sz w:val="12"/>
                <w:szCs w:val="12"/>
                <w:color w:val="7B7C80"/>
              </w:rPr>
              <w:t>(0.24)</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0.36</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w:t>
            </w:r>
          </w:p>
        </w:tc>
        <w:tc>
          <w:tcPr>
            <w:tcW w:w="0" w:type="dxa"/>
            <w:vAlign w:val="bottom"/>
          </w:tcPr>
          <w:p>
            <w:pPr>
              <w:spacing w:after="0"/>
              <w:rPr>
                <w:sz w:val="1"/>
                <w:szCs w:val="1"/>
                <w:color w:val="auto"/>
              </w:rPr>
            </w:pPr>
          </w:p>
        </w:tc>
      </w:tr>
      <w:tr>
        <w:trPr>
          <w:trHeight w:val="137"/>
        </w:trPr>
        <w:tc>
          <w:tcPr>
            <w:tcW w:w="5100" w:type="dxa"/>
            <w:vAlign w:val="bottom"/>
            <w:tcBorders>
              <w:bottom w:val="single" w:sz="8" w:color="7B7C80"/>
            </w:tcBorders>
            <w:gridSpan w:val="2"/>
          </w:tcPr>
          <w:p>
            <w:pPr>
              <w:spacing w:after="0"/>
              <w:rPr>
                <w:sz w:val="20"/>
                <w:szCs w:val="20"/>
                <w:color w:val="auto"/>
              </w:rPr>
            </w:pPr>
            <w:r>
              <w:rPr>
                <w:rFonts w:ascii="Arial" w:cs="Arial" w:eastAsia="Arial" w:hAnsi="Arial"/>
                <w:sz w:val="12"/>
                <w:szCs w:val="12"/>
                <w:color w:val="7B7C80"/>
              </w:rPr>
              <w:t>Adjustment for redeemable noncontrolling interest</w:t>
            </w:r>
          </w:p>
        </w:tc>
        <w:tc>
          <w:tcPr>
            <w:tcW w:w="220" w:type="dxa"/>
            <w:vAlign w:val="bottom"/>
            <w:tcBorders>
              <w:bottom w:val="single" w:sz="8" w:color="7B7C80"/>
            </w:tcBorders>
          </w:tcPr>
          <w:p>
            <w:pPr>
              <w:spacing w:after="0"/>
              <w:rPr>
                <w:sz w:val="11"/>
                <w:szCs w:val="11"/>
                <w:color w:val="auto"/>
              </w:rPr>
            </w:pPr>
          </w:p>
        </w:tc>
        <w:tc>
          <w:tcPr>
            <w:tcW w:w="100" w:type="dxa"/>
            <w:vAlign w:val="bottom"/>
            <w:tcBorders>
              <w:bottom w:val="single" w:sz="8" w:color="7B7C80"/>
            </w:tcBorders>
          </w:tcPr>
          <w:p>
            <w:pPr>
              <w:spacing w:after="0"/>
              <w:rPr>
                <w:sz w:val="11"/>
                <w:szCs w:val="11"/>
                <w:color w:val="auto"/>
              </w:rPr>
            </w:pPr>
          </w:p>
        </w:tc>
        <w:tc>
          <w:tcPr>
            <w:tcW w:w="500" w:type="dxa"/>
            <w:vAlign w:val="bottom"/>
            <w:tcBorders>
              <w:bottom w:val="single" w:sz="8" w:color="7B7C80"/>
            </w:tcBorders>
          </w:tcPr>
          <w:p>
            <w:pPr>
              <w:jc w:val="right"/>
              <w:ind w:right="59"/>
              <w:spacing w:after="0"/>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59"/>
              <w:spacing w:after="0"/>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tcPr>
          <w:p>
            <w:pPr>
              <w:spacing w:after="0"/>
              <w:rPr>
                <w:sz w:val="11"/>
                <w:szCs w:val="11"/>
                <w:color w:val="auto"/>
              </w:rPr>
            </w:pPr>
          </w:p>
        </w:tc>
        <w:tc>
          <w:tcPr>
            <w:tcW w:w="540" w:type="dxa"/>
            <w:vAlign w:val="bottom"/>
            <w:tcBorders>
              <w:bottom w:val="single" w:sz="8" w:color="7B7C80"/>
            </w:tcBorders>
          </w:tcPr>
          <w:p>
            <w:pPr>
              <w:jc w:val="right"/>
              <w:ind w:right="59"/>
              <w:spacing w:after="0"/>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59"/>
              <w:spacing w:after="0"/>
              <w:rPr>
                <w:sz w:val="20"/>
                <w:szCs w:val="20"/>
                <w:color w:val="auto"/>
              </w:rPr>
            </w:pPr>
            <w:r>
              <w:rPr>
                <w:rFonts w:ascii="Arial" w:cs="Arial" w:eastAsia="Arial" w:hAnsi="Arial"/>
                <w:sz w:val="12"/>
                <w:szCs w:val="12"/>
                <w:color w:val="7B7C80"/>
              </w:rPr>
              <w:t>0.06</w:t>
            </w:r>
          </w:p>
        </w:tc>
        <w:tc>
          <w:tcPr>
            <w:tcW w:w="100" w:type="dxa"/>
            <w:vAlign w:val="bottom"/>
            <w:tcBorders>
              <w:bottom w:val="single" w:sz="8" w:color="7B7C80"/>
            </w:tcBorders>
          </w:tcPr>
          <w:p>
            <w:pPr>
              <w:spacing w:after="0"/>
              <w:rPr>
                <w:sz w:val="11"/>
                <w:szCs w:val="11"/>
                <w:color w:val="auto"/>
              </w:rPr>
            </w:pPr>
          </w:p>
        </w:tc>
        <w:tc>
          <w:tcPr>
            <w:tcW w:w="580" w:type="dxa"/>
            <w:vAlign w:val="bottom"/>
            <w:tcBorders>
              <w:bottom w:val="single" w:sz="8" w:color="7B7C80"/>
            </w:tcBorders>
          </w:tcPr>
          <w:p>
            <w:pPr>
              <w:jc w:val="right"/>
              <w:ind w:right="119"/>
              <w:spacing w:after="0"/>
              <w:rPr>
                <w:sz w:val="20"/>
                <w:szCs w:val="20"/>
                <w:color w:val="auto"/>
              </w:rPr>
            </w:pPr>
            <w:r>
              <w:rPr>
                <w:rFonts w:ascii="Arial" w:cs="Arial" w:eastAsia="Arial" w:hAnsi="Arial"/>
                <w:sz w:val="12"/>
                <w:szCs w:val="12"/>
                <w:color w:val="7B7C80"/>
              </w:rPr>
              <w:t>—</w:t>
            </w:r>
          </w:p>
        </w:tc>
        <w:tc>
          <w:tcPr>
            <w:tcW w:w="0" w:type="dxa"/>
            <w:vAlign w:val="bottom"/>
          </w:tcPr>
          <w:p>
            <w:pPr>
              <w:spacing w:after="0"/>
              <w:rPr>
                <w:sz w:val="1"/>
                <w:szCs w:val="1"/>
                <w:color w:val="auto"/>
              </w:rPr>
            </w:pPr>
          </w:p>
        </w:tc>
      </w:tr>
      <w:tr>
        <w:trPr>
          <w:trHeight w:val="129"/>
        </w:trPr>
        <w:tc>
          <w:tcPr>
            <w:tcW w:w="5100" w:type="dxa"/>
            <w:vAlign w:val="bottom"/>
            <w:tcBorders>
              <w:bottom w:val="single" w:sz="8" w:color="7B7C80"/>
            </w:tcBorders>
            <w:gridSpan w:val="2"/>
            <w:shd w:val="clear" w:color="auto" w:fill="E7E6E7"/>
          </w:tcPr>
          <w:p>
            <w:pPr>
              <w:spacing w:after="0" w:line="129" w:lineRule="exact"/>
              <w:rPr>
                <w:sz w:val="20"/>
                <w:szCs w:val="20"/>
                <w:color w:val="auto"/>
              </w:rPr>
            </w:pPr>
            <w:r>
              <w:rPr>
                <w:rFonts w:ascii="Arial" w:cs="Arial" w:eastAsia="Arial" w:hAnsi="Arial"/>
                <w:sz w:val="12"/>
                <w:szCs w:val="12"/>
                <w:color w:val="7B7C80"/>
              </w:rPr>
              <w:t>Non-GAAP operating earnings</w:t>
            </w:r>
          </w:p>
        </w:tc>
        <w:tc>
          <w:tcPr>
            <w:tcW w:w="22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7B7C80"/>
            </w:tcBorders>
            <w:gridSpan w:val="2"/>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rPr>
              <w:t>5.04</w:t>
            </w:r>
          </w:p>
        </w:tc>
        <w:tc>
          <w:tcPr>
            <w:tcW w:w="8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rPr>
              <w:t>4.55</w:t>
            </w:r>
          </w:p>
        </w:tc>
        <w:tc>
          <w:tcPr>
            <w:tcW w:w="8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w w:val="89"/>
              </w:rPr>
              <w:t>$</w:t>
            </w:r>
          </w:p>
        </w:tc>
        <w:tc>
          <w:tcPr>
            <w:tcW w:w="540" w:type="dxa"/>
            <w:vAlign w:val="bottom"/>
            <w:tcBorders>
              <w:bottom w:val="single" w:sz="8" w:color="7B7C80"/>
            </w:tcBorders>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rPr>
              <w:t>4.26</w:t>
            </w:r>
          </w:p>
        </w:tc>
        <w:tc>
          <w:tcPr>
            <w:tcW w:w="8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rPr>
              <w:t>4.41</w:t>
            </w:r>
          </w:p>
        </w:tc>
        <w:tc>
          <w:tcPr>
            <w:tcW w:w="100" w:type="dxa"/>
            <w:vAlign w:val="bottom"/>
            <w:tcBorders>
              <w:bottom w:val="single" w:sz="8" w:color="7B7C80"/>
            </w:tcBorders>
            <w:shd w:val="clear" w:color="auto" w:fill="E7E6E7"/>
          </w:tcPr>
          <w:p>
            <w:pPr>
              <w:jc w:val="right"/>
              <w:spacing w:after="0" w:line="129"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119"/>
              <w:spacing w:after="0" w:line="129" w:lineRule="exact"/>
              <w:rPr>
                <w:sz w:val="20"/>
                <w:szCs w:val="20"/>
                <w:color w:val="auto"/>
              </w:rPr>
            </w:pPr>
            <w:r>
              <w:rPr>
                <w:rFonts w:ascii="Arial" w:cs="Arial" w:eastAsia="Arial" w:hAnsi="Arial"/>
                <w:sz w:val="12"/>
                <w:szCs w:val="12"/>
                <w:color w:val="7B7C80"/>
              </w:rPr>
              <w:t>3.55</w:t>
            </w:r>
          </w:p>
        </w:tc>
        <w:tc>
          <w:tcPr>
            <w:tcW w:w="0" w:type="dxa"/>
            <w:vAlign w:val="bottom"/>
          </w:tcPr>
          <w:p>
            <w:pPr>
              <w:spacing w:after="0"/>
              <w:rPr>
                <w:sz w:val="1"/>
                <w:szCs w:val="1"/>
                <w:color w:val="auto"/>
              </w:rPr>
            </w:pPr>
          </w:p>
        </w:tc>
      </w:tr>
      <w:tr>
        <w:trPr>
          <w:trHeight w:val="129"/>
        </w:trPr>
        <w:tc>
          <w:tcPr>
            <w:tcW w:w="5100" w:type="dxa"/>
            <w:vAlign w:val="bottom"/>
            <w:gridSpan w:val="2"/>
          </w:tcPr>
          <w:p>
            <w:pPr>
              <w:spacing w:after="0" w:line="129" w:lineRule="exact"/>
              <w:rPr>
                <w:sz w:val="20"/>
                <w:szCs w:val="20"/>
                <w:color w:val="auto"/>
              </w:rPr>
            </w:pPr>
            <w:r>
              <w:rPr>
                <w:rFonts w:ascii="Arial" w:cs="Arial" w:eastAsia="Arial" w:hAnsi="Arial"/>
                <w:sz w:val="12"/>
                <w:szCs w:val="12"/>
                <w:b w:val="1"/>
                <w:bCs w:val="1"/>
                <w:color w:val="7B7C80"/>
              </w:rPr>
              <w:t>Stockholders' equity</w:t>
            </w: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Stockholders' equity</w:t>
            </w:r>
          </w:p>
        </w:tc>
        <w:tc>
          <w:tcPr>
            <w:tcW w:w="820" w:type="dxa"/>
            <w:vAlign w:val="bottom"/>
            <w:gridSpan w:val="3"/>
            <w:shd w:val="clear" w:color="auto" w:fill="E7E6E7"/>
          </w:tcPr>
          <w:p>
            <w:pPr>
              <w:jc w:val="right"/>
              <w:ind w:right="59"/>
              <w:spacing w:after="0"/>
              <w:rPr>
                <w:sz w:val="20"/>
                <w:szCs w:val="20"/>
                <w:color w:val="auto"/>
              </w:rPr>
            </w:pPr>
            <w:r>
              <w:rPr>
                <w:rFonts w:ascii="Arial" w:cs="Arial" w:eastAsia="Arial" w:hAnsi="Arial"/>
                <w:sz w:val="12"/>
                <w:szCs w:val="12"/>
                <w:color w:val="7B7C80"/>
              </w:rPr>
              <w:t>$12,921.9</w:t>
            </w:r>
          </w:p>
        </w:tc>
        <w:tc>
          <w:tcPr>
            <w:tcW w:w="680" w:type="dxa"/>
            <w:vAlign w:val="bottom"/>
            <w:gridSpan w:val="2"/>
            <w:shd w:val="clear" w:color="auto" w:fill="E7E6E7"/>
          </w:tcPr>
          <w:p>
            <w:pPr>
              <w:jc w:val="right"/>
              <w:ind w:right="59"/>
              <w:spacing w:after="0"/>
              <w:rPr>
                <w:sz w:val="20"/>
                <w:szCs w:val="20"/>
                <w:color w:val="auto"/>
              </w:rPr>
            </w:pPr>
            <w:r>
              <w:rPr>
                <w:rFonts w:ascii="Arial" w:cs="Arial" w:eastAsia="Arial" w:hAnsi="Arial"/>
                <w:sz w:val="12"/>
                <w:szCs w:val="12"/>
                <w:color w:val="7B7C80"/>
              </w:rPr>
              <w:t>$10,293.8</w:t>
            </w:r>
          </w:p>
        </w:tc>
        <w:tc>
          <w:tcPr>
            <w:tcW w:w="620" w:type="dxa"/>
            <w:vAlign w:val="bottom"/>
            <w:gridSpan w:val="2"/>
            <w:shd w:val="clear" w:color="auto" w:fill="E7E6E7"/>
          </w:tcPr>
          <w:p>
            <w:pPr>
              <w:jc w:val="right"/>
              <w:ind w:right="59"/>
              <w:spacing w:after="0"/>
              <w:rPr>
                <w:sz w:val="20"/>
                <w:szCs w:val="20"/>
                <w:color w:val="auto"/>
              </w:rPr>
            </w:pPr>
            <w:r>
              <w:rPr>
                <w:rFonts w:ascii="Arial" w:cs="Arial" w:eastAsia="Arial" w:hAnsi="Arial"/>
                <w:sz w:val="12"/>
                <w:szCs w:val="12"/>
                <w:color w:val="7B7C80"/>
              </w:rPr>
              <w:t>$9,377.4</w:t>
            </w:r>
          </w:p>
        </w:tc>
        <w:tc>
          <w:tcPr>
            <w:tcW w:w="680" w:type="dxa"/>
            <w:vAlign w:val="bottom"/>
            <w:gridSpan w:val="2"/>
            <w:shd w:val="clear" w:color="auto" w:fill="E7E6E7"/>
          </w:tcPr>
          <w:p>
            <w:pPr>
              <w:jc w:val="right"/>
              <w:ind w:right="59"/>
              <w:spacing w:after="0"/>
              <w:rPr>
                <w:sz w:val="20"/>
                <w:szCs w:val="20"/>
                <w:color w:val="auto"/>
              </w:rPr>
            </w:pPr>
            <w:r>
              <w:rPr>
                <w:rFonts w:ascii="Arial" w:cs="Arial" w:eastAsia="Arial" w:hAnsi="Arial"/>
                <w:sz w:val="12"/>
                <w:szCs w:val="12"/>
                <w:color w:val="7B7C80"/>
              </w:rPr>
              <w:t>$10,232.0</w:t>
            </w:r>
          </w:p>
        </w:tc>
        <w:tc>
          <w:tcPr>
            <w:tcW w:w="10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w w:val="94"/>
              </w:rPr>
              <w:t>9,777.0</w:t>
            </w:r>
          </w:p>
        </w:tc>
        <w:tc>
          <w:tcPr>
            <w:tcW w:w="0" w:type="dxa"/>
            <w:vAlign w:val="bottom"/>
          </w:tcPr>
          <w:p>
            <w:pPr>
              <w:spacing w:after="0"/>
              <w:rPr>
                <w:sz w:val="1"/>
                <w:szCs w:val="1"/>
                <w:color w:val="auto"/>
              </w:rPr>
            </w:pPr>
          </w:p>
        </w:tc>
      </w:tr>
      <w:tr>
        <w:trPr>
          <w:trHeight w:val="137"/>
        </w:trPr>
        <w:tc>
          <w:tcPr>
            <w:tcW w:w="5100" w:type="dxa"/>
            <w:vAlign w:val="bottom"/>
            <w:tcBorders>
              <w:bottom w:val="single" w:sz="8" w:color="7B7C80"/>
            </w:tcBorders>
            <w:gridSpan w:val="2"/>
          </w:tcPr>
          <w:p>
            <w:pPr>
              <w:spacing w:after="0"/>
              <w:rPr>
                <w:sz w:val="20"/>
                <w:szCs w:val="20"/>
                <w:color w:val="auto"/>
              </w:rPr>
            </w:pPr>
            <w:r>
              <w:rPr>
                <w:rFonts w:ascii="Arial" w:cs="Arial" w:eastAsia="Arial" w:hAnsi="Arial"/>
                <w:sz w:val="12"/>
                <w:szCs w:val="12"/>
                <w:color w:val="7B7C80"/>
              </w:rPr>
              <w:t>Noncontrolling interest</w:t>
            </w:r>
          </w:p>
        </w:tc>
        <w:tc>
          <w:tcPr>
            <w:tcW w:w="22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gridSpan w:val="2"/>
          </w:tcPr>
          <w:p>
            <w:pPr>
              <w:jc w:val="right"/>
              <w:ind w:right="19"/>
              <w:spacing w:after="0"/>
              <w:rPr>
                <w:sz w:val="20"/>
                <w:szCs w:val="20"/>
                <w:color w:val="auto"/>
              </w:rPr>
            </w:pPr>
            <w:r>
              <w:rPr>
                <w:rFonts w:ascii="Arial" w:cs="Arial" w:eastAsia="Arial" w:hAnsi="Arial"/>
                <w:sz w:val="12"/>
                <w:szCs w:val="12"/>
                <w:color w:val="7B7C80"/>
              </w:rPr>
              <w:t>(72.6)</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19"/>
              <w:spacing w:after="0"/>
              <w:rPr>
                <w:sz w:val="20"/>
                <w:szCs w:val="20"/>
                <w:color w:val="auto"/>
              </w:rPr>
            </w:pPr>
            <w:r>
              <w:rPr>
                <w:rFonts w:ascii="Arial" w:cs="Arial" w:eastAsia="Arial" w:hAnsi="Arial"/>
                <w:sz w:val="12"/>
                <w:szCs w:val="12"/>
                <w:color w:val="7B7C80"/>
              </w:rPr>
              <w:t>(66.5)</w:t>
            </w:r>
          </w:p>
        </w:tc>
        <w:tc>
          <w:tcPr>
            <w:tcW w:w="80" w:type="dxa"/>
            <w:vAlign w:val="bottom"/>
            <w:tcBorders>
              <w:bottom w:val="single" w:sz="8" w:color="7B7C80"/>
            </w:tcBorders>
          </w:tcPr>
          <w:p>
            <w:pPr>
              <w:spacing w:after="0"/>
              <w:rPr>
                <w:sz w:val="11"/>
                <w:szCs w:val="11"/>
                <w:color w:val="auto"/>
              </w:rPr>
            </w:pPr>
          </w:p>
        </w:tc>
        <w:tc>
          <w:tcPr>
            <w:tcW w:w="540" w:type="dxa"/>
            <w:vAlign w:val="bottom"/>
            <w:tcBorders>
              <w:bottom w:val="single" w:sz="8" w:color="7B7C80"/>
            </w:tcBorders>
          </w:tcPr>
          <w:p>
            <w:pPr>
              <w:jc w:val="right"/>
              <w:ind w:right="19"/>
              <w:spacing w:after="0"/>
              <w:rPr>
                <w:sz w:val="20"/>
                <w:szCs w:val="20"/>
                <w:color w:val="auto"/>
              </w:rPr>
            </w:pPr>
            <w:r>
              <w:rPr>
                <w:rFonts w:ascii="Arial" w:cs="Arial" w:eastAsia="Arial" w:hAnsi="Arial"/>
                <w:sz w:val="12"/>
                <w:szCs w:val="12"/>
                <w:color w:val="7B7C80"/>
              </w:rPr>
              <w:t>(65.8)</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ind w:right="19"/>
              <w:spacing w:after="0"/>
              <w:rPr>
                <w:sz w:val="20"/>
                <w:szCs w:val="20"/>
                <w:color w:val="auto"/>
              </w:rPr>
            </w:pPr>
            <w:r>
              <w:rPr>
                <w:rFonts w:ascii="Arial" w:cs="Arial" w:eastAsia="Arial" w:hAnsi="Arial"/>
                <w:sz w:val="12"/>
                <w:szCs w:val="12"/>
                <w:color w:val="7B7C80"/>
              </w:rPr>
              <w:t>(48.0)</w:t>
            </w:r>
          </w:p>
        </w:tc>
        <w:tc>
          <w:tcPr>
            <w:tcW w:w="100" w:type="dxa"/>
            <w:vAlign w:val="bottom"/>
            <w:tcBorders>
              <w:bottom w:val="single" w:sz="8" w:color="7B7C80"/>
            </w:tcBorders>
          </w:tcPr>
          <w:p>
            <w:pPr>
              <w:spacing w:after="0"/>
              <w:rPr>
                <w:sz w:val="11"/>
                <w:szCs w:val="11"/>
                <w:color w:val="auto"/>
              </w:rPr>
            </w:pPr>
          </w:p>
        </w:tc>
        <w:tc>
          <w:tcPr>
            <w:tcW w:w="580" w:type="dxa"/>
            <w:vAlign w:val="bottom"/>
            <w:tcBorders>
              <w:bottom w:val="single" w:sz="8" w:color="7B7C80"/>
            </w:tcBorders>
          </w:tcPr>
          <w:p>
            <w:pPr>
              <w:jc w:val="right"/>
              <w:ind w:right="79"/>
              <w:spacing w:after="0"/>
              <w:rPr>
                <w:sz w:val="20"/>
                <w:szCs w:val="20"/>
                <w:color w:val="auto"/>
              </w:rPr>
            </w:pPr>
            <w:r>
              <w:rPr>
                <w:rFonts w:ascii="Arial" w:cs="Arial" w:eastAsia="Arial" w:hAnsi="Arial"/>
                <w:sz w:val="12"/>
                <w:szCs w:val="12"/>
                <w:color w:val="7B7C80"/>
              </w:rPr>
              <w:t>(92.8)</w:t>
            </w:r>
          </w:p>
        </w:tc>
        <w:tc>
          <w:tcPr>
            <w:tcW w:w="0" w:type="dxa"/>
            <w:vAlign w:val="bottom"/>
          </w:tcPr>
          <w:p>
            <w:pPr>
              <w:spacing w:after="0"/>
              <w:rPr>
                <w:sz w:val="1"/>
                <w:szCs w:val="1"/>
                <w:color w:val="auto"/>
              </w:rPr>
            </w:pPr>
          </w:p>
        </w:tc>
      </w:tr>
      <w:tr>
        <w:trPr>
          <w:trHeight w:val="129"/>
        </w:trPr>
        <w:tc>
          <w:tcPr>
            <w:tcW w:w="5100" w:type="dxa"/>
            <w:vAlign w:val="bottom"/>
            <w:gridSpan w:val="2"/>
            <w:shd w:val="clear" w:color="auto" w:fill="E7E6E7"/>
          </w:tcPr>
          <w:p>
            <w:pPr>
              <w:spacing w:after="0" w:line="129" w:lineRule="exact"/>
              <w:rPr>
                <w:sz w:val="20"/>
                <w:szCs w:val="20"/>
                <w:color w:val="auto"/>
              </w:rPr>
            </w:pPr>
            <w:r>
              <w:rPr>
                <w:rFonts w:ascii="Arial" w:cs="Arial" w:eastAsia="Arial" w:hAnsi="Arial"/>
                <w:sz w:val="12"/>
                <w:szCs w:val="12"/>
                <w:color w:val="7B7C80"/>
              </w:rPr>
              <w:t>Stockholders' equity attributable to Principal Financial Group, Inc.</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w w:val="98"/>
              </w:rPr>
              <w:t>12,849.3</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w w:val="98"/>
              </w:rPr>
              <w:t>10,227.3</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w w:val="99"/>
              </w:rPr>
              <w:t>9,311.6</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line="129" w:lineRule="exact"/>
              <w:rPr>
                <w:sz w:val="20"/>
                <w:szCs w:val="20"/>
                <w:color w:val="auto"/>
              </w:rPr>
            </w:pPr>
            <w:r>
              <w:rPr>
                <w:rFonts w:ascii="Arial" w:cs="Arial" w:eastAsia="Arial" w:hAnsi="Arial"/>
                <w:sz w:val="12"/>
                <w:szCs w:val="12"/>
                <w:color w:val="7B7C80"/>
                <w:w w:val="98"/>
              </w:rPr>
              <w:t>10,184.0</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ind w:right="119"/>
              <w:spacing w:after="0" w:line="129" w:lineRule="exact"/>
              <w:rPr>
                <w:sz w:val="20"/>
                <w:szCs w:val="20"/>
                <w:color w:val="auto"/>
              </w:rPr>
            </w:pPr>
            <w:r>
              <w:rPr>
                <w:rFonts w:ascii="Arial" w:cs="Arial" w:eastAsia="Arial" w:hAnsi="Arial"/>
                <w:sz w:val="12"/>
                <w:szCs w:val="12"/>
                <w:color w:val="7B7C80"/>
                <w:w w:val="94"/>
              </w:rPr>
              <w:t>9,684.2</w:t>
            </w: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Net unrealized capital (gains) losses</w:t>
            </w:r>
          </w:p>
        </w:tc>
        <w:tc>
          <w:tcPr>
            <w:tcW w:w="220" w:type="dxa"/>
            <w:vAlign w:val="bottom"/>
          </w:tcPr>
          <w:p>
            <w:pPr>
              <w:spacing w:after="0"/>
              <w:rPr>
                <w:sz w:val="11"/>
                <w:szCs w:val="11"/>
                <w:color w:val="auto"/>
              </w:rPr>
            </w:pPr>
          </w:p>
        </w:tc>
        <w:tc>
          <w:tcPr>
            <w:tcW w:w="600" w:type="dxa"/>
            <w:vAlign w:val="bottom"/>
            <w:gridSpan w:val="2"/>
          </w:tcPr>
          <w:p>
            <w:pPr>
              <w:jc w:val="right"/>
              <w:ind w:right="19"/>
              <w:spacing w:after="0"/>
              <w:rPr>
                <w:sz w:val="20"/>
                <w:szCs w:val="20"/>
                <w:color w:val="auto"/>
              </w:rPr>
            </w:pPr>
            <w:r>
              <w:rPr>
                <w:rFonts w:ascii="Arial" w:cs="Arial" w:eastAsia="Arial" w:hAnsi="Arial"/>
                <w:sz w:val="12"/>
                <w:szCs w:val="12"/>
                <w:color w:val="7B7C80"/>
              </w:rPr>
              <w:t>(1,455.1)</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(827.0)</w:t>
            </w:r>
          </w:p>
        </w:tc>
        <w:tc>
          <w:tcPr>
            <w:tcW w:w="80" w:type="dxa"/>
            <w:vAlign w:val="bottom"/>
          </w:tcPr>
          <w:p>
            <w:pPr>
              <w:spacing w:after="0"/>
              <w:rPr>
                <w:sz w:val="11"/>
                <w:szCs w:val="11"/>
                <w:color w:val="auto"/>
              </w:rPr>
            </w:pPr>
          </w:p>
        </w:tc>
        <w:tc>
          <w:tcPr>
            <w:tcW w:w="540" w:type="dxa"/>
            <w:vAlign w:val="bottom"/>
          </w:tcPr>
          <w:p>
            <w:pPr>
              <w:jc w:val="right"/>
              <w:ind w:right="19"/>
              <w:spacing w:after="0"/>
              <w:rPr>
                <w:sz w:val="20"/>
                <w:szCs w:val="20"/>
                <w:color w:val="auto"/>
              </w:rPr>
            </w:pPr>
            <w:r>
              <w:rPr>
                <w:rFonts w:ascii="Arial" w:cs="Arial" w:eastAsia="Arial" w:hAnsi="Arial"/>
                <w:sz w:val="12"/>
                <w:szCs w:val="12"/>
                <w:color w:val="7B7C80"/>
              </w:rPr>
              <w:t>(715.9)</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(1,148.3)</w:t>
            </w:r>
          </w:p>
        </w:tc>
        <w:tc>
          <w:tcPr>
            <w:tcW w:w="100" w:type="dxa"/>
            <w:vAlign w:val="bottom"/>
          </w:tcPr>
          <w:p>
            <w:pPr>
              <w:spacing w:after="0"/>
              <w:rPr>
                <w:sz w:val="11"/>
                <w:szCs w:val="11"/>
                <w:color w:val="auto"/>
              </w:rPr>
            </w:pPr>
          </w:p>
        </w:tc>
        <w:tc>
          <w:tcPr>
            <w:tcW w:w="580" w:type="dxa"/>
            <w:vAlign w:val="bottom"/>
          </w:tcPr>
          <w:p>
            <w:pPr>
              <w:jc w:val="right"/>
              <w:ind w:right="79"/>
              <w:spacing w:after="0"/>
              <w:rPr>
                <w:sz w:val="20"/>
                <w:szCs w:val="20"/>
                <w:color w:val="auto"/>
              </w:rPr>
            </w:pPr>
            <w:r>
              <w:rPr>
                <w:rFonts w:ascii="Arial" w:cs="Arial" w:eastAsia="Arial" w:hAnsi="Arial"/>
                <w:sz w:val="12"/>
                <w:szCs w:val="12"/>
                <w:color w:val="7B7C80"/>
              </w:rPr>
              <w:t>(700.6)</w:t>
            </w: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Net unrecognized postretirement benefit obligation</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ind w:right="59"/>
              <w:spacing w:after="0"/>
              <w:rPr>
                <w:sz w:val="20"/>
                <w:szCs w:val="20"/>
                <w:color w:val="auto"/>
              </w:rPr>
            </w:pPr>
            <w:r>
              <w:rPr>
                <w:rFonts w:ascii="Arial" w:cs="Arial" w:eastAsia="Arial" w:hAnsi="Arial"/>
                <w:sz w:val="12"/>
                <w:szCs w:val="12"/>
                <w:color w:val="7B7C80"/>
              </w:rPr>
              <w:t>371.1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408.4</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450.2</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ind w:right="59"/>
              <w:spacing w:after="0"/>
              <w:rPr>
                <w:sz w:val="20"/>
                <w:szCs w:val="20"/>
                <w:color w:val="auto"/>
              </w:rPr>
            </w:pPr>
            <w:r>
              <w:rPr>
                <w:rFonts w:ascii="Arial" w:cs="Arial" w:eastAsia="Arial" w:hAnsi="Arial"/>
                <w:sz w:val="12"/>
                <w:szCs w:val="12"/>
                <w:color w:val="7B7C80"/>
              </w:rPr>
              <w:t>411.1</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155.9</w:t>
            </w: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Preferred stock, at par</w:t>
            </w: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00" w:type="dxa"/>
            <w:vAlign w:val="bottom"/>
          </w:tcPr>
          <w:p>
            <w:pPr>
              <w:jc w:val="right"/>
              <w:ind w:right="59"/>
              <w:spacing w:after="0"/>
              <w:rPr>
                <w:sz w:val="20"/>
                <w:szCs w:val="20"/>
                <w:color w:val="auto"/>
              </w:rPr>
            </w:pPr>
            <w:r>
              <w:rPr>
                <w:rFonts w:ascii="Arial" w:cs="Arial" w:eastAsia="Arial" w:hAnsi="Arial"/>
                <w:sz w:val="12"/>
                <w:szCs w:val="12"/>
                <w:color w:val="7B7C80"/>
              </w:rPr>
              <w:t>—</w:t>
            </w:r>
          </w:p>
        </w:tc>
        <w:tc>
          <w:tcPr>
            <w:tcW w:w="80" w:type="dxa"/>
            <w:vAlign w:val="bottom"/>
          </w:tcPr>
          <w:p>
            <w:pPr>
              <w:spacing w:after="0"/>
              <w:rPr>
                <w:sz w:val="11"/>
                <w:szCs w:val="11"/>
                <w:color w:val="auto"/>
              </w:rPr>
            </w:pPr>
          </w:p>
        </w:tc>
        <w:tc>
          <w:tcPr>
            <w:tcW w:w="600" w:type="dxa"/>
            <w:vAlign w:val="bottom"/>
          </w:tcPr>
          <w:p>
            <w:pPr>
              <w:jc w:val="right"/>
              <w:ind w:right="59"/>
              <w:spacing w:after="0"/>
              <w:rPr>
                <w:sz w:val="20"/>
                <w:szCs w:val="20"/>
                <w:color w:val="auto"/>
              </w:rPr>
            </w:pPr>
            <w:r>
              <w:rPr>
                <w:rFonts w:ascii="Arial" w:cs="Arial" w:eastAsia="Arial" w:hAnsi="Arial"/>
                <w:sz w:val="12"/>
                <w:szCs w:val="12"/>
                <w:color w:val="7B7C80"/>
              </w:rPr>
              <w:t>—</w:t>
            </w:r>
          </w:p>
        </w:tc>
        <w:tc>
          <w:tcPr>
            <w:tcW w:w="80" w:type="dxa"/>
            <w:vAlign w:val="bottom"/>
          </w:tcPr>
          <w:p>
            <w:pPr>
              <w:spacing w:after="0"/>
              <w:rPr>
                <w:sz w:val="11"/>
                <w:szCs w:val="11"/>
                <w:color w:val="auto"/>
              </w:rPr>
            </w:pPr>
          </w:p>
        </w:tc>
        <w:tc>
          <w:tcPr>
            <w:tcW w:w="540" w:type="dxa"/>
            <w:vAlign w:val="bottom"/>
          </w:tcPr>
          <w:p>
            <w:pPr>
              <w:jc w:val="right"/>
              <w:ind w:right="59"/>
              <w:spacing w:after="0"/>
              <w:rPr>
                <w:sz w:val="20"/>
                <w:szCs w:val="20"/>
                <w:color w:val="auto"/>
              </w:rPr>
            </w:pPr>
            <w:r>
              <w:rPr>
                <w:rFonts w:ascii="Arial" w:cs="Arial" w:eastAsia="Arial" w:hAnsi="Arial"/>
                <w:sz w:val="12"/>
                <w:szCs w:val="12"/>
                <w:color w:val="7B7C80"/>
              </w:rPr>
              <w:t>—</w:t>
            </w:r>
          </w:p>
        </w:tc>
        <w:tc>
          <w:tcPr>
            <w:tcW w:w="80" w:type="dxa"/>
            <w:vAlign w:val="bottom"/>
          </w:tcPr>
          <w:p>
            <w:pPr>
              <w:spacing w:after="0"/>
              <w:rPr>
                <w:sz w:val="11"/>
                <w:szCs w:val="11"/>
                <w:color w:val="auto"/>
              </w:rPr>
            </w:pPr>
          </w:p>
        </w:tc>
        <w:tc>
          <w:tcPr>
            <w:tcW w:w="600" w:type="dxa"/>
            <w:vAlign w:val="bottom"/>
          </w:tcPr>
          <w:p>
            <w:pPr>
              <w:jc w:val="right"/>
              <w:ind w:right="19"/>
              <w:spacing w:after="0"/>
              <w:rPr>
                <w:sz w:val="20"/>
                <w:szCs w:val="20"/>
                <w:color w:val="auto"/>
              </w:rPr>
            </w:pPr>
            <w:r>
              <w:rPr>
                <w:rFonts w:ascii="Arial" w:cs="Arial" w:eastAsia="Arial" w:hAnsi="Arial"/>
                <w:sz w:val="12"/>
                <w:szCs w:val="12"/>
                <w:color w:val="7B7C80"/>
              </w:rPr>
              <w:t>(0.1)</w:t>
            </w:r>
          </w:p>
        </w:tc>
        <w:tc>
          <w:tcPr>
            <w:tcW w:w="100" w:type="dxa"/>
            <w:vAlign w:val="bottom"/>
          </w:tcPr>
          <w:p>
            <w:pPr>
              <w:spacing w:after="0"/>
              <w:rPr>
                <w:sz w:val="11"/>
                <w:szCs w:val="11"/>
                <w:color w:val="auto"/>
              </w:rPr>
            </w:pPr>
          </w:p>
        </w:tc>
        <w:tc>
          <w:tcPr>
            <w:tcW w:w="580" w:type="dxa"/>
            <w:vAlign w:val="bottom"/>
          </w:tcPr>
          <w:p>
            <w:pPr>
              <w:jc w:val="right"/>
              <w:ind w:right="79"/>
              <w:spacing w:after="0"/>
              <w:rPr>
                <w:sz w:val="20"/>
                <w:szCs w:val="20"/>
                <w:color w:val="auto"/>
              </w:rPr>
            </w:pPr>
            <w:r>
              <w:rPr>
                <w:rFonts w:ascii="Arial" w:cs="Arial" w:eastAsia="Arial" w:hAnsi="Arial"/>
                <w:sz w:val="12"/>
                <w:szCs w:val="12"/>
                <w:color w:val="7B7C80"/>
              </w:rPr>
              <w:t>(0.1)</w:t>
            </w:r>
          </w:p>
        </w:tc>
        <w:tc>
          <w:tcPr>
            <w:tcW w:w="0" w:type="dxa"/>
            <w:vAlign w:val="bottom"/>
          </w:tcPr>
          <w:p>
            <w:pPr>
              <w:spacing w:after="0"/>
              <w:rPr>
                <w:sz w:val="1"/>
                <w:szCs w:val="1"/>
                <w:color w:val="auto"/>
              </w:rPr>
            </w:pPr>
          </w:p>
        </w:tc>
      </w:tr>
      <w:tr>
        <w:trPr>
          <w:trHeight w:val="137"/>
        </w:trPr>
        <w:tc>
          <w:tcPr>
            <w:tcW w:w="5100" w:type="dxa"/>
            <w:vAlign w:val="bottom"/>
            <w:tcBorders>
              <w:bottom w:val="single" w:sz="8" w:color="7B7C80"/>
            </w:tcBorders>
            <w:gridSpan w:val="2"/>
            <w:shd w:val="clear" w:color="auto" w:fill="E7E6E7"/>
          </w:tcPr>
          <w:p>
            <w:pPr>
              <w:spacing w:after="0"/>
              <w:rPr>
                <w:sz w:val="20"/>
                <w:szCs w:val="20"/>
                <w:color w:val="auto"/>
              </w:rPr>
            </w:pPr>
            <w:r>
              <w:rPr>
                <w:rFonts w:ascii="Arial" w:cs="Arial" w:eastAsia="Arial" w:hAnsi="Arial"/>
                <w:sz w:val="12"/>
                <w:szCs w:val="12"/>
                <w:color w:val="7B7C80"/>
              </w:rPr>
              <w:t>Pain-in capital—preferred stock</w:t>
            </w:r>
          </w:p>
        </w:tc>
        <w:tc>
          <w:tcPr>
            <w:tcW w:w="220" w:type="dxa"/>
            <w:vAlign w:val="bottom"/>
            <w:tcBorders>
              <w:bottom w:val="single" w:sz="8" w:color="7B7C80"/>
            </w:tcBorders>
            <w:shd w:val="clear" w:color="auto" w:fill="E7E6E7"/>
          </w:tcPr>
          <w:p>
            <w:pPr>
              <w:spacing w:after="0"/>
              <w:rPr>
                <w:sz w:val="11"/>
                <w:szCs w:val="11"/>
                <w:color w:val="auto"/>
              </w:rPr>
            </w:pPr>
          </w:p>
        </w:tc>
        <w:tc>
          <w:tcPr>
            <w:tcW w:w="100" w:type="dxa"/>
            <w:vAlign w:val="bottom"/>
            <w:tcBorders>
              <w:bottom w:val="single" w:sz="8" w:color="7B7C80"/>
            </w:tcBorders>
            <w:shd w:val="clear" w:color="auto" w:fill="E7E6E7"/>
          </w:tcPr>
          <w:p>
            <w:pPr>
              <w:spacing w:after="0"/>
              <w:rPr>
                <w:sz w:val="11"/>
                <w:szCs w:val="11"/>
                <w:color w:val="auto"/>
              </w:rPr>
            </w:pPr>
          </w:p>
        </w:tc>
        <w:tc>
          <w:tcPr>
            <w:tcW w:w="500" w:type="dxa"/>
            <w:vAlign w:val="bottom"/>
            <w:tcBorders>
              <w:bottom w:val="single" w:sz="8" w:color="7B7C80"/>
            </w:tcBorders>
            <w:shd w:val="clear" w:color="auto" w:fill="E7E6E7"/>
          </w:tcPr>
          <w:p>
            <w:pPr>
              <w:jc w:val="right"/>
              <w:ind w:right="59"/>
              <w:spacing w:after="0"/>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59"/>
              <w:spacing w:after="0"/>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shd w:val="clear" w:color="auto" w:fill="E7E6E7"/>
          </w:tcPr>
          <w:p>
            <w:pPr>
              <w:spacing w:after="0"/>
              <w:rPr>
                <w:sz w:val="11"/>
                <w:szCs w:val="11"/>
                <w:color w:val="auto"/>
              </w:rPr>
            </w:pPr>
          </w:p>
        </w:tc>
        <w:tc>
          <w:tcPr>
            <w:tcW w:w="540" w:type="dxa"/>
            <w:vAlign w:val="bottom"/>
            <w:tcBorders>
              <w:bottom w:val="single" w:sz="8" w:color="7B7C80"/>
            </w:tcBorders>
            <w:shd w:val="clear" w:color="auto" w:fill="E7E6E7"/>
          </w:tcPr>
          <w:p>
            <w:pPr>
              <w:jc w:val="right"/>
              <w:ind w:right="59"/>
              <w:spacing w:after="0"/>
              <w:rPr>
                <w:sz w:val="20"/>
                <w:szCs w:val="20"/>
                <w:color w:val="auto"/>
              </w:rPr>
            </w:pPr>
            <w:r>
              <w:rPr>
                <w:rFonts w:ascii="Arial" w:cs="Arial" w:eastAsia="Arial" w:hAnsi="Arial"/>
                <w:sz w:val="12"/>
                <w:szCs w:val="12"/>
                <w:color w:val="7B7C80"/>
              </w:rPr>
              <w:t>—</w:t>
            </w:r>
          </w:p>
        </w:tc>
        <w:tc>
          <w:tcPr>
            <w:tcW w:w="80" w:type="dxa"/>
            <w:vAlign w:val="bottom"/>
            <w:tcBorders>
              <w:bottom w:val="single" w:sz="8" w:color="7B7C80"/>
            </w:tcBorders>
            <w:shd w:val="clear" w:color="auto" w:fill="E7E6E7"/>
          </w:tcPr>
          <w:p>
            <w:pPr>
              <w:spacing w:after="0"/>
              <w:rPr>
                <w:sz w:val="11"/>
                <w:szCs w:val="11"/>
                <w:color w:val="auto"/>
              </w:rPr>
            </w:pPr>
          </w:p>
        </w:tc>
        <w:tc>
          <w:tcPr>
            <w:tcW w:w="600" w:type="dxa"/>
            <w:vAlign w:val="bottom"/>
            <w:tcBorders>
              <w:bottom w:val="single" w:sz="8" w:color="7B7C80"/>
            </w:tcBorders>
            <w:shd w:val="clear" w:color="auto" w:fill="E7E6E7"/>
          </w:tcPr>
          <w:p>
            <w:pPr>
              <w:jc w:val="right"/>
              <w:ind w:right="19"/>
              <w:spacing w:after="0"/>
              <w:rPr>
                <w:sz w:val="20"/>
                <w:szCs w:val="20"/>
                <w:color w:val="auto"/>
              </w:rPr>
            </w:pPr>
            <w:r>
              <w:rPr>
                <w:rFonts w:ascii="Arial" w:cs="Arial" w:eastAsia="Arial" w:hAnsi="Arial"/>
                <w:sz w:val="12"/>
                <w:szCs w:val="12"/>
                <w:color w:val="7B7C80"/>
              </w:rPr>
              <w:t>(541.9)</w:t>
            </w:r>
          </w:p>
        </w:tc>
        <w:tc>
          <w:tcPr>
            <w:tcW w:w="100" w:type="dxa"/>
            <w:vAlign w:val="bottom"/>
            <w:tcBorders>
              <w:bottom w:val="single" w:sz="8" w:color="7B7C80"/>
            </w:tcBorders>
            <w:shd w:val="clear" w:color="auto" w:fill="E7E6E7"/>
          </w:tcPr>
          <w:p>
            <w:pPr>
              <w:spacing w:after="0"/>
              <w:rPr>
                <w:sz w:val="11"/>
                <w:szCs w:val="11"/>
                <w:color w:val="auto"/>
              </w:rPr>
            </w:pPr>
          </w:p>
        </w:tc>
        <w:tc>
          <w:tcPr>
            <w:tcW w:w="580" w:type="dxa"/>
            <w:vAlign w:val="bottom"/>
            <w:tcBorders>
              <w:bottom w:val="single" w:sz="8" w:color="7B7C80"/>
            </w:tcBorders>
            <w:shd w:val="clear" w:color="auto" w:fill="E7E6E7"/>
          </w:tcPr>
          <w:p>
            <w:pPr>
              <w:jc w:val="right"/>
              <w:ind w:right="79"/>
              <w:spacing w:after="0"/>
              <w:rPr>
                <w:sz w:val="20"/>
                <w:szCs w:val="20"/>
                <w:color w:val="auto"/>
              </w:rPr>
            </w:pPr>
            <w:r>
              <w:rPr>
                <w:rFonts w:ascii="Arial" w:cs="Arial" w:eastAsia="Arial" w:hAnsi="Arial"/>
                <w:sz w:val="12"/>
                <w:szCs w:val="12"/>
                <w:color w:val="7B7C80"/>
              </w:rPr>
              <w:t>(541.9)</w:t>
            </w:r>
          </w:p>
        </w:tc>
        <w:tc>
          <w:tcPr>
            <w:tcW w:w="0" w:type="dxa"/>
            <w:vAlign w:val="bottom"/>
          </w:tcPr>
          <w:p>
            <w:pPr>
              <w:spacing w:after="0"/>
              <w:rPr>
                <w:sz w:val="1"/>
                <w:szCs w:val="1"/>
                <w:color w:val="auto"/>
              </w:rPr>
            </w:pPr>
          </w:p>
        </w:tc>
      </w:tr>
      <w:tr>
        <w:trPr>
          <w:trHeight w:val="133"/>
        </w:trPr>
        <w:tc>
          <w:tcPr>
            <w:tcW w:w="5100" w:type="dxa"/>
            <w:vAlign w:val="bottom"/>
            <w:gridSpan w:val="2"/>
          </w:tcPr>
          <w:p>
            <w:pPr>
              <w:spacing w:after="0" w:line="133" w:lineRule="exact"/>
              <w:rPr>
                <w:sz w:val="20"/>
                <w:szCs w:val="20"/>
                <w:color w:val="auto"/>
              </w:rPr>
            </w:pPr>
            <w:r>
              <w:rPr>
                <w:rFonts w:ascii="Arial" w:cs="Arial" w:eastAsia="Arial" w:hAnsi="Arial"/>
                <w:sz w:val="12"/>
                <w:szCs w:val="12"/>
                <w:color w:val="7B7C80"/>
              </w:rPr>
              <w:t>Stockholders' equity, excluding AOCI other than foreign currency translation adjustment,</w:t>
            </w: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3"/>
        </w:trPr>
        <w:tc>
          <w:tcPr>
            <w:tcW w:w="5100" w:type="dxa"/>
            <w:vAlign w:val="bottom"/>
            <w:tcBorders>
              <w:bottom w:val="single" w:sz="8" w:color="7B7C80"/>
            </w:tcBorders>
            <w:gridSpan w:val="2"/>
          </w:tcPr>
          <w:p>
            <w:pPr>
              <w:ind w:left="120"/>
              <w:spacing w:after="0" w:line="134" w:lineRule="exact"/>
              <w:rPr>
                <w:sz w:val="20"/>
                <w:szCs w:val="20"/>
                <w:color w:val="auto"/>
              </w:rPr>
            </w:pPr>
            <w:r>
              <w:rPr>
                <w:rFonts w:ascii="Arial" w:cs="Arial" w:eastAsia="Arial" w:hAnsi="Arial"/>
                <w:sz w:val="12"/>
                <w:szCs w:val="12"/>
                <w:color w:val="7B7C80"/>
              </w:rPr>
              <w:t>available to common stockholders</w:t>
            </w:r>
          </w:p>
        </w:tc>
        <w:tc>
          <w:tcPr>
            <w:tcW w:w="820" w:type="dxa"/>
            <w:vAlign w:val="bottom"/>
            <w:tcBorders>
              <w:bottom w:val="single" w:sz="8" w:color="7B7C80"/>
            </w:tcBorders>
            <w:gridSpan w:val="3"/>
          </w:tcPr>
          <w:p>
            <w:pPr>
              <w:jc w:val="right"/>
              <w:ind w:right="59"/>
              <w:spacing w:after="0" w:line="134" w:lineRule="exact"/>
              <w:rPr>
                <w:sz w:val="20"/>
                <w:szCs w:val="20"/>
                <w:color w:val="auto"/>
              </w:rPr>
            </w:pPr>
            <w:r>
              <w:rPr>
                <w:rFonts w:ascii="Arial" w:cs="Arial" w:eastAsia="Arial" w:hAnsi="Arial"/>
                <w:sz w:val="12"/>
                <w:szCs w:val="12"/>
                <w:color w:val="7B7C80"/>
              </w:rPr>
              <w:t>$11,765.3</w:t>
            </w:r>
          </w:p>
        </w:tc>
        <w:tc>
          <w:tcPr>
            <w:tcW w:w="80" w:type="dxa"/>
            <w:vAlign w:val="bottom"/>
            <w:tcBorders>
              <w:bottom w:val="single" w:sz="8" w:color="7B7C80"/>
            </w:tcBorders>
          </w:tcPr>
          <w:p>
            <w:pPr>
              <w:jc w:val="right"/>
              <w:spacing w:after="0" w:line="134"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tcPr>
          <w:p>
            <w:pPr>
              <w:jc w:val="right"/>
              <w:ind w:right="59"/>
              <w:spacing w:after="0" w:line="134" w:lineRule="exact"/>
              <w:rPr>
                <w:sz w:val="20"/>
                <w:szCs w:val="20"/>
                <w:color w:val="auto"/>
              </w:rPr>
            </w:pPr>
            <w:r>
              <w:rPr>
                <w:rFonts w:ascii="Arial" w:cs="Arial" w:eastAsia="Arial" w:hAnsi="Arial"/>
                <w:sz w:val="12"/>
                <w:szCs w:val="12"/>
                <w:color w:val="7B7C80"/>
              </w:rPr>
              <w:t>9,808.7</w:t>
            </w:r>
          </w:p>
        </w:tc>
        <w:tc>
          <w:tcPr>
            <w:tcW w:w="620" w:type="dxa"/>
            <w:vAlign w:val="bottom"/>
            <w:tcBorders>
              <w:bottom w:val="single" w:sz="8" w:color="7B7C80"/>
            </w:tcBorders>
            <w:gridSpan w:val="2"/>
          </w:tcPr>
          <w:p>
            <w:pPr>
              <w:jc w:val="right"/>
              <w:ind w:right="59"/>
              <w:spacing w:after="0" w:line="134" w:lineRule="exact"/>
              <w:rPr>
                <w:sz w:val="20"/>
                <w:szCs w:val="20"/>
                <w:color w:val="auto"/>
              </w:rPr>
            </w:pPr>
            <w:r>
              <w:rPr>
                <w:rFonts w:ascii="Arial" w:cs="Arial" w:eastAsia="Arial" w:hAnsi="Arial"/>
                <w:sz w:val="12"/>
                <w:szCs w:val="12"/>
                <w:color w:val="7B7C80"/>
              </w:rPr>
              <w:t>$9,045.9</w:t>
            </w:r>
          </w:p>
        </w:tc>
        <w:tc>
          <w:tcPr>
            <w:tcW w:w="80" w:type="dxa"/>
            <w:vAlign w:val="bottom"/>
            <w:tcBorders>
              <w:bottom w:val="single" w:sz="8" w:color="7B7C80"/>
            </w:tcBorders>
          </w:tcPr>
          <w:p>
            <w:pPr>
              <w:jc w:val="right"/>
              <w:spacing w:after="0" w:line="134" w:lineRule="exact"/>
              <w:rPr>
                <w:sz w:val="20"/>
                <w:szCs w:val="20"/>
                <w:color w:val="auto"/>
              </w:rPr>
            </w:pPr>
            <w:r>
              <w:rPr>
                <w:rFonts w:ascii="Arial" w:cs="Arial" w:eastAsia="Arial" w:hAnsi="Arial"/>
                <w:sz w:val="12"/>
                <w:szCs w:val="12"/>
                <w:color w:val="7B7C80"/>
                <w:w w:val="89"/>
              </w:rPr>
              <w:t>$</w:t>
            </w:r>
          </w:p>
        </w:tc>
        <w:tc>
          <w:tcPr>
            <w:tcW w:w="600" w:type="dxa"/>
            <w:vAlign w:val="bottom"/>
            <w:tcBorders>
              <w:bottom w:val="single" w:sz="8" w:color="7B7C80"/>
            </w:tcBorders>
          </w:tcPr>
          <w:p>
            <w:pPr>
              <w:jc w:val="right"/>
              <w:ind w:right="59"/>
              <w:spacing w:after="0" w:line="134" w:lineRule="exact"/>
              <w:rPr>
                <w:sz w:val="20"/>
                <w:szCs w:val="20"/>
                <w:color w:val="auto"/>
              </w:rPr>
            </w:pPr>
            <w:r>
              <w:rPr>
                <w:rFonts w:ascii="Arial" w:cs="Arial" w:eastAsia="Arial" w:hAnsi="Arial"/>
                <w:sz w:val="12"/>
                <w:szCs w:val="12"/>
                <w:color w:val="7B7C80"/>
              </w:rPr>
              <w:t>8,904.8</w:t>
            </w:r>
          </w:p>
        </w:tc>
        <w:tc>
          <w:tcPr>
            <w:tcW w:w="100" w:type="dxa"/>
            <w:vAlign w:val="bottom"/>
            <w:tcBorders>
              <w:bottom w:val="single" w:sz="8" w:color="7B7C80"/>
            </w:tcBorders>
          </w:tcPr>
          <w:p>
            <w:pPr>
              <w:jc w:val="right"/>
              <w:spacing w:after="0" w:line="134"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119"/>
              <w:spacing w:after="0" w:line="134" w:lineRule="exact"/>
              <w:rPr>
                <w:sz w:val="20"/>
                <w:szCs w:val="20"/>
                <w:color w:val="auto"/>
              </w:rPr>
            </w:pPr>
            <w:r>
              <w:rPr>
                <w:rFonts w:ascii="Arial" w:cs="Arial" w:eastAsia="Arial" w:hAnsi="Arial"/>
                <w:sz w:val="12"/>
                <w:szCs w:val="12"/>
                <w:color w:val="7B7C80"/>
                <w:w w:val="94"/>
              </w:rPr>
              <w:t>8,597.5</w:t>
            </w:r>
          </w:p>
        </w:tc>
        <w:tc>
          <w:tcPr>
            <w:tcW w:w="0" w:type="dxa"/>
            <w:vAlign w:val="bottom"/>
          </w:tcPr>
          <w:p>
            <w:pPr>
              <w:spacing w:after="0"/>
              <w:rPr>
                <w:sz w:val="1"/>
                <w:szCs w:val="1"/>
                <w:color w:val="auto"/>
              </w:rPr>
            </w:pPr>
          </w:p>
        </w:tc>
      </w:tr>
      <w:tr>
        <w:trPr>
          <w:trHeight w:val="129"/>
        </w:trPr>
        <w:tc>
          <w:tcPr>
            <w:tcW w:w="5100" w:type="dxa"/>
            <w:vAlign w:val="bottom"/>
            <w:gridSpan w:val="2"/>
            <w:shd w:val="clear" w:color="auto" w:fill="E7E6E7"/>
          </w:tcPr>
          <w:p>
            <w:pPr>
              <w:spacing w:after="0" w:line="129" w:lineRule="exact"/>
              <w:rPr>
                <w:sz w:val="20"/>
                <w:szCs w:val="20"/>
                <w:color w:val="auto"/>
              </w:rPr>
            </w:pPr>
            <w:r>
              <w:rPr>
                <w:rFonts w:ascii="Arial" w:cs="Arial" w:eastAsia="Arial" w:hAnsi="Arial"/>
                <w:sz w:val="12"/>
                <w:szCs w:val="12"/>
                <w:b w:val="1"/>
                <w:bCs w:val="1"/>
                <w:color w:val="7B7C80"/>
              </w:rPr>
              <w:t>Net income ROE available to common stockholders (including AOCI)</w:t>
            </w:r>
          </w:p>
        </w:tc>
        <w:tc>
          <w:tcPr>
            <w:tcW w:w="220" w:type="dxa"/>
            <w:vAlign w:val="bottom"/>
            <w:shd w:val="clear" w:color="auto" w:fill="E7E6E7"/>
          </w:tcPr>
          <w:p>
            <w:pPr>
              <w:spacing w:after="0"/>
              <w:rPr>
                <w:sz w:val="11"/>
                <w:szCs w:val="11"/>
                <w:color w:val="auto"/>
              </w:rPr>
            </w:pPr>
          </w:p>
        </w:tc>
        <w:tc>
          <w:tcPr>
            <w:tcW w:w="100" w:type="dxa"/>
            <w:vAlign w:val="bottom"/>
            <w:shd w:val="clear" w:color="auto" w:fill="E7E6E7"/>
          </w:tcPr>
          <w:p>
            <w:pPr>
              <w:spacing w:after="0"/>
              <w:rPr>
                <w:sz w:val="11"/>
                <w:szCs w:val="11"/>
                <w:color w:val="auto"/>
              </w:rPr>
            </w:pPr>
          </w:p>
        </w:tc>
        <w:tc>
          <w:tcPr>
            <w:tcW w:w="50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spacing w:after="0"/>
              <w:rPr>
                <w:sz w:val="11"/>
                <w:szCs w:val="11"/>
                <w:color w:val="auto"/>
              </w:rPr>
            </w:pP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spacing w:after="0"/>
              <w:rPr>
                <w:sz w:val="11"/>
                <w:szCs w:val="11"/>
                <w:color w:val="auto"/>
              </w:rPr>
            </w:pPr>
          </w:p>
        </w:tc>
        <w:tc>
          <w:tcPr>
            <w:tcW w:w="0" w:type="dxa"/>
            <w:vAlign w:val="bottom"/>
          </w:tcPr>
          <w:p>
            <w:pPr>
              <w:spacing w:after="0"/>
              <w:rPr>
                <w:sz w:val="1"/>
                <w:szCs w:val="1"/>
                <w:color w:val="auto"/>
              </w:rPr>
            </w:pPr>
          </w:p>
        </w:tc>
      </w:tr>
      <w:tr>
        <w:trPr>
          <w:trHeight w:val="137"/>
        </w:trPr>
        <w:tc>
          <w:tcPr>
            <w:tcW w:w="5100" w:type="dxa"/>
            <w:vAlign w:val="bottom"/>
            <w:gridSpan w:val="2"/>
          </w:tcPr>
          <w:p>
            <w:pPr>
              <w:spacing w:after="0"/>
              <w:rPr>
                <w:sz w:val="20"/>
                <w:szCs w:val="20"/>
                <w:color w:val="auto"/>
              </w:rPr>
            </w:pPr>
            <w:r>
              <w:rPr>
                <w:rFonts w:ascii="Arial" w:cs="Arial" w:eastAsia="Arial" w:hAnsi="Arial"/>
                <w:sz w:val="12"/>
                <w:szCs w:val="12"/>
                <w:color w:val="7B7C80"/>
              </w:rPr>
              <w:t>Net income ROE available to common stockholders (including AOCI)</w:t>
            </w:r>
          </w:p>
        </w:tc>
        <w:tc>
          <w:tcPr>
            <w:tcW w:w="220" w:type="dxa"/>
            <w:vAlign w:val="bottom"/>
          </w:tcPr>
          <w:p>
            <w:pPr>
              <w:spacing w:after="0"/>
              <w:rPr>
                <w:sz w:val="11"/>
                <w:szCs w:val="11"/>
                <w:color w:val="auto"/>
              </w:rPr>
            </w:pPr>
          </w:p>
        </w:tc>
        <w:tc>
          <w:tcPr>
            <w:tcW w:w="600" w:type="dxa"/>
            <w:vAlign w:val="bottom"/>
            <w:gridSpan w:val="2"/>
          </w:tcPr>
          <w:p>
            <w:pPr>
              <w:jc w:val="right"/>
              <w:spacing w:after="0"/>
              <w:rPr>
                <w:sz w:val="20"/>
                <w:szCs w:val="20"/>
                <w:color w:val="auto"/>
              </w:rPr>
            </w:pPr>
            <w:r>
              <w:rPr>
                <w:rFonts w:ascii="Arial" w:cs="Arial" w:eastAsia="Arial" w:hAnsi="Arial"/>
                <w:sz w:val="12"/>
                <w:szCs w:val="12"/>
                <w:color w:val="7B7C80"/>
              </w:rPr>
              <w:t>20.0%</w:t>
            </w:r>
          </w:p>
        </w:tc>
        <w:tc>
          <w:tcPr>
            <w:tcW w:w="8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7B7C80"/>
              </w:rPr>
              <w:t>13.5%</w:t>
            </w:r>
          </w:p>
        </w:tc>
        <w:tc>
          <w:tcPr>
            <w:tcW w:w="80" w:type="dxa"/>
            <w:vAlign w:val="bottom"/>
          </w:tcPr>
          <w:p>
            <w:pPr>
              <w:spacing w:after="0"/>
              <w:rPr>
                <w:sz w:val="11"/>
                <w:szCs w:val="11"/>
                <w:color w:val="auto"/>
              </w:rPr>
            </w:pPr>
          </w:p>
        </w:tc>
        <w:tc>
          <w:tcPr>
            <w:tcW w:w="540" w:type="dxa"/>
            <w:vAlign w:val="bottom"/>
          </w:tcPr>
          <w:p>
            <w:pPr>
              <w:jc w:val="right"/>
              <w:spacing w:after="0"/>
              <w:rPr>
                <w:sz w:val="20"/>
                <w:szCs w:val="20"/>
                <w:color w:val="auto"/>
              </w:rPr>
            </w:pPr>
            <w:r>
              <w:rPr>
                <w:rFonts w:ascii="Arial" w:cs="Arial" w:eastAsia="Arial" w:hAnsi="Arial"/>
                <w:sz w:val="12"/>
                <w:szCs w:val="12"/>
                <w:color w:val="7B7C80"/>
              </w:rPr>
              <w:t>12.8%</w:t>
            </w:r>
          </w:p>
        </w:tc>
        <w:tc>
          <w:tcPr>
            <w:tcW w:w="8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7B7C80"/>
              </w:rPr>
              <w:t>11.8%</w:t>
            </w:r>
          </w:p>
        </w:tc>
        <w:tc>
          <w:tcPr>
            <w:tcW w:w="100" w:type="dxa"/>
            <w:vAlign w:val="bottom"/>
          </w:tcPr>
          <w:p>
            <w:pPr>
              <w:spacing w:after="0"/>
              <w:rPr>
                <w:sz w:val="11"/>
                <w:szCs w:val="11"/>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7B7C80"/>
              </w:rPr>
              <w:t>9.6%</w:t>
            </w:r>
          </w:p>
        </w:tc>
        <w:tc>
          <w:tcPr>
            <w:tcW w:w="0" w:type="dxa"/>
            <w:vAlign w:val="bottom"/>
          </w:tcPr>
          <w:p>
            <w:pPr>
              <w:spacing w:after="0"/>
              <w:rPr>
                <w:sz w:val="1"/>
                <w:szCs w:val="1"/>
                <w:color w:val="auto"/>
              </w:rPr>
            </w:pPr>
          </w:p>
        </w:tc>
      </w:tr>
      <w:tr>
        <w:trPr>
          <w:trHeight w:val="137"/>
        </w:trPr>
        <w:tc>
          <w:tcPr>
            <w:tcW w:w="5100" w:type="dxa"/>
            <w:vAlign w:val="bottom"/>
            <w:gridSpan w:val="2"/>
            <w:shd w:val="clear" w:color="auto" w:fill="E7E6E7"/>
          </w:tcPr>
          <w:p>
            <w:pPr>
              <w:spacing w:after="0"/>
              <w:rPr>
                <w:sz w:val="20"/>
                <w:szCs w:val="20"/>
                <w:color w:val="auto"/>
              </w:rPr>
            </w:pPr>
            <w:r>
              <w:rPr>
                <w:rFonts w:ascii="Arial" w:cs="Arial" w:eastAsia="Arial" w:hAnsi="Arial"/>
                <w:sz w:val="12"/>
                <w:szCs w:val="12"/>
                <w:color w:val="7B7C80"/>
              </w:rPr>
              <w:t>Net unrealized capital (gains) losses</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spacing w:after="0"/>
              <w:rPr>
                <w:sz w:val="20"/>
                <w:szCs w:val="20"/>
                <w:color w:val="auto"/>
              </w:rPr>
            </w:pPr>
            <w:r>
              <w:rPr>
                <w:rFonts w:ascii="Arial" w:cs="Arial" w:eastAsia="Arial" w:hAnsi="Arial"/>
                <w:sz w:val="12"/>
                <w:szCs w:val="12"/>
                <w:color w:val="7B7C80"/>
              </w:rPr>
              <w:t>2.1%</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1.1%</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1.3%</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1.2%</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1.2%</w:t>
            </w:r>
          </w:p>
        </w:tc>
        <w:tc>
          <w:tcPr>
            <w:tcW w:w="0" w:type="dxa"/>
            <w:vAlign w:val="bottom"/>
          </w:tcPr>
          <w:p>
            <w:pPr>
              <w:spacing w:after="0"/>
              <w:rPr>
                <w:sz w:val="1"/>
                <w:szCs w:val="1"/>
                <w:color w:val="auto"/>
              </w:rPr>
            </w:pPr>
          </w:p>
        </w:tc>
      </w:tr>
      <w:tr>
        <w:trPr>
          <w:trHeight w:val="137"/>
        </w:trPr>
        <w:tc>
          <w:tcPr>
            <w:tcW w:w="5100" w:type="dxa"/>
            <w:vAlign w:val="bottom"/>
            <w:tcBorders>
              <w:bottom w:val="single" w:sz="8" w:color="7B7C80"/>
            </w:tcBorders>
            <w:gridSpan w:val="2"/>
          </w:tcPr>
          <w:p>
            <w:pPr>
              <w:spacing w:after="0"/>
              <w:rPr>
                <w:sz w:val="20"/>
                <w:szCs w:val="20"/>
                <w:color w:val="auto"/>
              </w:rPr>
            </w:pPr>
            <w:r>
              <w:rPr>
                <w:rFonts w:ascii="Arial" w:cs="Arial" w:eastAsia="Arial" w:hAnsi="Arial"/>
                <w:sz w:val="12"/>
                <w:szCs w:val="12"/>
                <w:color w:val="7B7C80"/>
              </w:rPr>
              <w:t>Net unrecognized postretirement benefit obligation</w:t>
            </w:r>
          </w:p>
        </w:tc>
        <w:tc>
          <w:tcPr>
            <w:tcW w:w="220" w:type="dxa"/>
            <w:vAlign w:val="bottom"/>
            <w:tcBorders>
              <w:bottom w:val="single" w:sz="8" w:color="7B7C80"/>
            </w:tcBorders>
          </w:tcPr>
          <w:p>
            <w:pPr>
              <w:spacing w:after="0"/>
              <w:rPr>
                <w:sz w:val="11"/>
                <w:szCs w:val="11"/>
                <w:color w:val="auto"/>
              </w:rPr>
            </w:pPr>
          </w:p>
        </w:tc>
        <w:tc>
          <w:tcPr>
            <w:tcW w:w="100" w:type="dxa"/>
            <w:vAlign w:val="bottom"/>
            <w:tcBorders>
              <w:bottom w:val="single" w:sz="8" w:color="7B7C80"/>
            </w:tcBorders>
          </w:tcPr>
          <w:p>
            <w:pPr>
              <w:spacing w:after="0"/>
              <w:rPr>
                <w:sz w:val="11"/>
                <w:szCs w:val="11"/>
                <w:color w:val="auto"/>
              </w:rPr>
            </w:pPr>
          </w:p>
        </w:tc>
        <w:tc>
          <w:tcPr>
            <w:tcW w:w="50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–0.7%</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–0.6%</w:t>
            </w:r>
          </w:p>
        </w:tc>
        <w:tc>
          <w:tcPr>
            <w:tcW w:w="80" w:type="dxa"/>
            <w:vAlign w:val="bottom"/>
            <w:tcBorders>
              <w:bottom w:val="single" w:sz="8" w:color="7B7C80"/>
            </w:tcBorders>
          </w:tcPr>
          <w:p>
            <w:pPr>
              <w:spacing w:after="0"/>
              <w:rPr>
                <w:sz w:val="11"/>
                <w:szCs w:val="11"/>
                <w:color w:val="auto"/>
              </w:rPr>
            </w:pPr>
          </w:p>
        </w:tc>
        <w:tc>
          <w:tcPr>
            <w:tcW w:w="5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–0.6%</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–0.3%</w:t>
            </w:r>
          </w:p>
        </w:tc>
        <w:tc>
          <w:tcPr>
            <w:tcW w:w="100" w:type="dxa"/>
            <w:vAlign w:val="bottom"/>
            <w:tcBorders>
              <w:bottom w:val="single" w:sz="8" w:color="7B7C80"/>
            </w:tcBorders>
          </w:tcPr>
          <w:p>
            <w:pPr>
              <w:spacing w:after="0"/>
              <w:rPr>
                <w:sz w:val="11"/>
                <w:szCs w:val="11"/>
                <w:color w:val="auto"/>
              </w:rPr>
            </w:pPr>
          </w:p>
        </w:tc>
        <w:tc>
          <w:tcPr>
            <w:tcW w:w="5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–0.4%</w:t>
            </w:r>
          </w:p>
        </w:tc>
        <w:tc>
          <w:tcPr>
            <w:tcW w:w="0" w:type="dxa"/>
            <w:vAlign w:val="bottom"/>
          </w:tcPr>
          <w:p>
            <w:pPr>
              <w:spacing w:after="0"/>
              <w:rPr>
                <w:sz w:val="1"/>
                <w:szCs w:val="1"/>
                <w:color w:val="auto"/>
              </w:rPr>
            </w:pPr>
          </w:p>
        </w:tc>
      </w:tr>
      <w:tr>
        <w:trPr>
          <w:trHeight w:val="129"/>
        </w:trPr>
        <w:tc>
          <w:tcPr>
            <w:tcW w:w="5100" w:type="dxa"/>
            <w:vAlign w:val="bottom"/>
            <w:gridSpan w:val="2"/>
            <w:shd w:val="clear" w:color="auto" w:fill="E7E6E7"/>
          </w:tcPr>
          <w:p>
            <w:pPr>
              <w:spacing w:after="0" w:line="129" w:lineRule="exact"/>
              <w:rPr>
                <w:sz w:val="20"/>
                <w:szCs w:val="20"/>
                <w:color w:val="auto"/>
              </w:rPr>
            </w:pPr>
            <w:r>
              <w:rPr>
                <w:rFonts w:ascii="Arial" w:cs="Arial" w:eastAsia="Arial" w:hAnsi="Arial"/>
                <w:sz w:val="12"/>
                <w:szCs w:val="12"/>
                <w:color w:val="7B7C80"/>
              </w:rPr>
              <w:t>Net income ROE available to common stockholders (x-AOCI other than FCTA)</w:t>
            </w:r>
          </w:p>
        </w:tc>
        <w:tc>
          <w:tcPr>
            <w:tcW w:w="220" w:type="dxa"/>
            <w:vAlign w:val="bottom"/>
            <w:shd w:val="clear" w:color="auto" w:fill="E7E6E7"/>
          </w:tcPr>
          <w:p>
            <w:pPr>
              <w:spacing w:after="0"/>
              <w:rPr>
                <w:sz w:val="11"/>
                <w:szCs w:val="11"/>
                <w:color w:val="auto"/>
              </w:rPr>
            </w:pPr>
          </w:p>
        </w:tc>
        <w:tc>
          <w:tcPr>
            <w:tcW w:w="600" w:type="dxa"/>
            <w:vAlign w:val="bottom"/>
            <w:gridSpan w:val="2"/>
            <w:shd w:val="clear" w:color="auto" w:fill="E7E6E7"/>
          </w:tcPr>
          <w:p>
            <w:pPr>
              <w:jc w:val="right"/>
              <w:spacing w:after="0" w:line="129" w:lineRule="exact"/>
              <w:rPr>
                <w:sz w:val="20"/>
                <w:szCs w:val="20"/>
                <w:color w:val="auto"/>
              </w:rPr>
            </w:pPr>
            <w:r>
              <w:rPr>
                <w:rFonts w:ascii="Arial" w:cs="Arial" w:eastAsia="Arial" w:hAnsi="Arial"/>
                <w:sz w:val="12"/>
                <w:szCs w:val="12"/>
                <w:color w:val="7B7C80"/>
              </w:rPr>
              <w:t>21.4%</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14.0%</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13.5%</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12.7%</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10.4%</w:t>
            </w:r>
          </w:p>
        </w:tc>
        <w:tc>
          <w:tcPr>
            <w:tcW w:w="0" w:type="dxa"/>
            <w:vAlign w:val="bottom"/>
          </w:tcPr>
          <w:p>
            <w:pPr>
              <w:spacing w:after="0"/>
              <w:rPr>
                <w:sz w:val="1"/>
                <w:szCs w:val="1"/>
                <w:color w:val="auto"/>
              </w:rPr>
            </w:pPr>
          </w:p>
        </w:tc>
      </w:tr>
      <w:tr>
        <w:trPr>
          <w:trHeight w:val="137"/>
        </w:trPr>
        <w:tc>
          <w:tcPr>
            <w:tcW w:w="5100" w:type="dxa"/>
            <w:vAlign w:val="bottom"/>
            <w:tcBorders>
              <w:bottom w:val="single" w:sz="8" w:color="7B7C80"/>
            </w:tcBorders>
            <w:gridSpan w:val="2"/>
          </w:tcPr>
          <w:p>
            <w:pPr>
              <w:spacing w:after="0"/>
              <w:rPr>
                <w:sz w:val="20"/>
                <w:szCs w:val="20"/>
                <w:color w:val="auto"/>
              </w:rPr>
            </w:pPr>
            <w:r>
              <w:rPr>
                <w:rFonts w:ascii="Arial" w:cs="Arial" w:eastAsia="Arial" w:hAnsi="Arial"/>
                <w:sz w:val="12"/>
                <w:szCs w:val="12"/>
                <w:color w:val="7B7C80"/>
              </w:rPr>
              <w:t>Net realized capital (gains) losses</w:t>
            </w:r>
          </w:p>
        </w:tc>
        <w:tc>
          <w:tcPr>
            <w:tcW w:w="220" w:type="dxa"/>
            <w:vAlign w:val="bottom"/>
            <w:tcBorders>
              <w:bottom w:val="single" w:sz="8" w:color="7B7C80"/>
            </w:tcBorders>
          </w:tcPr>
          <w:p>
            <w:pPr>
              <w:spacing w:after="0"/>
              <w:rPr>
                <w:sz w:val="11"/>
                <w:szCs w:val="11"/>
                <w:color w:val="auto"/>
              </w:rPr>
            </w:pPr>
          </w:p>
        </w:tc>
        <w:tc>
          <w:tcPr>
            <w:tcW w:w="100" w:type="dxa"/>
            <w:vAlign w:val="bottom"/>
            <w:tcBorders>
              <w:bottom w:val="single" w:sz="8" w:color="7B7C80"/>
            </w:tcBorders>
          </w:tcPr>
          <w:p>
            <w:pPr>
              <w:spacing w:after="0"/>
              <w:rPr>
                <w:sz w:val="11"/>
                <w:szCs w:val="11"/>
                <w:color w:val="auto"/>
              </w:rPr>
            </w:pPr>
          </w:p>
        </w:tc>
        <w:tc>
          <w:tcPr>
            <w:tcW w:w="50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–2.8%</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–0.5%</w:t>
            </w:r>
          </w:p>
        </w:tc>
        <w:tc>
          <w:tcPr>
            <w:tcW w:w="80" w:type="dxa"/>
            <w:vAlign w:val="bottom"/>
            <w:tcBorders>
              <w:bottom w:val="single" w:sz="8" w:color="7B7C80"/>
            </w:tcBorders>
          </w:tcPr>
          <w:p>
            <w:pPr>
              <w:spacing w:after="0"/>
              <w:rPr>
                <w:sz w:val="11"/>
                <w:szCs w:val="11"/>
                <w:color w:val="auto"/>
              </w:rPr>
            </w:pPr>
          </w:p>
        </w:tc>
        <w:tc>
          <w:tcPr>
            <w:tcW w:w="5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1.5%</w:t>
            </w:r>
          </w:p>
        </w:tc>
        <w:tc>
          <w:tcPr>
            <w:tcW w:w="80" w:type="dxa"/>
            <w:vAlign w:val="bottom"/>
            <w:tcBorders>
              <w:bottom w:val="single" w:sz="8" w:color="7B7C80"/>
            </w:tcBorders>
          </w:tcPr>
          <w:p>
            <w:pPr>
              <w:spacing w:after="0"/>
              <w:rPr>
                <w:sz w:val="11"/>
                <w:szCs w:val="11"/>
                <w:color w:val="auto"/>
              </w:rPr>
            </w:pP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1.2%</w:t>
            </w:r>
          </w:p>
        </w:tc>
        <w:tc>
          <w:tcPr>
            <w:tcW w:w="100" w:type="dxa"/>
            <w:vAlign w:val="bottom"/>
            <w:tcBorders>
              <w:bottom w:val="single" w:sz="8" w:color="7B7C80"/>
            </w:tcBorders>
          </w:tcPr>
          <w:p>
            <w:pPr>
              <w:spacing w:after="0"/>
              <w:rPr>
                <w:sz w:val="11"/>
                <w:szCs w:val="11"/>
                <w:color w:val="auto"/>
              </w:rPr>
            </w:pPr>
          </w:p>
        </w:tc>
        <w:tc>
          <w:tcPr>
            <w:tcW w:w="5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2.1%</w:t>
            </w:r>
          </w:p>
        </w:tc>
        <w:tc>
          <w:tcPr>
            <w:tcW w:w="0" w:type="dxa"/>
            <w:vAlign w:val="bottom"/>
          </w:tcPr>
          <w:p>
            <w:pPr>
              <w:spacing w:after="0"/>
              <w:rPr>
                <w:sz w:val="1"/>
                <w:szCs w:val="1"/>
                <w:color w:val="auto"/>
              </w:rPr>
            </w:pPr>
          </w:p>
        </w:tc>
      </w:tr>
      <w:tr>
        <w:trPr>
          <w:trHeight w:val="129"/>
        </w:trPr>
        <w:tc>
          <w:tcPr>
            <w:tcW w:w="5100" w:type="dxa"/>
            <w:vAlign w:val="bottom"/>
            <w:gridSpan w:val="2"/>
            <w:shd w:val="clear" w:color="auto" w:fill="E7E6E7"/>
          </w:tcPr>
          <w:p>
            <w:pPr>
              <w:spacing w:after="0" w:line="129" w:lineRule="exact"/>
              <w:rPr>
                <w:sz w:val="20"/>
                <w:szCs w:val="20"/>
                <w:color w:val="auto"/>
              </w:rPr>
            </w:pPr>
            <w:r>
              <w:rPr>
                <w:rFonts w:ascii="Arial" w:cs="Arial" w:eastAsia="Arial" w:hAnsi="Arial"/>
                <w:sz w:val="12"/>
                <w:szCs w:val="12"/>
                <w:color w:val="7B7C80"/>
              </w:rPr>
              <w:t>Other after-tax adjustments</w:t>
            </w:r>
          </w:p>
        </w:tc>
        <w:tc>
          <w:tcPr>
            <w:tcW w:w="220" w:type="dxa"/>
            <w:vAlign w:val="bottom"/>
            <w:shd w:val="clear" w:color="auto" w:fill="E7E6E7"/>
          </w:tcPr>
          <w:p>
            <w:pPr>
              <w:spacing w:after="0"/>
              <w:rPr>
                <w:sz w:val="11"/>
                <w:szCs w:val="11"/>
                <w:color w:val="auto"/>
              </w:rPr>
            </w:pPr>
          </w:p>
        </w:tc>
        <w:tc>
          <w:tcPr>
            <w:tcW w:w="100" w:type="dxa"/>
            <w:vAlign w:val="bottom"/>
            <w:shd w:val="clear" w:color="auto" w:fill="E7E6E7"/>
          </w:tcPr>
          <w:p>
            <w:pPr>
              <w:spacing w:after="0"/>
              <w:rPr>
                <w:sz w:val="11"/>
                <w:szCs w:val="11"/>
                <w:color w:val="auto"/>
              </w:rPr>
            </w:pPr>
          </w:p>
        </w:tc>
        <w:tc>
          <w:tcPr>
            <w:tcW w:w="50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–4.9%</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0.6%</w:t>
            </w:r>
          </w:p>
        </w:tc>
        <w:tc>
          <w:tcPr>
            <w:tcW w:w="80" w:type="dxa"/>
            <w:vAlign w:val="bottom"/>
            <w:shd w:val="clear" w:color="auto" w:fill="E7E6E7"/>
          </w:tcPr>
          <w:p>
            <w:pPr>
              <w:spacing w:after="0"/>
              <w:rPr>
                <w:sz w:val="11"/>
                <w:szCs w:val="11"/>
                <w:color w:val="auto"/>
              </w:rPr>
            </w:pPr>
          </w:p>
        </w:tc>
        <w:tc>
          <w:tcPr>
            <w:tcW w:w="54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–0.8%</w:t>
            </w:r>
          </w:p>
        </w:tc>
        <w:tc>
          <w:tcPr>
            <w:tcW w:w="80" w:type="dxa"/>
            <w:vAlign w:val="bottom"/>
            <w:shd w:val="clear" w:color="auto" w:fill="E7E6E7"/>
          </w:tcPr>
          <w:p>
            <w:pPr>
              <w:spacing w:after="0"/>
              <w:rPr>
                <w:sz w:val="11"/>
                <w:szCs w:val="11"/>
                <w:color w:val="auto"/>
              </w:rPr>
            </w:pPr>
          </w:p>
        </w:tc>
        <w:tc>
          <w:tcPr>
            <w:tcW w:w="60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1.2%</w:t>
            </w:r>
          </w:p>
        </w:tc>
        <w:tc>
          <w:tcPr>
            <w:tcW w:w="100" w:type="dxa"/>
            <w:vAlign w:val="bottom"/>
            <w:shd w:val="clear" w:color="auto" w:fill="E7E6E7"/>
          </w:tcPr>
          <w:p>
            <w:pPr>
              <w:spacing w:after="0"/>
              <w:rPr>
                <w:sz w:val="11"/>
                <w:szCs w:val="11"/>
                <w:color w:val="auto"/>
              </w:rPr>
            </w:pPr>
          </w:p>
        </w:tc>
        <w:tc>
          <w:tcPr>
            <w:tcW w:w="580" w:type="dxa"/>
            <w:vAlign w:val="bottom"/>
            <w:shd w:val="clear" w:color="auto" w:fill="E7E6E7"/>
          </w:tcPr>
          <w:p>
            <w:pPr>
              <w:jc w:val="right"/>
              <w:spacing w:after="0" w:line="129" w:lineRule="exact"/>
              <w:rPr>
                <w:sz w:val="20"/>
                <w:szCs w:val="20"/>
                <w:color w:val="auto"/>
              </w:rPr>
            </w:pPr>
            <w:r>
              <w:rPr>
                <w:rFonts w:ascii="Arial" w:cs="Arial" w:eastAsia="Arial" w:hAnsi="Arial"/>
                <w:sz w:val="12"/>
                <w:szCs w:val="12"/>
                <w:color w:val="7B7C80"/>
              </w:rPr>
              <w:t>0.0%</w:t>
            </w:r>
          </w:p>
        </w:tc>
        <w:tc>
          <w:tcPr>
            <w:tcW w:w="0" w:type="dxa"/>
            <w:vAlign w:val="bottom"/>
          </w:tcPr>
          <w:p>
            <w:pPr>
              <w:spacing w:after="0"/>
              <w:rPr>
                <w:sz w:val="1"/>
                <w:szCs w:val="1"/>
                <w:color w:val="auto"/>
              </w:rPr>
            </w:pPr>
          </w:p>
        </w:tc>
      </w:tr>
      <w:tr>
        <w:trPr>
          <w:trHeight w:val="140"/>
        </w:trPr>
        <w:tc>
          <w:tcPr>
            <w:tcW w:w="5100" w:type="dxa"/>
            <w:vAlign w:val="bottom"/>
            <w:tcBorders>
              <w:bottom w:val="single" w:sz="8" w:color="009CCC"/>
            </w:tcBorders>
            <w:gridSpan w:val="2"/>
          </w:tcPr>
          <w:p>
            <w:pPr>
              <w:spacing w:after="0"/>
              <w:rPr>
                <w:sz w:val="20"/>
                <w:szCs w:val="20"/>
                <w:color w:val="auto"/>
              </w:rPr>
            </w:pPr>
            <w:r>
              <w:rPr>
                <w:rFonts w:ascii="Arial" w:cs="Arial" w:eastAsia="Arial" w:hAnsi="Arial"/>
                <w:sz w:val="12"/>
                <w:szCs w:val="12"/>
                <w:color w:val="7B7C80"/>
              </w:rPr>
              <w:t>Non-GAAP operating earnings ROE (x-AOCI other than FCTA)</w:t>
            </w:r>
          </w:p>
        </w:tc>
        <w:tc>
          <w:tcPr>
            <w:tcW w:w="220" w:type="dxa"/>
            <w:vAlign w:val="bottom"/>
            <w:tcBorders>
              <w:bottom w:val="single" w:sz="8" w:color="009CCC"/>
            </w:tcBorders>
          </w:tcPr>
          <w:p>
            <w:pPr>
              <w:spacing w:after="0"/>
              <w:rPr>
                <w:sz w:val="12"/>
                <w:szCs w:val="12"/>
                <w:color w:val="auto"/>
              </w:rPr>
            </w:pPr>
          </w:p>
        </w:tc>
        <w:tc>
          <w:tcPr>
            <w:tcW w:w="600" w:type="dxa"/>
            <w:vAlign w:val="bottom"/>
            <w:tcBorders>
              <w:bottom w:val="single" w:sz="8" w:color="009CCC"/>
            </w:tcBorders>
            <w:gridSpan w:val="2"/>
          </w:tcPr>
          <w:p>
            <w:pPr>
              <w:jc w:val="right"/>
              <w:spacing w:after="0"/>
              <w:rPr>
                <w:sz w:val="20"/>
                <w:szCs w:val="20"/>
                <w:color w:val="auto"/>
              </w:rPr>
            </w:pPr>
            <w:r>
              <w:rPr>
                <w:rFonts w:ascii="Arial" w:cs="Arial" w:eastAsia="Arial" w:hAnsi="Arial"/>
                <w:sz w:val="12"/>
                <w:szCs w:val="12"/>
                <w:color w:val="7B7C80"/>
              </w:rPr>
              <w:t>13.7%</w:t>
            </w:r>
          </w:p>
        </w:tc>
        <w:tc>
          <w:tcPr>
            <w:tcW w:w="80" w:type="dxa"/>
            <w:vAlign w:val="bottom"/>
            <w:tcBorders>
              <w:bottom w:val="single" w:sz="8" w:color="009CCC"/>
            </w:tcBorders>
          </w:tcPr>
          <w:p>
            <w:pPr>
              <w:spacing w:after="0"/>
              <w:rPr>
                <w:sz w:val="12"/>
                <w:szCs w:val="12"/>
                <w:color w:val="auto"/>
              </w:rPr>
            </w:pPr>
          </w:p>
        </w:tc>
        <w:tc>
          <w:tcPr>
            <w:tcW w:w="60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14.1%</w:t>
            </w:r>
          </w:p>
        </w:tc>
        <w:tc>
          <w:tcPr>
            <w:tcW w:w="80" w:type="dxa"/>
            <w:vAlign w:val="bottom"/>
            <w:tcBorders>
              <w:bottom w:val="single" w:sz="8" w:color="009CCC"/>
            </w:tcBorders>
          </w:tcPr>
          <w:p>
            <w:pPr>
              <w:spacing w:after="0"/>
              <w:rPr>
                <w:sz w:val="12"/>
                <w:szCs w:val="12"/>
                <w:color w:val="auto"/>
              </w:rPr>
            </w:pPr>
          </w:p>
        </w:tc>
        <w:tc>
          <w:tcPr>
            <w:tcW w:w="54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14.2%</w:t>
            </w:r>
          </w:p>
        </w:tc>
        <w:tc>
          <w:tcPr>
            <w:tcW w:w="80" w:type="dxa"/>
            <w:vAlign w:val="bottom"/>
            <w:tcBorders>
              <w:bottom w:val="single" w:sz="8" w:color="009CCC"/>
            </w:tcBorders>
          </w:tcPr>
          <w:p>
            <w:pPr>
              <w:spacing w:after="0"/>
              <w:rPr>
                <w:sz w:val="12"/>
                <w:szCs w:val="12"/>
                <w:color w:val="auto"/>
              </w:rPr>
            </w:pPr>
          </w:p>
        </w:tc>
        <w:tc>
          <w:tcPr>
            <w:tcW w:w="60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15.1%</w:t>
            </w:r>
          </w:p>
        </w:tc>
        <w:tc>
          <w:tcPr>
            <w:tcW w:w="100" w:type="dxa"/>
            <w:vAlign w:val="bottom"/>
            <w:tcBorders>
              <w:bottom w:val="single" w:sz="8" w:color="009CCC"/>
            </w:tcBorders>
          </w:tcPr>
          <w:p>
            <w:pPr>
              <w:spacing w:after="0"/>
              <w:rPr>
                <w:sz w:val="12"/>
                <w:szCs w:val="12"/>
                <w:color w:val="auto"/>
              </w:rPr>
            </w:pPr>
          </w:p>
        </w:tc>
        <w:tc>
          <w:tcPr>
            <w:tcW w:w="580" w:type="dxa"/>
            <w:vAlign w:val="bottom"/>
            <w:tcBorders>
              <w:bottom w:val="single" w:sz="8" w:color="009CCC"/>
            </w:tcBorders>
          </w:tcPr>
          <w:p>
            <w:pPr>
              <w:jc w:val="right"/>
              <w:spacing w:after="0"/>
              <w:rPr>
                <w:sz w:val="20"/>
                <w:szCs w:val="20"/>
                <w:color w:val="auto"/>
              </w:rPr>
            </w:pPr>
            <w:r>
              <w:rPr>
                <w:rFonts w:ascii="Arial" w:cs="Arial" w:eastAsia="Arial" w:hAnsi="Arial"/>
                <w:sz w:val="12"/>
                <w:szCs w:val="12"/>
                <w:color w:val="7B7C80"/>
              </w:rPr>
              <w:t>12.5%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3072130</wp:posOffset>
            </wp:positionH>
            <wp:positionV relativeFrom="paragraph">
              <wp:posOffset>116205</wp:posOffset>
            </wp:positionV>
            <wp:extent cx="960120" cy="28384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303" w:lineRule="exact"/>
        <w:rPr>
          <w:sz w:val="20"/>
          <w:szCs w:val="20"/>
          <w:color w:val="auto"/>
        </w:rPr>
      </w:pPr>
    </w:p>
    <w:tbl>
      <w:tblPr>
        <w:tblLayout w:type="fixed"/>
        <w:tblInd w:w="0" w:type="dxa"/>
        <w:tblCellMar>
          <w:top w:w="0" w:type="dxa"/>
          <w:left w:w="0" w:type="dxa"/>
          <w:bottom w:w="0" w:type="dxa"/>
          <w:right w:w="0" w:type="dxa"/>
        </w:tblCellMar>
      </w:tblPr>
      <w:tr>
        <w:trPr>
          <w:trHeight w:val="179"/>
        </w:trPr>
        <w:tc>
          <w:tcPr>
            <w:tcW w:w="11040" w:type="dxa"/>
            <w:vAlign w:val="bottom"/>
          </w:tcPr>
          <w:p>
            <w:pPr>
              <w:ind w:left="9400"/>
              <w:spacing w:after="0"/>
              <w:rPr>
                <w:sz w:val="20"/>
                <w:szCs w:val="20"/>
                <w:color w:val="auto"/>
              </w:rPr>
            </w:pPr>
            <w:r>
              <w:rPr>
                <w:rFonts w:ascii="Arial" w:cs="Arial" w:eastAsia="Arial" w:hAnsi="Arial"/>
                <w:sz w:val="15"/>
                <w:szCs w:val="15"/>
                <w:color w:val="7B7C80"/>
              </w:rPr>
              <w:t>2018 Proxy Statement</w:t>
            </w:r>
          </w:p>
        </w:tc>
        <w:tc>
          <w:tcPr>
            <w:tcW w:w="400" w:type="dxa"/>
            <w:vAlign w:val="bottom"/>
          </w:tcPr>
          <w:p>
            <w:pPr>
              <w:ind w:left="160"/>
              <w:spacing w:after="0"/>
              <w:rPr>
                <w:sz w:val="20"/>
                <w:szCs w:val="20"/>
                <w:color w:val="auto"/>
              </w:rPr>
            </w:pPr>
            <w:r>
              <w:rPr>
                <w:rFonts w:ascii="Arial" w:cs="Arial" w:eastAsia="Arial" w:hAnsi="Arial"/>
                <w:sz w:val="15"/>
                <w:szCs w:val="15"/>
                <w:color w:val="009CCC"/>
                <w:w w:val="94"/>
              </w:rPr>
              <w:t>B-1</w:t>
            </w:r>
          </w:p>
        </w:tc>
      </w:tr>
      <w:tr>
        <w:trPr>
          <w:trHeight w:val="318"/>
        </w:trPr>
        <w:tc>
          <w:tcPr>
            <w:tcW w:w="11040" w:type="dxa"/>
            <w:vAlign w:val="bottom"/>
            <w:tcBorders>
              <w:bottom w:val="single" w:sz="8" w:color="808080"/>
            </w:tcBorders>
          </w:tcPr>
          <w:p>
            <w:pPr>
              <w:spacing w:after="0"/>
              <w:rPr>
                <w:sz w:val="24"/>
                <w:szCs w:val="24"/>
                <w:color w:val="auto"/>
              </w:rPr>
            </w:pPr>
          </w:p>
        </w:tc>
        <w:tc>
          <w:tcPr>
            <w:tcW w:w="40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7252335</wp:posOffset>
            </wp:positionH>
            <wp:positionV relativeFrom="paragraph">
              <wp:posOffset>-12700</wp:posOffset>
            </wp:positionV>
            <wp:extent cx="12700" cy="698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12700" cy="698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-12700</wp:posOffset>
            </wp:positionV>
            <wp:extent cx="12700" cy="698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12700" cy="6985"/>
                    </a:xfrm>
                    <a:prstGeom prst="rect">
                      <a:avLst/>
                    </a:prstGeom>
                    <a:noFill/>
                  </pic:spPr>
                </pic:pic>
              </a:graphicData>
            </a:graphic>
          </wp:anchor>
        </w:drawing>
      </w:r>
    </w:p>
    <w:p>
      <w:pPr>
        <w:sectPr>
          <w:pgSz w:w="11900" w:h="16838" w:orient="portrait"/>
          <w:cols w:equalWidth="0" w:num="1">
            <w:col w:w="11440"/>
          </w:cols>
          <w:pgMar w:left="240" w:top="142" w:right="219" w:bottom="1440" w:gutter="0" w:footer="0" w:header="0"/>
        </w:sectPr>
      </w:pPr>
    </w:p>
    <w:bookmarkStart w:id="73" w:name="page74"/>
    <w:bookmarkEnd w:id="73"/>
    <w:p>
      <w:pPr>
        <w:spacing w:after="0"/>
        <w:rPr>
          <w:rFonts w:ascii="Arial" w:cs="Arial" w:eastAsia="Arial" w:hAnsi="Arial"/>
          <w:sz w:val="15"/>
          <w:szCs w:val="15"/>
          <w:u w:val="single" w:color="auto"/>
          <w:color w:val="0000EE"/>
        </w:rPr>
      </w:pPr>
      <w:hyperlink w:anchor="page5">
        <w:r>
          <w:rPr>
            <w:rFonts w:ascii="Arial" w:cs="Arial" w:eastAsia="Arial" w:hAnsi="Arial"/>
            <w:sz w:val="15"/>
            <w:szCs w:val="15"/>
            <w:u w:val="single" w:color="auto"/>
            <w:color w:val="0000EE"/>
          </w:rPr>
          <w:t>Table of Contents</w:t>
        </w:r>
      </w:hyperlink>
    </w:p>
    <w:p>
      <w:pPr>
        <w:spacing w:after="0" w:line="160" w:lineRule="exact"/>
        <w:rPr>
          <w:sz w:val="20"/>
          <w:szCs w:val="20"/>
          <w:color w:val="auto"/>
        </w:rPr>
      </w:pPr>
    </w:p>
    <w:tbl>
      <w:tblPr>
        <w:tblLayout w:type="fixed"/>
        <w:tblInd w:w="1360" w:type="dxa"/>
        <w:tblCellMar>
          <w:top w:w="0" w:type="dxa"/>
          <w:left w:w="0" w:type="dxa"/>
          <w:bottom w:w="0" w:type="dxa"/>
          <w:right w:w="0" w:type="dxa"/>
        </w:tblCellMar>
      </w:tblPr>
      <w:tr>
        <w:trPr>
          <w:trHeight w:val="139"/>
        </w:trPr>
        <w:tc>
          <w:tcPr>
            <w:tcW w:w="6020" w:type="dxa"/>
            <w:vAlign w:val="bottom"/>
            <w:tcBorders>
              <w:top w:val="single" w:sz="8" w:color="009CCC"/>
            </w:tcBorders>
          </w:tcPr>
          <w:p>
            <w:pPr>
              <w:spacing w:after="0"/>
              <w:rPr>
                <w:sz w:val="12"/>
                <w:szCs w:val="12"/>
                <w:color w:val="auto"/>
              </w:rPr>
            </w:pPr>
          </w:p>
        </w:tc>
        <w:tc>
          <w:tcPr>
            <w:tcW w:w="2560" w:type="dxa"/>
            <w:vAlign w:val="bottom"/>
            <w:tcBorders>
              <w:top w:val="single" w:sz="8" w:color="009CCC"/>
            </w:tcBorders>
            <w:gridSpan w:val="2"/>
          </w:tcPr>
          <w:p>
            <w:pPr>
              <w:jc w:val="center"/>
              <w:ind w:left="1019"/>
              <w:spacing w:after="0"/>
              <w:rPr>
                <w:sz w:val="20"/>
                <w:szCs w:val="20"/>
                <w:color w:val="auto"/>
              </w:rPr>
            </w:pPr>
            <w:r>
              <w:rPr>
                <w:rFonts w:ascii="Arial" w:cs="Arial" w:eastAsia="Arial" w:hAnsi="Arial"/>
                <w:sz w:val="12"/>
                <w:szCs w:val="12"/>
                <w:b w:val="1"/>
                <w:bCs w:val="1"/>
                <w:color w:val="009CCC"/>
              </w:rPr>
              <w:t>For the year ended,</w:t>
            </w:r>
          </w:p>
        </w:tc>
      </w:tr>
      <w:tr>
        <w:trPr>
          <w:trHeight w:val="147"/>
        </w:trPr>
        <w:tc>
          <w:tcPr>
            <w:tcW w:w="6020" w:type="dxa"/>
            <w:vAlign w:val="bottom"/>
            <w:tcBorders>
              <w:bottom w:val="single" w:sz="8" w:color="7B7C80"/>
            </w:tcBorders>
          </w:tcPr>
          <w:p>
            <w:pPr>
              <w:spacing w:after="0"/>
              <w:rPr>
                <w:sz w:val="12"/>
                <w:szCs w:val="12"/>
                <w:color w:val="auto"/>
              </w:rPr>
            </w:pPr>
          </w:p>
        </w:tc>
        <w:tc>
          <w:tcPr>
            <w:tcW w:w="2560" w:type="dxa"/>
            <w:vAlign w:val="bottom"/>
            <w:tcBorders>
              <w:bottom w:val="single" w:sz="8" w:color="7B7C80"/>
            </w:tcBorders>
            <w:gridSpan w:val="2"/>
          </w:tcPr>
          <w:p>
            <w:pPr>
              <w:jc w:val="right"/>
              <w:ind w:right="119"/>
              <w:spacing w:after="0"/>
              <w:rPr>
                <w:sz w:val="20"/>
                <w:szCs w:val="20"/>
                <w:color w:val="auto"/>
              </w:rPr>
            </w:pPr>
            <w:r>
              <w:rPr>
                <w:rFonts w:ascii="Arial" w:cs="Arial" w:eastAsia="Arial" w:hAnsi="Arial"/>
                <w:sz w:val="12"/>
                <w:szCs w:val="12"/>
                <w:b w:val="1"/>
                <w:bCs w:val="1"/>
                <w:color w:val="009CCC"/>
              </w:rPr>
              <w:t>31-Dec-17</w:t>
            </w:r>
          </w:p>
        </w:tc>
      </w:tr>
      <w:tr>
        <w:trPr>
          <w:trHeight w:val="129"/>
        </w:trPr>
        <w:tc>
          <w:tcPr>
            <w:tcW w:w="6020" w:type="dxa"/>
            <w:vAlign w:val="bottom"/>
            <w:shd w:val="clear" w:color="auto" w:fill="E7E6E7"/>
          </w:tcPr>
          <w:p>
            <w:pPr>
              <w:spacing w:after="0" w:line="129" w:lineRule="exact"/>
              <w:rPr>
                <w:sz w:val="20"/>
                <w:szCs w:val="20"/>
                <w:color w:val="auto"/>
              </w:rPr>
            </w:pPr>
            <w:r>
              <w:rPr>
                <w:rFonts w:ascii="Arial" w:cs="Arial" w:eastAsia="Arial" w:hAnsi="Arial"/>
                <w:sz w:val="12"/>
                <w:szCs w:val="12"/>
                <w:b w:val="1"/>
                <w:bCs w:val="1"/>
                <w:color w:val="7B7C80"/>
              </w:rPr>
              <w:t>Operating Revenues</w:t>
            </w:r>
          </w:p>
        </w:tc>
        <w:tc>
          <w:tcPr>
            <w:tcW w:w="1880" w:type="dxa"/>
            <w:vAlign w:val="bottom"/>
            <w:shd w:val="clear" w:color="auto" w:fill="E7E6E7"/>
          </w:tcPr>
          <w:p>
            <w:pPr>
              <w:spacing w:after="0"/>
              <w:rPr>
                <w:sz w:val="11"/>
                <w:szCs w:val="11"/>
                <w:color w:val="auto"/>
              </w:rPr>
            </w:pPr>
          </w:p>
        </w:tc>
        <w:tc>
          <w:tcPr>
            <w:tcW w:w="680" w:type="dxa"/>
            <w:vAlign w:val="bottom"/>
            <w:shd w:val="clear" w:color="auto" w:fill="E7E6E7"/>
          </w:tcPr>
          <w:p>
            <w:pPr>
              <w:spacing w:after="0"/>
              <w:rPr>
                <w:sz w:val="11"/>
                <w:szCs w:val="11"/>
                <w:color w:val="auto"/>
              </w:rPr>
            </w:pPr>
          </w:p>
        </w:tc>
      </w:tr>
      <w:tr>
        <w:trPr>
          <w:trHeight w:val="137"/>
        </w:trPr>
        <w:tc>
          <w:tcPr>
            <w:tcW w:w="6020" w:type="dxa"/>
            <w:vAlign w:val="bottom"/>
          </w:tcPr>
          <w:p>
            <w:pPr>
              <w:spacing w:after="0"/>
              <w:rPr>
                <w:sz w:val="20"/>
                <w:szCs w:val="20"/>
                <w:color w:val="auto"/>
              </w:rPr>
            </w:pPr>
            <w:r>
              <w:rPr>
                <w:rFonts w:ascii="Arial" w:cs="Arial" w:eastAsia="Arial" w:hAnsi="Arial"/>
                <w:sz w:val="12"/>
                <w:szCs w:val="12"/>
                <w:color w:val="7B7C80"/>
              </w:rPr>
              <w:t>Operating revenues</w:t>
            </w:r>
          </w:p>
        </w:tc>
        <w:tc>
          <w:tcPr>
            <w:tcW w:w="1880" w:type="dxa"/>
            <w:vAlign w:val="bottom"/>
          </w:tcPr>
          <w:p>
            <w:pPr>
              <w:jc w:val="center"/>
              <w:ind w:left="1679"/>
              <w:spacing w:after="0"/>
              <w:rPr>
                <w:sz w:val="20"/>
                <w:szCs w:val="20"/>
                <w:color w:val="auto"/>
              </w:rPr>
            </w:pPr>
            <w:r>
              <w:rPr>
                <w:rFonts w:ascii="Arial" w:cs="Arial" w:eastAsia="Arial" w:hAnsi="Arial"/>
                <w:sz w:val="12"/>
                <w:szCs w:val="12"/>
                <w:color w:val="7B7C80"/>
                <w:w w:val="89"/>
              </w:rPr>
              <w:t>$</w:t>
            </w:r>
          </w:p>
        </w:tc>
        <w:tc>
          <w:tcPr>
            <w:tcW w:w="680" w:type="dxa"/>
            <w:vAlign w:val="bottom"/>
          </w:tcPr>
          <w:p>
            <w:pPr>
              <w:jc w:val="right"/>
              <w:ind w:right="119"/>
              <w:spacing w:after="0"/>
              <w:rPr>
                <w:sz w:val="20"/>
                <w:szCs w:val="20"/>
                <w:color w:val="auto"/>
              </w:rPr>
            </w:pPr>
            <w:r>
              <w:rPr>
                <w:rFonts w:ascii="Arial" w:cs="Arial" w:eastAsia="Arial" w:hAnsi="Arial"/>
                <w:sz w:val="12"/>
                <w:szCs w:val="12"/>
                <w:color w:val="7B7C80"/>
              </w:rPr>
              <w:t>13,703.3</w:t>
            </w:r>
          </w:p>
        </w:tc>
      </w:tr>
      <w:tr>
        <w:trPr>
          <w:trHeight w:val="137"/>
        </w:trPr>
        <w:tc>
          <w:tcPr>
            <w:tcW w:w="6020" w:type="dxa"/>
            <w:vAlign w:val="bottom"/>
            <w:shd w:val="clear" w:color="auto" w:fill="E7E6E7"/>
          </w:tcPr>
          <w:p>
            <w:pPr>
              <w:spacing w:after="0"/>
              <w:rPr>
                <w:sz w:val="20"/>
                <w:szCs w:val="20"/>
                <w:color w:val="auto"/>
              </w:rPr>
            </w:pPr>
            <w:r>
              <w:rPr>
                <w:rFonts w:ascii="Arial" w:cs="Arial" w:eastAsia="Arial" w:hAnsi="Arial"/>
                <w:sz w:val="12"/>
                <w:szCs w:val="12"/>
                <w:color w:val="7B7C80"/>
              </w:rPr>
              <w:t>Net realized capital gains (losses), net of related revenue adjustments</w:t>
            </w:r>
          </w:p>
        </w:tc>
        <w:tc>
          <w:tcPr>
            <w:tcW w:w="1880" w:type="dxa"/>
            <w:vAlign w:val="bottom"/>
            <w:shd w:val="clear" w:color="auto" w:fill="E7E6E7"/>
          </w:tcPr>
          <w:p>
            <w:pPr>
              <w:spacing w:after="0"/>
              <w:rPr>
                <w:sz w:val="11"/>
                <w:szCs w:val="11"/>
                <w:color w:val="auto"/>
              </w:rPr>
            </w:pPr>
          </w:p>
        </w:tc>
        <w:tc>
          <w:tcPr>
            <w:tcW w:w="6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472.2</w:t>
            </w:r>
          </w:p>
        </w:tc>
      </w:tr>
      <w:tr>
        <w:trPr>
          <w:trHeight w:val="137"/>
        </w:trPr>
        <w:tc>
          <w:tcPr>
            <w:tcW w:w="6020" w:type="dxa"/>
            <w:vAlign w:val="bottom"/>
            <w:tcBorders>
              <w:bottom w:val="single" w:sz="8" w:color="7B7C80"/>
            </w:tcBorders>
          </w:tcPr>
          <w:p>
            <w:pPr>
              <w:spacing w:after="0"/>
              <w:rPr>
                <w:sz w:val="20"/>
                <w:szCs w:val="20"/>
                <w:color w:val="auto"/>
              </w:rPr>
            </w:pPr>
            <w:r>
              <w:rPr>
                <w:rFonts w:ascii="Arial" w:cs="Arial" w:eastAsia="Arial" w:hAnsi="Arial"/>
                <w:sz w:val="12"/>
                <w:szCs w:val="12"/>
                <w:color w:val="7B7C80"/>
              </w:rPr>
              <w:t>Adjustments related to equity method investments</w:t>
            </w:r>
          </w:p>
        </w:tc>
        <w:tc>
          <w:tcPr>
            <w:tcW w:w="1880" w:type="dxa"/>
            <w:vAlign w:val="bottom"/>
            <w:tcBorders>
              <w:bottom w:val="single" w:sz="8" w:color="7B7C80"/>
            </w:tcBorders>
          </w:tcPr>
          <w:p>
            <w:pPr>
              <w:spacing w:after="0"/>
              <w:rPr>
                <w:sz w:val="11"/>
                <w:szCs w:val="11"/>
                <w:color w:val="auto"/>
              </w:rPr>
            </w:pPr>
          </w:p>
        </w:tc>
        <w:tc>
          <w:tcPr>
            <w:tcW w:w="680" w:type="dxa"/>
            <w:vAlign w:val="bottom"/>
            <w:tcBorders>
              <w:bottom w:val="single" w:sz="8" w:color="7B7C80"/>
            </w:tcBorders>
          </w:tcPr>
          <w:p>
            <w:pPr>
              <w:jc w:val="right"/>
              <w:ind w:right="79"/>
              <w:spacing w:after="0"/>
              <w:rPr>
                <w:sz w:val="20"/>
                <w:szCs w:val="20"/>
                <w:color w:val="auto"/>
              </w:rPr>
            </w:pPr>
            <w:r>
              <w:rPr>
                <w:rFonts w:ascii="Arial" w:cs="Arial" w:eastAsia="Arial" w:hAnsi="Arial"/>
                <w:sz w:val="12"/>
                <w:szCs w:val="12"/>
                <w:color w:val="7B7C80"/>
              </w:rPr>
              <w:t>(82.3)</w:t>
            </w:r>
          </w:p>
        </w:tc>
      </w:tr>
      <w:tr>
        <w:trPr>
          <w:trHeight w:val="129"/>
        </w:trPr>
        <w:tc>
          <w:tcPr>
            <w:tcW w:w="6020" w:type="dxa"/>
            <w:vAlign w:val="bottom"/>
            <w:tcBorders>
              <w:bottom w:val="single" w:sz="8" w:color="7B7C80"/>
            </w:tcBorders>
            <w:shd w:val="clear" w:color="auto" w:fill="E7E6E7"/>
          </w:tcPr>
          <w:p>
            <w:pPr>
              <w:spacing w:after="0" w:line="129" w:lineRule="exact"/>
              <w:rPr>
                <w:sz w:val="20"/>
                <w:szCs w:val="20"/>
                <w:color w:val="auto"/>
              </w:rPr>
            </w:pPr>
            <w:r>
              <w:rPr>
                <w:rFonts w:ascii="Arial" w:cs="Arial" w:eastAsia="Arial" w:hAnsi="Arial"/>
                <w:sz w:val="12"/>
                <w:szCs w:val="12"/>
                <w:color w:val="7B7C80"/>
              </w:rPr>
              <w:t>Total GAAP revenues</w:t>
            </w:r>
          </w:p>
        </w:tc>
        <w:tc>
          <w:tcPr>
            <w:tcW w:w="1880" w:type="dxa"/>
            <w:vAlign w:val="bottom"/>
            <w:tcBorders>
              <w:bottom w:val="single" w:sz="8" w:color="7B7C80"/>
            </w:tcBorders>
            <w:shd w:val="clear" w:color="auto" w:fill="E7E6E7"/>
          </w:tcPr>
          <w:p>
            <w:pPr>
              <w:jc w:val="center"/>
              <w:ind w:left="1679"/>
              <w:spacing w:after="0" w:line="129" w:lineRule="exact"/>
              <w:rPr>
                <w:sz w:val="20"/>
                <w:szCs w:val="20"/>
                <w:color w:val="auto"/>
              </w:rPr>
            </w:pPr>
            <w:r>
              <w:rPr>
                <w:rFonts w:ascii="Arial" w:cs="Arial" w:eastAsia="Arial" w:hAnsi="Arial"/>
                <w:sz w:val="12"/>
                <w:szCs w:val="12"/>
                <w:color w:val="7B7C80"/>
                <w:w w:val="89"/>
              </w:rPr>
              <w:t>$</w:t>
            </w:r>
          </w:p>
        </w:tc>
        <w:tc>
          <w:tcPr>
            <w:tcW w:w="680" w:type="dxa"/>
            <w:vAlign w:val="bottom"/>
            <w:tcBorders>
              <w:bottom w:val="single" w:sz="8" w:color="7B7C80"/>
            </w:tcBorders>
            <w:shd w:val="clear" w:color="auto" w:fill="E7E6E7"/>
          </w:tcPr>
          <w:p>
            <w:pPr>
              <w:jc w:val="right"/>
              <w:ind w:right="119"/>
              <w:spacing w:after="0" w:line="129" w:lineRule="exact"/>
              <w:rPr>
                <w:sz w:val="20"/>
                <w:szCs w:val="20"/>
                <w:color w:val="auto"/>
              </w:rPr>
            </w:pPr>
            <w:r>
              <w:rPr>
                <w:rFonts w:ascii="Arial" w:cs="Arial" w:eastAsia="Arial" w:hAnsi="Arial"/>
                <w:sz w:val="12"/>
                <w:szCs w:val="12"/>
                <w:color w:val="7B7C80"/>
              </w:rPr>
              <w:t>14,093.2</w:t>
            </w:r>
          </w:p>
        </w:tc>
      </w:tr>
      <w:tr>
        <w:trPr>
          <w:trHeight w:val="129"/>
        </w:trPr>
        <w:tc>
          <w:tcPr>
            <w:tcW w:w="6020" w:type="dxa"/>
            <w:vAlign w:val="bottom"/>
          </w:tcPr>
          <w:p>
            <w:pPr>
              <w:spacing w:after="0" w:line="129" w:lineRule="exact"/>
              <w:rPr>
                <w:sz w:val="20"/>
                <w:szCs w:val="20"/>
                <w:color w:val="auto"/>
              </w:rPr>
            </w:pPr>
            <w:r>
              <w:rPr>
                <w:rFonts w:ascii="Arial" w:cs="Arial" w:eastAsia="Arial" w:hAnsi="Arial"/>
                <w:sz w:val="12"/>
                <w:szCs w:val="12"/>
                <w:b w:val="1"/>
                <w:bCs w:val="1"/>
                <w:color w:val="7B7C80"/>
              </w:rPr>
              <w:t>Net Revenue</w:t>
            </w:r>
          </w:p>
        </w:tc>
        <w:tc>
          <w:tcPr>
            <w:tcW w:w="1880" w:type="dxa"/>
            <w:vAlign w:val="bottom"/>
          </w:tcPr>
          <w:p>
            <w:pPr>
              <w:spacing w:after="0"/>
              <w:rPr>
                <w:sz w:val="11"/>
                <w:szCs w:val="11"/>
                <w:color w:val="auto"/>
              </w:rPr>
            </w:pPr>
          </w:p>
        </w:tc>
        <w:tc>
          <w:tcPr>
            <w:tcW w:w="680" w:type="dxa"/>
            <w:vAlign w:val="bottom"/>
          </w:tcPr>
          <w:p>
            <w:pPr>
              <w:spacing w:after="0"/>
              <w:rPr>
                <w:sz w:val="11"/>
                <w:szCs w:val="11"/>
                <w:color w:val="auto"/>
              </w:rPr>
            </w:pPr>
          </w:p>
        </w:tc>
      </w:tr>
      <w:tr>
        <w:trPr>
          <w:trHeight w:val="137"/>
        </w:trPr>
        <w:tc>
          <w:tcPr>
            <w:tcW w:w="6020" w:type="dxa"/>
            <w:vAlign w:val="bottom"/>
            <w:shd w:val="clear" w:color="auto" w:fill="E7E6E7"/>
          </w:tcPr>
          <w:p>
            <w:pPr>
              <w:spacing w:after="0"/>
              <w:rPr>
                <w:sz w:val="20"/>
                <w:szCs w:val="20"/>
                <w:color w:val="auto"/>
              </w:rPr>
            </w:pPr>
            <w:r>
              <w:rPr>
                <w:rFonts w:ascii="Arial" w:cs="Arial" w:eastAsia="Arial" w:hAnsi="Arial"/>
                <w:sz w:val="12"/>
                <w:szCs w:val="12"/>
                <w:color w:val="7B7C80"/>
              </w:rPr>
              <w:t>Net revenue</w:t>
            </w:r>
          </w:p>
        </w:tc>
        <w:tc>
          <w:tcPr>
            <w:tcW w:w="1880" w:type="dxa"/>
            <w:vAlign w:val="bottom"/>
            <w:shd w:val="clear" w:color="auto" w:fill="E7E6E7"/>
          </w:tcPr>
          <w:p>
            <w:pPr>
              <w:jc w:val="center"/>
              <w:ind w:left="1679"/>
              <w:spacing w:after="0"/>
              <w:rPr>
                <w:sz w:val="20"/>
                <w:szCs w:val="20"/>
                <w:color w:val="auto"/>
              </w:rPr>
            </w:pPr>
            <w:r>
              <w:rPr>
                <w:rFonts w:ascii="Arial" w:cs="Arial" w:eastAsia="Arial" w:hAnsi="Arial"/>
                <w:sz w:val="12"/>
                <w:szCs w:val="12"/>
                <w:color w:val="7B7C80"/>
                <w:w w:val="89"/>
              </w:rPr>
              <w:t>$</w:t>
            </w:r>
          </w:p>
        </w:tc>
        <w:tc>
          <w:tcPr>
            <w:tcW w:w="6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5,716.5</w:t>
            </w:r>
          </w:p>
        </w:tc>
      </w:tr>
      <w:tr>
        <w:trPr>
          <w:trHeight w:val="137"/>
        </w:trPr>
        <w:tc>
          <w:tcPr>
            <w:tcW w:w="6020" w:type="dxa"/>
            <w:vAlign w:val="bottom"/>
          </w:tcPr>
          <w:p>
            <w:pPr>
              <w:spacing w:after="0"/>
              <w:rPr>
                <w:sz w:val="20"/>
                <w:szCs w:val="20"/>
                <w:color w:val="auto"/>
              </w:rPr>
            </w:pPr>
            <w:r>
              <w:rPr>
                <w:rFonts w:ascii="Arial" w:cs="Arial" w:eastAsia="Arial" w:hAnsi="Arial"/>
                <w:sz w:val="12"/>
                <w:szCs w:val="12"/>
                <w:color w:val="7B7C80"/>
              </w:rPr>
              <w:t>Operating expenses</w:t>
            </w:r>
          </w:p>
        </w:tc>
        <w:tc>
          <w:tcPr>
            <w:tcW w:w="1880" w:type="dxa"/>
            <w:vAlign w:val="bottom"/>
          </w:tcPr>
          <w:p>
            <w:pPr>
              <w:spacing w:after="0"/>
              <w:rPr>
                <w:sz w:val="11"/>
                <w:szCs w:val="11"/>
                <w:color w:val="auto"/>
              </w:rPr>
            </w:pPr>
          </w:p>
        </w:tc>
        <w:tc>
          <w:tcPr>
            <w:tcW w:w="680" w:type="dxa"/>
            <w:vAlign w:val="bottom"/>
          </w:tcPr>
          <w:p>
            <w:pPr>
              <w:jc w:val="right"/>
              <w:ind w:right="79"/>
              <w:spacing w:after="0"/>
              <w:rPr>
                <w:sz w:val="20"/>
                <w:szCs w:val="20"/>
                <w:color w:val="auto"/>
              </w:rPr>
            </w:pPr>
            <w:r>
              <w:rPr>
                <w:rFonts w:ascii="Arial" w:cs="Arial" w:eastAsia="Arial" w:hAnsi="Arial"/>
                <w:sz w:val="12"/>
                <w:szCs w:val="12"/>
                <w:color w:val="7B7C80"/>
              </w:rPr>
              <w:t>(3,832.3)</w:t>
            </w:r>
          </w:p>
        </w:tc>
      </w:tr>
      <w:tr>
        <w:trPr>
          <w:trHeight w:val="137"/>
        </w:trPr>
        <w:tc>
          <w:tcPr>
            <w:tcW w:w="6020" w:type="dxa"/>
            <w:vAlign w:val="bottom"/>
            <w:shd w:val="clear" w:color="auto" w:fill="E7E6E7"/>
          </w:tcPr>
          <w:p>
            <w:pPr>
              <w:spacing w:after="0"/>
              <w:rPr>
                <w:sz w:val="20"/>
                <w:szCs w:val="20"/>
                <w:color w:val="auto"/>
              </w:rPr>
            </w:pPr>
            <w:r>
              <w:rPr>
                <w:rFonts w:ascii="Arial" w:cs="Arial" w:eastAsia="Arial" w:hAnsi="Arial"/>
                <w:sz w:val="12"/>
                <w:szCs w:val="12"/>
                <w:color w:val="7B7C80"/>
              </w:rPr>
              <w:t>Non-GAAP pre-tax operating earnings (losses) attributable to noncontrolling interest</w:t>
            </w:r>
          </w:p>
        </w:tc>
        <w:tc>
          <w:tcPr>
            <w:tcW w:w="1880" w:type="dxa"/>
            <w:vAlign w:val="bottom"/>
            <w:shd w:val="clear" w:color="auto" w:fill="E7E6E7"/>
          </w:tcPr>
          <w:p>
            <w:pPr>
              <w:spacing w:after="0"/>
              <w:rPr>
                <w:sz w:val="11"/>
                <w:szCs w:val="11"/>
                <w:color w:val="auto"/>
              </w:rPr>
            </w:pPr>
          </w:p>
        </w:tc>
        <w:tc>
          <w:tcPr>
            <w:tcW w:w="680" w:type="dxa"/>
            <w:vAlign w:val="bottom"/>
            <w:shd w:val="clear" w:color="auto" w:fill="E7E6E7"/>
          </w:tcPr>
          <w:p>
            <w:pPr>
              <w:jc w:val="right"/>
              <w:ind w:right="79"/>
              <w:spacing w:after="0"/>
              <w:rPr>
                <w:sz w:val="20"/>
                <w:szCs w:val="20"/>
                <w:color w:val="auto"/>
              </w:rPr>
            </w:pPr>
            <w:r>
              <w:rPr>
                <w:rFonts w:ascii="Arial" w:cs="Arial" w:eastAsia="Arial" w:hAnsi="Arial"/>
                <w:sz w:val="12"/>
                <w:szCs w:val="12"/>
                <w:color w:val="7B7C80"/>
              </w:rPr>
              <w:t>(10.5)</w:t>
            </w:r>
          </w:p>
        </w:tc>
      </w:tr>
      <w:tr>
        <w:trPr>
          <w:trHeight w:val="137"/>
        </w:trPr>
        <w:tc>
          <w:tcPr>
            <w:tcW w:w="6020" w:type="dxa"/>
            <w:vAlign w:val="bottom"/>
          </w:tcPr>
          <w:p>
            <w:pPr>
              <w:spacing w:after="0"/>
              <w:rPr>
                <w:sz w:val="20"/>
                <w:szCs w:val="20"/>
                <w:color w:val="auto"/>
              </w:rPr>
            </w:pPr>
            <w:r>
              <w:rPr>
                <w:rFonts w:ascii="Arial" w:cs="Arial" w:eastAsia="Arial" w:hAnsi="Arial"/>
                <w:sz w:val="12"/>
                <w:szCs w:val="12"/>
                <w:color w:val="7B7C80"/>
              </w:rPr>
              <w:t>Pre-tax net realized capital gains (losses)</w:t>
            </w:r>
          </w:p>
        </w:tc>
        <w:tc>
          <w:tcPr>
            <w:tcW w:w="1880" w:type="dxa"/>
            <w:vAlign w:val="bottom"/>
          </w:tcPr>
          <w:p>
            <w:pPr>
              <w:spacing w:after="0"/>
              <w:rPr>
                <w:sz w:val="11"/>
                <w:szCs w:val="11"/>
                <w:color w:val="auto"/>
              </w:rPr>
            </w:pPr>
          </w:p>
        </w:tc>
        <w:tc>
          <w:tcPr>
            <w:tcW w:w="680" w:type="dxa"/>
            <w:vAlign w:val="bottom"/>
          </w:tcPr>
          <w:p>
            <w:pPr>
              <w:jc w:val="right"/>
              <w:ind w:right="119"/>
              <w:spacing w:after="0"/>
              <w:rPr>
                <w:sz w:val="20"/>
                <w:szCs w:val="20"/>
                <w:color w:val="auto"/>
              </w:rPr>
            </w:pPr>
            <w:r>
              <w:rPr>
                <w:rFonts w:ascii="Arial" w:cs="Arial" w:eastAsia="Arial" w:hAnsi="Arial"/>
                <w:sz w:val="12"/>
                <w:szCs w:val="12"/>
                <w:color w:val="7B7C80"/>
              </w:rPr>
              <w:t>520.3</w:t>
            </w:r>
          </w:p>
        </w:tc>
      </w:tr>
      <w:tr>
        <w:trPr>
          <w:trHeight w:val="137"/>
        </w:trPr>
        <w:tc>
          <w:tcPr>
            <w:tcW w:w="6020" w:type="dxa"/>
            <w:vAlign w:val="bottom"/>
            <w:shd w:val="clear" w:color="auto" w:fill="E7E6E7"/>
          </w:tcPr>
          <w:p>
            <w:pPr>
              <w:spacing w:after="0"/>
              <w:rPr>
                <w:sz w:val="20"/>
                <w:szCs w:val="20"/>
                <w:color w:val="auto"/>
              </w:rPr>
            </w:pPr>
            <w:r>
              <w:rPr>
                <w:rFonts w:ascii="Arial" w:cs="Arial" w:eastAsia="Arial" w:hAnsi="Arial"/>
                <w:sz w:val="12"/>
                <w:szCs w:val="12"/>
                <w:color w:val="7B7C80"/>
              </w:rPr>
              <w:t>Pre-tax other adjustments</w:t>
            </w:r>
          </w:p>
        </w:tc>
        <w:tc>
          <w:tcPr>
            <w:tcW w:w="1880" w:type="dxa"/>
            <w:vAlign w:val="bottom"/>
            <w:shd w:val="clear" w:color="auto" w:fill="E7E6E7"/>
          </w:tcPr>
          <w:p>
            <w:pPr>
              <w:spacing w:after="0"/>
              <w:rPr>
                <w:sz w:val="11"/>
                <w:szCs w:val="11"/>
                <w:color w:val="auto"/>
              </w:rPr>
            </w:pPr>
          </w:p>
        </w:tc>
        <w:tc>
          <w:tcPr>
            <w:tcW w:w="680" w:type="dxa"/>
            <w:vAlign w:val="bottom"/>
            <w:shd w:val="clear" w:color="auto" w:fill="E7E6E7"/>
          </w:tcPr>
          <w:p>
            <w:pPr>
              <w:jc w:val="right"/>
              <w:ind w:right="79"/>
              <w:spacing w:after="0"/>
              <w:rPr>
                <w:sz w:val="20"/>
                <w:szCs w:val="20"/>
                <w:color w:val="auto"/>
              </w:rPr>
            </w:pPr>
            <w:r>
              <w:rPr>
                <w:rFonts w:ascii="Arial" w:cs="Arial" w:eastAsia="Arial" w:hAnsi="Arial"/>
                <w:sz w:val="12"/>
                <w:szCs w:val="12"/>
                <w:color w:val="7B7C80"/>
              </w:rPr>
              <w:t>(70.0)</w:t>
            </w:r>
          </w:p>
        </w:tc>
      </w:tr>
      <w:tr>
        <w:trPr>
          <w:trHeight w:val="137"/>
        </w:trPr>
        <w:tc>
          <w:tcPr>
            <w:tcW w:w="6020" w:type="dxa"/>
            <w:vAlign w:val="bottom"/>
            <w:tcBorders>
              <w:bottom w:val="single" w:sz="8" w:color="7B7C80"/>
            </w:tcBorders>
          </w:tcPr>
          <w:p>
            <w:pPr>
              <w:spacing w:after="0"/>
              <w:rPr>
                <w:sz w:val="20"/>
                <w:szCs w:val="20"/>
                <w:color w:val="auto"/>
              </w:rPr>
            </w:pPr>
            <w:r>
              <w:rPr>
                <w:rFonts w:ascii="Arial" w:cs="Arial" w:eastAsia="Arial" w:hAnsi="Arial"/>
                <w:sz w:val="12"/>
                <w:szCs w:val="12"/>
                <w:color w:val="7B7C80"/>
              </w:rPr>
              <w:t>Certain adjustments related to equity method investments and noncontrolling interest</w:t>
            </w:r>
          </w:p>
        </w:tc>
        <w:tc>
          <w:tcPr>
            <w:tcW w:w="1880" w:type="dxa"/>
            <w:vAlign w:val="bottom"/>
            <w:tcBorders>
              <w:bottom w:val="single" w:sz="8" w:color="7B7C80"/>
            </w:tcBorders>
          </w:tcPr>
          <w:p>
            <w:pPr>
              <w:spacing w:after="0"/>
              <w:rPr>
                <w:sz w:val="11"/>
                <w:szCs w:val="11"/>
                <w:color w:val="auto"/>
              </w:rPr>
            </w:pPr>
          </w:p>
        </w:tc>
        <w:tc>
          <w:tcPr>
            <w:tcW w:w="680" w:type="dxa"/>
            <w:vAlign w:val="bottom"/>
            <w:tcBorders>
              <w:bottom w:val="single" w:sz="8" w:color="7B7C80"/>
            </w:tcBorders>
          </w:tcPr>
          <w:p>
            <w:pPr>
              <w:jc w:val="right"/>
              <w:ind w:right="79"/>
              <w:spacing w:after="0"/>
              <w:rPr>
                <w:sz w:val="20"/>
                <w:szCs w:val="20"/>
                <w:color w:val="auto"/>
              </w:rPr>
            </w:pPr>
            <w:r>
              <w:rPr>
                <w:rFonts w:ascii="Arial" w:cs="Arial" w:eastAsia="Arial" w:hAnsi="Arial"/>
                <w:sz w:val="12"/>
                <w:szCs w:val="12"/>
                <w:color w:val="7B7C80"/>
              </w:rPr>
              <w:t>(71.8)</w:t>
            </w:r>
          </w:p>
        </w:tc>
      </w:tr>
      <w:tr>
        <w:trPr>
          <w:trHeight w:val="129"/>
        </w:trPr>
        <w:tc>
          <w:tcPr>
            <w:tcW w:w="6020" w:type="dxa"/>
            <w:vAlign w:val="bottom"/>
            <w:tcBorders>
              <w:bottom w:val="single" w:sz="8" w:color="7B7C80"/>
            </w:tcBorders>
            <w:shd w:val="clear" w:color="auto" w:fill="E7E6E7"/>
          </w:tcPr>
          <w:p>
            <w:pPr>
              <w:spacing w:after="0" w:line="129" w:lineRule="exact"/>
              <w:rPr>
                <w:sz w:val="20"/>
                <w:szCs w:val="20"/>
                <w:color w:val="auto"/>
              </w:rPr>
            </w:pPr>
            <w:r>
              <w:rPr>
                <w:rFonts w:ascii="Arial" w:cs="Arial" w:eastAsia="Arial" w:hAnsi="Arial"/>
                <w:sz w:val="12"/>
                <w:szCs w:val="12"/>
                <w:i w:val="1"/>
                <w:iCs w:val="1"/>
                <w:color w:val="7B7C80"/>
              </w:rPr>
              <w:t>Income (loss) before income taxes</w:t>
            </w:r>
          </w:p>
        </w:tc>
        <w:tc>
          <w:tcPr>
            <w:tcW w:w="1880" w:type="dxa"/>
            <w:vAlign w:val="bottom"/>
            <w:tcBorders>
              <w:bottom w:val="single" w:sz="8" w:color="7B7C80"/>
            </w:tcBorders>
            <w:shd w:val="clear" w:color="auto" w:fill="E7E6E7"/>
          </w:tcPr>
          <w:p>
            <w:pPr>
              <w:jc w:val="center"/>
              <w:ind w:left="1679"/>
              <w:spacing w:after="0" w:line="129" w:lineRule="exact"/>
              <w:rPr>
                <w:sz w:val="20"/>
                <w:szCs w:val="20"/>
                <w:color w:val="auto"/>
              </w:rPr>
            </w:pPr>
            <w:r>
              <w:rPr>
                <w:rFonts w:ascii="Arial" w:cs="Arial" w:eastAsia="Arial" w:hAnsi="Arial"/>
                <w:sz w:val="12"/>
                <w:szCs w:val="12"/>
                <w:color w:val="7B7C80"/>
                <w:w w:val="89"/>
              </w:rPr>
              <w:t>$</w:t>
            </w:r>
          </w:p>
        </w:tc>
        <w:tc>
          <w:tcPr>
            <w:tcW w:w="680" w:type="dxa"/>
            <w:vAlign w:val="bottom"/>
            <w:tcBorders>
              <w:bottom w:val="single" w:sz="8" w:color="7B7C80"/>
            </w:tcBorders>
            <w:shd w:val="clear" w:color="auto" w:fill="E7E6E7"/>
          </w:tcPr>
          <w:p>
            <w:pPr>
              <w:jc w:val="right"/>
              <w:ind w:right="119"/>
              <w:spacing w:after="0" w:line="129" w:lineRule="exact"/>
              <w:rPr>
                <w:sz w:val="20"/>
                <w:szCs w:val="20"/>
                <w:color w:val="auto"/>
              </w:rPr>
            </w:pPr>
            <w:r>
              <w:rPr>
                <w:rFonts w:ascii="Arial" w:cs="Arial" w:eastAsia="Arial" w:hAnsi="Arial"/>
                <w:sz w:val="12"/>
                <w:szCs w:val="12"/>
                <w:color w:val="7B7C80"/>
              </w:rPr>
              <w:t>2,252.2</w:t>
            </w:r>
          </w:p>
        </w:tc>
      </w:tr>
      <w:tr>
        <w:trPr>
          <w:trHeight w:val="129"/>
        </w:trPr>
        <w:tc>
          <w:tcPr>
            <w:tcW w:w="6020" w:type="dxa"/>
            <w:vAlign w:val="bottom"/>
          </w:tcPr>
          <w:p>
            <w:pPr>
              <w:spacing w:after="0" w:line="129" w:lineRule="exact"/>
              <w:rPr>
                <w:sz w:val="20"/>
                <w:szCs w:val="20"/>
                <w:color w:val="auto"/>
              </w:rPr>
            </w:pPr>
            <w:r>
              <w:rPr>
                <w:rFonts w:ascii="Arial" w:cs="Arial" w:eastAsia="Arial" w:hAnsi="Arial"/>
                <w:sz w:val="12"/>
                <w:szCs w:val="12"/>
                <w:b w:val="1"/>
                <w:bCs w:val="1"/>
                <w:color w:val="7B7C80"/>
              </w:rPr>
              <w:t>Principal Global Investors Operating Revenues Less Pass- Through Commissions</w:t>
            </w:r>
          </w:p>
        </w:tc>
        <w:tc>
          <w:tcPr>
            <w:tcW w:w="1880" w:type="dxa"/>
            <w:vAlign w:val="bottom"/>
          </w:tcPr>
          <w:p>
            <w:pPr>
              <w:spacing w:after="0"/>
              <w:rPr>
                <w:sz w:val="11"/>
                <w:szCs w:val="11"/>
                <w:color w:val="auto"/>
              </w:rPr>
            </w:pPr>
          </w:p>
        </w:tc>
        <w:tc>
          <w:tcPr>
            <w:tcW w:w="680" w:type="dxa"/>
            <w:vAlign w:val="bottom"/>
          </w:tcPr>
          <w:p>
            <w:pPr>
              <w:spacing w:after="0"/>
              <w:rPr>
                <w:sz w:val="11"/>
                <w:szCs w:val="11"/>
                <w:color w:val="auto"/>
              </w:rPr>
            </w:pPr>
          </w:p>
        </w:tc>
      </w:tr>
      <w:tr>
        <w:trPr>
          <w:trHeight w:val="137"/>
        </w:trPr>
        <w:tc>
          <w:tcPr>
            <w:tcW w:w="6020" w:type="dxa"/>
            <w:vAlign w:val="bottom"/>
            <w:shd w:val="clear" w:color="auto" w:fill="E7E6E7"/>
          </w:tcPr>
          <w:p>
            <w:pPr>
              <w:spacing w:after="0"/>
              <w:rPr>
                <w:sz w:val="20"/>
                <w:szCs w:val="20"/>
                <w:color w:val="auto"/>
              </w:rPr>
            </w:pPr>
            <w:r>
              <w:rPr>
                <w:rFonts w:ascii="Arial" w:cs="Arial" w:eastAsia="Arial" w:hAnsi="Arial"/>
                <w:sz w:val="12"/>
                <w:szCs w:val="12"/>
                <w:color w:val="7B7C80"/>
              </w:rPr>
              <w:t>Principal Global Investors operating revenues</w:t>
            </w:r>
          </w:p>
        </w:tc>
        <w:tc>
          <w:tcPr>
            <w:tcW w:w="1880" w:type="dxa"/>
            <w:vAlign w:val="bottom"/>
            <w:shd w:val="clear" w:color="auto" w:fill="E7E6E7"/>
          </w:tcPr>
          <w:p>
            <w:pPr>
              <w:jc w:val="center"/>
              <w:ind w:left="1679"/>
              <w:spacing w:after="0"/>
              <w:rPr>
                <w:sz w:val="20"/>
                <w:szCs w:val="20"/>
                <w:color w:val="auto"/>
              </w:rPr>
            </w:pPr>
            <w:r>
              <w:rPr>
                <w:rFonts w:ascii="Arial" w:cs="Arial" w:eastAsia="Arial" w:hAnsi="Arial"/>
                <w:sz w:val="12"/>
                <w:szCs w:val="12"/>
                <w:color w:val="7B7C80"/>
                <w:w w:val="89"/>
              </w:rPr>
              <w:t>$</w:t>
            </w:r>
          </w:p>
        </w:tc>
        <w:tc>
          <w:tcPr>
            <w:tcW w:w="680" w:type="dxa"/>
            <w:vAlign w:val="bottom"/>
            <w:shd w:val="clear" w:color="auto" w:fill="E7E6E7"/>
          </w:tcPr>
          <w:p>
            <w:pPr>
              <w:jc w:val="right"/>
              <w:ind w:right="119"/>
              <w:spacing w:after="0"/>
              <w:rPr>
                <w:sz w:val="20"/>
                <w:szCs w:val="20"/>
                <w:color w:val="auto"/>
              </w:rPr>
            </w:pPr>
            <w:r>
              <w:rPr>
                <w:rFonts w:ascii="Arial" w:cs="Arial" w:eastAsia="Arial" w:hAnsi="Arial"/>
                <w:sz w:val="12"/>
                <w:szCs w:val="12"/>
                <w:color w:val="7B7C80"/>
              </w:rPr>
              <w:t>1,444.4</w:t>
            </w:r>
          </w:p>
        </w:tc>
      </w:tr>
      <w:tr>
        <w:trPr>
          <w:trHeight w:val="137"/>
        </w:trPr>
        <w:tc>
          <w:tcPr>
            <w:tcW w:w="6020" w:type="dxa"/>
            <w:vAlign w:val="bottom"/>
            <w:tcBorders>
              <w:bottom w:val="single" w:sz="8" w:color="7B7C80"/>
            </w:tcBorders>
          </w:tcPr>
          <w:p>
            <w:pPr>
              <w:spacing w:after="0"/>
              <w:rPr>
                <w:sz w:val="20"/>
                <w:szCs w:val="20"/>
                <w:color w:val="auto"/>
              </w:rPr>
            </w:pPr>
            <w:r>
              <w:rPr>
                <w:rFonts w:ascii="Arial" w:cs="Arial" w:eastAsia="Arial" w:hAnsi="Arial"/>
                <w:sz w:val="12"/>
                <w:szCs w:val="12"/>
                <w:color w:val="7B7C80"/>
              </w:rPr>
              <w:t>Principal Global Investors commission expense</w:t>
            </w:r>
          </w:p>
        </w:tc>
        <w:tc>
          <w:tcPr>
            <w:tcW w:w="1880" w:type="dxa"/>
            <w:vAlign w:val="bottom"/>
            <w:tcBorders>
              <w:bottom w:val="single" w:sz="8" w:color="7B7C80"/>
            </w:tcBorders>
          </w:tcPr>
          <w:p>
            <w:pPr>
              <w:spacing w:after="0"/>
              <w:rPr>
                <w:sz w:val="11"/>
                <w:szCs w:val="11"/>
                <w:color w:val="auto"/>
              </w:rPr>
            </w:pPr>
          </w:p>
        </w:tc>
        <w:tc>
          <w:tcPr>
            <w:tcW w:w="680" w:type="dxa"/>
            <w:vAlign w:val="bottom"/>
            <w:tcBorders>
              <w:bottom w:val="single" w:sz="8" w:color="7B7C80"/>
            </w:tcBorders>
          </w:tcPr>
          <w:p>
            <w:pPr>
              <w:jc w:val="right"/>
              <w:ind w:right="79"/>
              <w:spacing w:after="0"/>
              <w:rPr>
                <w:sz w:val="20"/>
                <w:szCs w:val="20"/>
                <w:color w:val="auto"/>
              </w:rPr>
            </w:pPr>
            <w:r>
              <w:rPr>
                <w:rFonts w:ascii="Arial" w:cs="Arial" w:eastAsia="Arial" w:hAnsi="Arial"/>
                <w:sz w:val="12"/>
                <w:szCs w:val="12"/>
                <w:color w:val="7B7C80"/>
              </w:rPr>
              <w:t>(159.6)</w:t>
            </w:r>
          </w:p>
        </w:tc>
      </w:tr>
      <w:tr>
        <w:trPr>
          <w:trHeight w:val="132"/>
        </w:trPr>
        <w:tc>
          <w:tcPr>
            <w:tcW w:w="6020" w:type="dxa"/>
            <w:vAlign w:val="bottom"/>
            <w:tcBorders>
              <w:bottom w:val="single" w:sz="8" w:color="009CCC"/>
            </w:tcBorders>
            <w:shd w:val="clear" w:color="auto" w:fill="E7E6E7"/>
          </w:tcPr>
          <w:p>
            <w:pPr>
              <w:spacing w:after="0" w:line="129" w:lineRule="exact"/>
              <w:rPr>
                <w:sz w:val="20"/>
                <w:szCs w:val="20"/>
                <w:color w:val="auto"/>
              </w:rPr>
            </w:pPr>
            <w:r>
              <w:rPr>
                <w:rFonts w:ascii="Arial" w:cs="Arial" w:eastAsia="Arial" w:hAnsi="Arial"/>
                <w:sz w:val="12"/>
                <w:szCs w:val="12"/>
                <w:color w:val="7B7C80"/>
              </w:rPr>
              <w:t>Principal Global Investors operating revenues less pass- through commissions *</w:t>
            </w:r>
          </w:p>
        </w:tc>
        <w:tc>
          <w:tcPr>
            <w:tcW w:w="1880" w:type="dxa"/>
            <w:vAlign w:val="bottom"/>
            <w:tcBorders>
              <w:bottom w:val="single" w:sz="8" w:color="009CCC"/>
            </w:tcBorders>
            <w:shd w:val="clear" w:color="auto" w:fill="E7E6E7"/>
          </w:tcPr>
          <w:p>
            <w:pPr>
              <w:jc w:val="center"/>
              <w:ind w:left="1679"/>
              <w:spacing w:after="0" w:line="129" w:lineRule="exact"/>
              <w:rPr>
                <w:sz w:val="20"/>
                <w:szCs w:val="20"/>
                <w:color w:val="auto"/>
              </w:rPr>
            </w:pPr>
            <w:r>
              <w:rPr>
                <w:rFonts w:ascii="Arial" w:cs="Arial" w:eastAsia="Arial" w:hAnsi="Arial"/>
                <w:sz w:val="12"/>
                <w:szCs w:val="12"/>
                <w:color w:val="7B7C80"/>
                <w:w w:val="89"/>
              </w:rPr>
              <w:t>$</w:t>
            </w:r>
          </w:p>
        </w:tc>
        <w:tc>
          <w:tcPr>
            <w:tcW w:w="680" w:type="dxa"/>
            <w:vAlign w:val="bottom"/>
            <w:tcBorders>
              <w:bottom w:val="single" w:sz="8" w:color="009CCC"/>
            </w:tcBorders>
            <w:shd w:val="clear" w:color="auto" w:fill="E7E6E7"/>
          </w:tcPr>
          <w:p>
            <w:pPr>
              <w:jc w:val="right"/>
              <w:ind w:right="119"/>
              <w:spacing w:after="0" w:line="129" w:lineRule="exact"/>
              <w:rPr>
                <w:sz w:val="20"/>
                <w:szCs w:val="20"/>
                <w:color w:val="auto"/>
              </w:rPr>
            </w:pPr>
            <w:r>
              <w:rPr>
                <w:rFonts w:ascii="Arial" w:cs="Arial" w:eastAsia="Arial" w:hAnsi="Arial"/>
                <w:sz w:val="12"/>
                <w:szCs w:val="12"/>
                <w:color w:val="7B7C80"/>
              </w:rPr>
              <w:t>1,284.8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3188335</wp:posOffset>
            </wp:positionH>
            <wp:positionV relativeFrom="paragraph">
              <wp:posOffset>116205</wp:posOffset>
            </wp:positionV>
            <wp:extent cx="960120" cy="2838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960120" cy="283845"/>
                    </a:xfrm>
                    <a:prstGeom prst="rect">
                      <a:avLst/>
                    </a:prstGeom>
                    <a:noFill/>
                  </pic:spPr>
                </pic:pic>
              </a:graphicData>
            </a:graphic>
          </wp:anchor>
        </w:drawing>
      </w:r>
    </w:p>
    <w:p>
      <w:pPr>
        <w:spacing w:after="0" w:line="303" w:lineRule="exact"/>
        <w:rPr>
          <w:sz w:val="20"/>
          <w:szCs w:val="20"/>
          <w:color w:val="auto"/>
        </w:rPr>
      </w:pPr>
    </w:p>
    <w:p>
      <w:pPr>
        <w:spacing w:after="0"/>
        <w:tabs>
          <w:tab w:leader="none" w:pos="540" w:val="left"/>
        </w:tabs>
        <w:rPr>
          <w:sz w:val="20"/>
          <w:szCs w:val="20"/>
          <w:color w:val="auto"/>
        </w:rPr>
      </w:pPr>
      <w:r>
        <w:rPr>
          <w:rFonts w:ascii="Arial" w:cs="Arial" w:eastAsia="Arial" w:hAnsi="Arial"/>
          <w:sz w:val="15"/>
          <w:szCs w:val="15"/>
          <w:color w:val="009CCC"/>
        </w:rPr>
        <w:t>B-2</w:t>
      </w:r>
      <w:r>
        <w:rPr>
          <w:sz w:val="20"/>
          <w:szCs w:val="20"/>
          <w:color w:val="auto"/>
        </w:rPr>
        <w:tab/>
      </w:r>
      <w:r>
        <w:rPr>
          <w:rFonts w:ascii="Arial" w:cs="Arial" w:eastAsia="Arial" w:hAnsi="Arial"/>
          <w:sz w:val="14"/>
          <w:szCs w:val="14"/>
          <w:color w:val="7B7C80"/>
        </w:rPr>
        <w:t>2018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198755</wp:posOffset>
            </wp:positionV>
            <wp:extent cx="7272655" cy="1968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0219"/>
          </w:cols>
          <w:pgMar w:left="240" w:top="142" w:right="1440" w:bottom="1440" w:gutter="0" w:footer="0" w:header="0"/>
        </w:sectPr>
      </w:pPr>
    </w:p>
    <w:bookmarkStart w:id="74" w:name="page75"/>
    <w:bookmarkEnd w:id="74"/>
    <w:p>
      <w:pPr>
        <w:spacing w:after="0"/>
        <w:rPr>
          <w:rFonts w:ascii="Arial" w:cs="Arial" w:eastAsia="Arial" w:hAnsi="Arial"/>
          <w:sz w:val="14"/>
          <w:szCs w:val="14"/>
          <w:u w:val="single" w:color="auto"/>
          <w:color w:val="0000EE"/>
        </w:rPr>
      </w:pPr>
      <w:hyperlink w:anchor="page5">
        <w:r>
          <w:rPr>
            <w:rFonts w:ascii="Arial" w:cs="Arial" w:eastAsia="Arial" w:hAnsi="Arial"/>
            <w:sz w:val="14"/>
            <w:szCs w:val="14"/>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spacing w:after="0"/>
        <w:rPr>
          <w:sz w:val="20"/>
          <w:szCs w:val="20"/>
          <w:color w:val="auto"/>
        </w:rPr>
      </w:pPr>
      <w:r>
        <w:rPr>
          <w:rFonts w:ascii="Arial" w:cs="Arial" w:eastAsia="Arial" w:hAnsi="Arial"/>
          <w:sz w:val="15"/>
          <w:szCs w:val="15"/>
          <w:color w:val="7B7C80"/>
        </w:rPr>
        <w:t>EE-9039-16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111760</wp:posOffset>
            </wp:positionV>
            <wp:extent cx="7272655" cy="1968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72655" cy="19685"/>
                    </a:xfrm>
                    <a:prstGeom prst="rect">
                      <a:avLst/>
                    </a:prstGeom>
                    <a:noFill/>
                  </pic:spPr>
                </pic:pic>
              </a:graphicData>
            </a:graphic>
          </wp:anchor>
        </w:drawing>
      </w:r>
    </w:p>
    <w:p>
      <w:pPr>
        <w:sectPr>
          <w:pgSz w:w="11900" w:h="16838" w:orient="portrait"/>
          <w:cols w:equalWidth="0" w:num="1">
            <w:col w:w="10219"/>
          </w:cols>
          <w:pgMar w:left="240" w:top="142" w:right="1440" w:bottom="1440" w:gutter="0" w:footer="0" w:header="0"/>
        </w:sectPr>
      </w:pPr>
    </w:p>
    <w:bookmarkStart w:id="75" w:name="page76"/>
    <w:bookmarkEnd w:id="7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147320</wp:posOffset>
            </wp:positionH>
            <wp:positionV relativeFrom="page">
              <wp:posOffset>212725</wp:posOffset>
            </wp:positionV>
            <wp:extent cx="7320280" cy="947166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clrChange>
                        <a:clrFrom>
                          <a:srgbClr val="FFFFFF"/>
                        </a:clrFrom>
                        <a:clrTo>
                          <a:srgbClr val="FFFFFF">
                            <a:alpha val="0"/>
                          </a:srgbClr>
                        </a:clrTo>
                      </a:clrChange>
                      <a:extLst>
                        <a:ext uri="{28A0092B-C50C-407E-A947-70E740481C1C}"/>
                      </a:extLst>
                    </a:blip>
                    <a:srcRect/>
                    <a:stretch>
                      <a:fillRect/>
                    </a:stretch>
                  </pic:blipFill>
                  <pic:spPr bwMode="auto">
                    <a:xfrm>
                      <a:off x="0" y="0"/>
                      <a:ext cx="7320280" cy="94716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6" w:name="page77"/>
    <w:bookmarkEnd w:id="7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147320</wp:posOffset>
            </wp:positionH>
            <wp:positionV relativeFrom="page">
              <wp:posOffset>88900</wp:posOffset>
            </wp:positionV>
            <wp:extent cx="7320280" cy="947166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clrChange>
                        <a:clrFrom>
                          <a:srgbClr val="FFFFFF"/>
                        </a:clrFrom>
                        <a:clrTo>
                          <a:srgbClr val="FFFFFF">
                            <a:alpha val="0"/>
                          </a:srgbClr>
                        </a:clrTo>
                      </a:clrChange>
                      <a:extLst>
                        <a:ext uri="{28A0092B-C50C-407E-A947-70E740481C1C}"/>
                      </a:extLst>
                    </a:blip>
                    <a:srcRect/>
                    <a:stretch>
                      <a:fillRect/>
                    </a:stretch>
                  </pic:blipFill>
                  <pic:spPr bwMode="auto">
                    <a:xfrm>
                      <a:off x="0" y="0"/>
                      <a:ext cx="7320280" cy="94716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7" w:name="page78"/>
    <w:bookmarkEnd w:id="7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147320</wp:posOffset>
            </wp:positionH>
            <wp:positionV relativeFrom="page">
              <wp:posOffset>88900</wp:posOffset>
            </wp:positionV>
            <wp:extent cx="7320280" cy="947166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clrChange>
                        <a:clrFrom>
                          <a:srgbClr val="FFFFFF"/>
                        </a:clrFrom>
                        <a:clrTo>
                          <a:srgbClr val="FFFFFF">
                            <a:alpha val="0"/>
                          </a:srgbClr>
                        </a:clrTo>
                      </a:clrChange>
                      <a:extLst>
                        <a:ext uri="{28A0092B-C50C-407E-A947-70E740481C1C}"/>
                      </a:extLst>
                    </a:blip>
                    <a:srcRect/>
                    <a:stretch>
                      <a:fillRect/>
                    </a:stretch>
                  </pic:blipFill>
                  <pic:spPr bwMode="auto">
                    <a:xfrm>
                      <a:off x="0" y="0"/>
                      <a:ext cx="7320280" cy="94716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8" w:name="page79"/>
    <w:bookmarkEnd w:id="7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147320</wp:posOffset>
            </wp:positionH>
            <wp:positionV relativeFrom="page">
              <wp:posOffset>88900</wp:posOffset>
            </wp:positionV>
            <wp:extent cx="7320280" cy="947166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clrChange>
                        <a:clrFrom>
                          <a:srgbClr val="FFFFFF"/>
                        </a:clrFrom>
                        <a:clrTo>
                          <a:srgbClr val="FFFFFF">
                            <a:alpha val="0"/>
                          </a:srgbClr>
                        </a:clrTo>
                      </a:clrChange>
                      <a:extLst>
                        <a:ext uri="{28A0092B-C50C-407E-A947-70E740481C1C}"/>
                      </a:extLst>
                    </a:blip>
                    <a:srcRect/>
                    <a:stretch>
                      <a:fillRect/>
                    </a:stretch>
                  </pic:blipFill>
                  <pic:spPr bwMode="auto">
                    <a:xfrm>
                      <a:off x="0" y="0"/>
                      <a:ext cx="7320280" cy="94716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9" w:name="page80"/>
    <w:bookmarkEnd w:id="7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147320</wp:posOffset>
            </wp:positionH>
            <wp:positionV relativeFrom="page">
              <wp:posOffset>88900</wp:posOffset>
            </wp:positionV>
            <wp:extent cx="7320280" cy="947166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clrChange>
                        <a:clrFrom>
                          <a:srgbClr val="FFFFFF"/>
                        </a:clrFrom>
                        <a:clrTo>
                          <a:srgbClr val="FFFFFF">
                            <a:alpha val="0"/>
                          </a:srgbClr>
                        </a:clrTo>
                      </a:clrChange>
                      <a:extLst>
                        <a:ext uri="{28A0092B-C50C-407E-A947-70E740481C1C}"/>
                      </a:extLst>
                    </a:blip>
                    <a:srcRect/>
                    <a:stretch>
                      <a:fillRect/>
                    </a:stretch>
                  </pic:blipFill>
                  <pic:spPr bwMode="auto">
                    <a:xfrm>
                      <a:off x="0" y="0"/>
                      <a:ext cx="7320280" cy="94716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0" w:name="page81"/>
    <w:bookmarkEnd w:id="8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147320</wp:posOffset>
            </wp:positionH>
            <wp:positionV relativeFrom="page">
              <wp:posOffset>88900</wp:posOffset>
            </wp:positionV>
            <wp:extent cx="7320280" cy="947166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clrChange>
                        <a:clrFrom>
                          <a:srgbClr val="FFFFFF"/>
                        </a:clrFrom>
                        <a:clrTo>
                          <a:srgbClr val="FFFFFF">
                            <a:alpha val="0"/>
                          </a:srgbClr>
                        </a:clrTo>
                      </a:clrChange>
                      <a:extLst>
                        <a:ext uri="{28A0092B-C50C-407E-A947-70E740481C1C}"/>
                      </a:extLst>
                    </a:blip>
                    <a:srcRect/>
                    <a:stretch>
                      <a:fillRect/>
                    </a:stretch>
                  </pic:blipFill>
                  <pic:spPr bwMode="auto">
                    <a:xfrm>
                      <a:off x="0" y="0"/>
                      <a:ext cx="7320280" cy="94716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1" w:name="page82"/>
    <w:bookmarkEnd w:id="8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147320</wp:posOffset>
            </wp:positionH>
            <wp:positionV relativeFrom="page">
              <wp:posOffset>88900</wp:posOffset>
            </wp:positionV>
            <wp:extent cx="7320280" cy="947166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clrChange>
                        <a:clrFrom>
                          <a:srgbClr val="FFFFFF"/>
                        </a:clrFrom>
                        <a:clrTo>
                          <a:srgbClr val="FFFFFF">
                            <a:alpha val="0"/>
                          </a:srgbClr>
                        </a:clrTo>
                      </a:clrChange>
                      <a:extLst>
                        <a:ext uri="{28A0092B-C50C-407E-A947-70E740481C1C}"/>
                      </a:extLst>
                    </a:blip>
                    <a:srcRect/>
                    <a:stretch>
                      <a:fillRect/>
                    </a:stretch>
                  </pic:blipFill>
                  <pic:spPr bwMode="auto">
                    <a:xfrm>
                      <a:off x="0" y="0"/>
                      <a:ext cx="7320280" cy="94716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2" w:name="page83"/>
    <w:bookmarkEnd w:id="8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147320</wp:posOffset>
            </wp:positionH>
            <wp:positionV relativeFrom="page">
              <wp:posOffset>88900</wp:posOffset>
            </wp:positionV>
            <wp:extent cx="7320280" cy="947166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clrChange>
                        <a:clrFrom>
                          <a:srgbClr val="FFFFFF"/>
                        </a:clrFrom>
                        <a:clrTo>
                          <a:srgbClr val="FFFFFF">
                            <a:alpha val="0"/>
                          </a:srgbClr>
                        </a:clrTo>
                      </a:clrChange>
                      <a:extLst>
                        <a:ext uri="{28A0092B-C50C-407E-A947-70E740481C1C}"/>
                      </a:extLst>
                    </a:blip>
                    <a:srcRect/>
                    <a:stretch>
                      <a:fillRect/>
                    </a:stretch>
                  </pic:blipFill>
                  <pic:spPr bwMode="auto">
                    <a:xfrm>
                      <a:off x="0" y="0"/>
                      <a:ext cx="7320280" cy="94716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3" w:name="page84"/>
    <w:bookmarkEnd w:id="8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147320</wp:posOffset>
            </wp:positionH>
            <wp:positionV relativeFrom="page">
              <wp:posOffset>88900</wp:posOffset>
            </wp:positionV>
            <wp:extent cx="7320280" cy="947166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clrChange>
                        <a:clrFrom>
                          <a:srgbClr val="FFFFFF"/>
                        </a:clrFrom>
                        <a:clrTo>
                          <a:srgbClr val="FFFFFF">
                            <a:alpha val="0"/>
                          </a:srgbClr>
                        </a:clrTo>
                      </a:clrChange>
                      <a:extLst>
                        <a:ext uri="{28A0092B-C50C-407E-A947-70E740481C1C}"/>
                      </a:extLst>
                    </a:blip>
                    <a:srcRect/>
                    <a:stretch>
                      <a:fillRect/>
                    </a:stretch>
                  </pic:blipFill>
                  <pic:spPr bwMode="auto">
                    <a:xfrm>
                      <a:off x="0" y="0"/>
                      <a:ext cx="7320280" cy="94716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4" w:name="page85"/>
    <w:bookmarkEnd w:id="8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147320</wp:posOffset>
            </wp:positionH>
            <wp:positionV relativeFrom="page">
              <wp:posOffset>88900</wp:posOffset>
            </wp:positionV>
            <wp:extent cx="7320280" cy="947166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clrChange>
                        <a:clrFrom>
                          <a:srgbClr val="FFFFFF"/>
                        </a:clrFrom>
                        <a:clrTo>
                          <a:srgbClr val="FFFFFF">
                            <a:alpha val="0"/>
                          </a:srgbClr>
                        </a:clrTo>
                      </a:clrChange>
                      <a:extLst>
                        <a:ext uri="{28A0092B-C50C-407E-A947-70E740481C1C}"/>
                      </a:extLst>
                    </a:blip>
                    <a:srcRect/>
                    <a:stretch>
                      <a:fillRect/>
                    </a:stretch>
                  </pic:blipFill>
                  <pic:spPr bwMode="auto">
                    <a:xfrm>
                      <a:off x="0" y="0"/>
                      <a:ext cx="7320280" cy="947166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5C482A97"/>
    <w:multiLevelType w:val="hybridMultilevel"/>
    <w:lvl w:ilvl="0">
      <w:lvlJc w:val="left"/>
      <w:lvlText w:val="☒"/>
      <w:numFmt w:val="bullet"/>
      <w:start w:val="1"/>
    </w:lvl>
  </w:abstractNum>
  <w:abstractNum w:abstractNumId="1">
    <w:nsid w:val="2463B9EA"/>
    <w:multiLevelType w:val="hybridMultilevel"/>
    <w:lvl w:ilvl="0">
      <w:lvlJc w:val="left"/>
      <w:lvlText w:val="o"/>
      <w:numFmt w:val="bullet"/>
      <w:start w:val="1"/>
    </w:lvl>
    <w:lvl w:ilvl="1">
      <w:lvlJc w:val="left"/>
      <w:lvlText w:val="(%2)"/>
      <w:numFmt w:val="decimal"/>
      <w:start w:val="1"/>
    </w:lvl>
  </w:abstractNum>
  <w:abstractNum w:abstractNumId="2">
    <w:nsid w:val="5E884ADC"/>
    <w:multiLevelType w:val="hybridMultilevel"/>
    <w:lvl w:ilvl="0">
      <w:lvlJc w:val="left"/>
      <w:lvlText w:val="%1."/>
      <w:numFmt w:val="decimal"/>
      <w:start w:val="1"/>
    </w:lvl>
  </w:abstractNum>
  <w:abstractNum w:abstractNumId="3">
    <w:nsid w:val="51EAD36B"/>
    <w:multiLevelType w:val="hybridMultilevel"/>
    <w:lvl w:ilvl="0">
      <w:lvlJc w:val="left"/>
      <w:lvlText w:val="•"/>
      <w:numFmt w:val="bullet"/>
      <w:start w:val="1"/>
    </w:lvl>
  </w:abstractNum>
  <w:abstractNum w:abstractNumId="4">
    <w:nsid w:val="2D517796"/>
    <w:multiLevelType w:val="hybridMultilevel"/>
    <w:lvl w:ilvl="0">
      <w:lvlJc w:val="left"/>
      <w:lvlText w:val="8"/>
      <w:numFmt w:val="bullet"/>
      <w:start w:val="1"/>
    </w:lvl>
  </w:abstractNum>
  <w:abstractNum w:abstractNumId="5">
    <w:nsid w:val="580BD78F"/>
    <w:multiLevelType w:val="hybridMultilevel"/>
    <w:lvl w:ilvl="0">
      <w:lvlJc w:val="left"/>
      <w:lvlText w:val="%1"/>
      <w:numFmt w:val="decimal"/>
      <w:start w:val="10"/>
    </w:lvl>
  </w:abstractNum>
  <w:abstractNum w:abstractNumId="6">
    <w:nsid w:val="153EA438"/>
    <w:multiLevelType w:val="hybridMultilevel"/>
    <w:lvl w:ilvl="0">
      <w:lvlJc w:val="left"/>
      <w:lvlText w:val="•"/>
      <w:numFmt w:val="bullet"/>
      <w:start w:val="1"/>
    </w:lvl>
  </w:abstractNum>
  <w:abstractNum w:abstractNumId="7">
    <w:nsid w:val="3855585C"/>
    <w:multiLevelType w:val="hybridMultilevel"/>
    <w:lvl w:ilvl="0">
      <w:lvlJc w:val="left"/>
      <w:lvlText w:val="•"/>
      <w:numFmt w:val="bullet"/>
      <w:start w:val="1"/>
    </w:lvl>
  </w:abstractNum>
  <w:abstractNum w:abstractNumId="8">
    <w:nsid w:val="70A64E2A"/>
    <w:multiLevelType w:val="hybridMultilevel"/>
    <w:lvl w:ilvl="0">
      <w:lvlJc w:val="left"/>
      <w:lvlText w:val="•"/>
      <w:numFmt w:val="bullet"/>
      <w:start w:val="1"/>
    </w:lvl>
  </w:abstractNum>
  <w:abstractNum w:abstractNumId="9">
    <w:nsid w:val="6A2342EC"/>
    <w:multiLevelType w:val="hybridMultilevel"/>
    <w:lvl w:ilvl="0">
      <w:lvlJc w:val="left"/>
      <w:lvlText w:val="(%1)"/>
      <w:numFmt w:val="decimal"/>
      <w:start w:val="1"/>
    </w:lvl>
  </w:abstractNum>
  <w:abstractNum w:abstractNumId="10">
    <w:nsid w:val="2A487CB0"/>
    <w:multiLevelType w:val="hybridMultilevel"/>
    <w:lvl w:ilvl="0">
      <w:lvlJc w:val="left"/>
      <w:lvlText w:val="•"/>
      <w:numFmt w:val="bullet"/>
      <w:start w:val="1"/>
    </w:lvl>
  </w:abstractNum>
  <w:abstractNum w:abstractNumId="11">
    <w:nsid w:val="1D4ED43B"/>
    <w:multiLevelType w:val="hybridMultilevel"/>
    <w:lvl w:ilvl="0">
      <w:lvlJc w:val="left"/>
      <w:lvlText w:val="•"/>
      <w:numFmt w:val="bullet"/>
      <w:start w:val="1"/>
    </w:lvl>
  </w:abstractNum>
  <w:abstractNum w:abstractNumId="12">
    <w:nsid w:val="725A06FB"/>
    <w:multiLevelType w:val="hybridMultilevel"/>
    <w:lvl w:ilvl="0">
      <w:lvlJc w:val="left"/>
      <w:lvlText w:val="•"/>
      <w:numFmt w:val="bullet"/>
      <w:start w:val="1"/>
    </w:lvl>
  </w:abstractNum>
  <w:abstractNum w:abstractNumId="13">
    <w:nsid w:val="2CD89A32"/>
    <w:multiLevelType w:val="hybridMultilevel"/>
    <w:lvl w:ilvl="0">
      <w:lvlJc w:val="left"/>
      <w:lvlText w:val="•"/>
      <w:numFmt w:val="bullet"/>
      <w:start w:val="1"/>
    </w:lvl>
  </w:abstractNum>
  <w:abstractNum w:abstractNumId="14">
    <w:nsid w:val="57E4CCAF"/>
    <w:multiLevelType w:val="hybridMultilevel"/>
    <w:lvl w:ilvl="0">
      <w:lvlJc w:val="left"/>
      <w:lvlText w:val="•"/>
      <w:numFmt w:val="bullet"/>
      <w:start w:val="1"/>
    </w:lvl>
  </w:abstractNum>
  <w:abstractNum w:abstractNumId="15">
    <w:nsid w:val="7A6D8D3C"/>
    <w:multiLevelType w:val="hybridMultilevel"/>
    <w:lvl w:ilvl="0">
      <w:lvlJc w:val="left"/>
      <w:lvlText w:val="(%1)"/>
      <w:numFmt w:val="decimal"/>
      <w:start w:val="1"/>
    </w:lvl>
  </w:abstractNum>
  <w:abstractNum w:abstractNumId="16">
    <w:nsid w:val="4B588F54"/>
    <w:multiLevelType w:val="hybridMultilevel"/>
    <w:lvl w:ilvl="0">
      <w:lvlJc w:val="left"/>
      <w:lvlText w:val="(%1)"/>
      <w:numFmt w:val="decimal"/>
      <w:start w:val="1"/>
    </w:lvl>
  </w:abstractNum>
  <w:abstractNum w:abstractNumId="17">
    <w:nsid w:val="542289EC"/>
    <w:multiLevelType w:val="hybridMultilevel"/>
    <w:lvl w:ilvl="0">
      <w:lvlJc w:val="left"/>
      <w:lvlText w:val="•"/>
      <w:numFmt w:val="bullet"/>
      <w:start w:val="1"/>
    </w:lvl>
  </w:abstractNum>
  <w:abstractNum w:abstractNumId="18">
    <w:nsid w:val="6DE91B18"/>
    <w:multiLevelType w:val="hybridMultilevel"/>
    <w:lvl w:ilvl="0">
      <w:lvlJc w:val="left"/>
      <w:lvlText w:val="•"/>
      <w:numFmt w:val="bullet"/>
      <w:start w:val="1"/>
    </w:lvl>
  </w:abstractNum>
  <w:abstractNum w:abstractNumId="19">
    <w:nsid w:val="38437FDB"/>
    <w:multiLevelType w:val="hybridMultilevel"/>
    <w:lvl w:ilvl="0">
      <w:lvlJc w:val="left"/>
      <w:lvlText w:val="•"/>
      <w:numFmt w:val="bullet"/>
      <w:start w:val="1"/>
    </w:lvl>
  </w:abstractNum>
  <w:abstractNum w:abstractNumId="20">
    <w:nsid w:val="7644A45C"/>
    <w:multiLevelType w:val="hybridMultilevel"/>
    <w:lvl w:ilvl="0">
      <w:lvlJc w:val="left"/>
      <w:lvlText w:val="•"/>
      <w:numFmt w:val="bullet"/>
      <w:start w:val="1"/>
    </w:lvl>
  </w:abstractNum>
  <w:abstractNum w:abstractNumId="21">
    <w:nsid w:val="32FFF902"/>
    <w:multiLevelType w:val="hybridMultilevel"/>
    <w:lvl w:ilvl="0">
      <w:lvlJc w:val="left"/>
      <w:lvlText w:val="(%1)"/>
      <w:numFmt w:val="decimal"/>
      <w:start w:val="1"/>
    </w:lvl>
  </w:abstractNum>
  <w:abstractNum w:abstractNumId="22">
    <w:nsid w:val="684A481A"/>
    <w:multiLevelType w:val="hybridMultilevel"/>
    <w:lvl w:ilvl="0">
      <w:lvlJc w:val="left"/>
      <w:lvlText w:val="•"/>
      <w:numFmt w:val="bullet"/>
      <w:start w:val="1"/>
    </w:lvl>
  </w:abstractNum>
  <w:abstractNum w:abstractNumId="23">
    <w:nsid w:val="579478FE"/>
    <w:multiLevelType w:val="hybridMultilevel"/>
    <w:lvl w:ilvl="0">
      <w:lvlJc w:val="left"/>
      <w:lvlText w:val="•"/>
      <w:numFmt w:val="bullet"/>
      <w:start w:val="1"/>
    </w:lvl>
  </w:abstractNum>
  <w:abstractNum w:abstractNumId="24">
    <w:nsid w:val="749ABB43"/>
    <w:multiLevelType w:val="hybridMultilevel"/>
    <w:lvl w:ilvl="0">
      <w:lvlJc w:val="left"/>
      <w:lvlText w:val="(%1)"/>
      <w:numFmt w:val="decimal"/>
      <w:start w:val="2"/>
    </w:lvl>
  </w:abstractNum>
  <w:abstractNum w:abstractNumId="25">
    <w:nsid w:val="3DC240FB"/>
    <w:multiLevelType w:val="hybridMultilevel"/>
    <w:lvl w:ilvl="0">
      <w:lvlJc w:val="left"/>
      <w:lvlText w:val="%1"/>
      <w:numFmt w:val="decimal"/>
      <w:start w:val="28"/>
    </w:lvl>
  </w:abstractNum>
  <w:abstractNum w:abstractNumId="26">
    <w:nsid w:val="1BA026FA"/>
    <w:multiLevelType w:val="hybridMultilevel"/>
    <w:lvl w:ilvl="0">
      <w:lvlJc w:val="left"/>
      <w:lvlText w:val="•"/>
      <w:numFmt w:val="bullet"/>
      <w:start w:val="1"/>
    </w:lvl>
  </w:abstractNum>
  <w:abstractNum w:abstractNumId="27">
    <w:nsid w:val="79A1DEAA"/>
    <w:multiLevelType w:val="hybridMultilevel"/>
    <w:lvl w:ilvl="0">
      <w:lvlJc w:val="left"/>
      <w:lvlText w:val="•"/>
      <w:numFmt w:val="bullet"/>
      <w:start w:val="1"/>
    </w:lvl>
  </w:abstractNum>
  <w:abstractNum w:abstractNumId="28">
    <w:nsid w:val="75C6C33A"/>
    <w:multiLevelType w:val="hybridMultilevel"/>
    <w:lvl w:ilvl="0">
      <w:lvlJc w:val="left"/>
      <w:lvlText w:val="•"/>
      <w:numFmt w:val="bullet"/>
      <w:start w:val="1"/>
    </w:lvl>
  </w:abstractNum>
  <w:abstractNum w:abstractNumId="29">
    <w:nsid w:val="12E685FB"/>
    <w:multiLevelType w:val="hybridMultilevel"/>
    <w:lvl w:ilvl="0">
      <w:lvlJc w:val="left"/>
      <w:lvlText w:val="•"/>
      <w:numFmt w:val="bullet"/>
      <w:start w:val="1"/>
    </w:lvl>
  </w:abstractNum>
  <w:abstractNum w:abstractNumId="30">
    <w:nsid w:val="70C6A529"/>
    <w:multiLevelType w:val="hybridMultilevel"/>
    <w:lvl w:ilvl="0">
      <w:lvlJc w:val="left"/>
      <w:lvlText w:val="(%1)"/>
      <w:numFmt w:val="decimal"/>
      <w:start w:val="4"/>
    </w:lvl>
  </w:abstractNum>
  <w:abstractNum w:abstractNumId="31">
    <w:nsid w:val="520EEDD1"/>
    <w:multiLevelType w:val="hybridMultilevel"/>
    <w:lvl w:ilvl="0">
      <w:lvlJc w:val="left"/>
      <w:lvlText w:val="(%1)"/>
      <w:numFmt w:val="decimal"/>
      <w:start w:val="1"/>
    </w:lvl>
  </w:abstractNum>
  <w:abstractNum w:abstractNumId="32">
    <w:nsid w:val="374A3FE6"/>
    <w:multiLevelType w:val="hybridMultilevel"/>
    <w:lvl w:ilvl="0">
      <w:lvlJc w:val="left"/>
      <w:lvlText w:val="(%1)"/>
      <w:numFmt w:val="decimal"/>
      <w:start w:val="1"/>
    </w:lvl>
  </w:abstractNum>
  <w:abstractNum w:abstractNumId="33">
    <w:nsid w:val="4F4EF005"/>
    <w:multiLevelType w:val="hybridMultilevel"/>
    <w:lvl w:ilvl="0">
      <w:lvlJc w:val="left"/>
      <w:lvlText w:val="(%1)"/>
      <w:numFmt w:val="decimal"/>
      <w:start w:val="1"/>
    </w:lvl>
  </w:abstractNum>
  <w:abstractNum w:abstractNumId="34">
    <w:nsid w:val="23F9C13C"/>
    <w:multiLevelType w:val="hybridMultilevel"/>
    <w:lvl w:ilvl="0">
      <w:lvlJc w:val="left"/>
      <w:lvlText w:val="(%1)"/>
      <w:numFmt w:val="decimal"/>
      <w:start w:val="1"/>
    </w:lvl>
  </w:abstractNum>
  <w:abstractNum w:abstractNumId="35">
    <w:nsid w:val="649BB77C"/>
    <w:multiLevelType w:val="hybridMultilevel"/>
    <w:lvl w:ilvl="0">
      <w:lvlJc w:val="left"/>
      <w:lvlText w:val="•"/>
      <w:numFmt w:val="bullet"/>
      <w:start w:val="1"/>
    </w:lvl>
  </w:abstractNum>
  <w:abstractNum w:abstractNumId="36">
    <w:nsid w:val="275AC794"/>
    <w:multiLevelType w:val="hybridMultilevel"/>
    <w:lvl w:ilvl="0">
      <w:lvlJc w:val="left"/>
      <w:lvlText w:val="•"/>
      <w:numFmt w:val="bullet"/>
      <w:start w:val="1"/>
    </w:lvl>
  </w:abstractNum>
  <w:abstractNum w:abstractNumId="37">
    <w:nsid w:val="39386575"/>
    <w:multiLevelType w:val="hybridMultilevel"/>
    <w:lvl w:ilvl="0">
      <w:lvlJc w:val="left"/>
      <w:lvlText w:val="•"/>
      <w:numFmt w:val="bullet"/>
      <w:start w:val="1"/>
    </w:lvl>
  </w:abstractNum>
  <w:abstractNum w:abstractNumId="38">
    <w:nsid w:val="1CF10FD8"/>
    <w:multiLevelType w:val="hybridMultilevel"/>
    <w:lvl w:ilvl="0">
      <w:lvlJc w:val="left"/>
      <w:lvlText w:val="(%1)"/>
      <w:numFmt w:val="decimal"/>
      <w:start w:val="6"/>
    </w:lvl>
  </w:abstractNum>
  <w:abstractNum w:abstractNumId="39">
    <w:nsid w:val="180115BE"/>
    <w:multiLevelType w:val="hybridMultilevel"/>
    <w:lvl w:ilvl="0">
      <w:lvlJc w:val="left"/>
      <w:lvlText w:val="•"/>
      <w:numFmt w:val="bullet"/>
      <w:start w:val="1"/>
    </w:lvl>
  </w:abstractNum>
  <w:abstractNum w:abstractNumId="40">
    <w:nsid w:val="235BA861"/>
    <w:multiLevelType w:val="hybridMultilevel"/>
    <w:lvl w:ilvl="0">
      <w:lvlJc w:val="left"/>
      <w:lvlText w:val="•"/>
      <w:numFmt w:val="bullet"/>
      <w:start w:val="1"/>
    </w:lvl>
  </w:abstractNum>
  <w:abstractNum w:abstractNumId="41">
    <w:nsid w:val="47398C89"/>
    <w:multiLevelType w:val="hybridMultilevel"/>
    <w:lvl w:ilvl="0">
      <w:lvlJc w:val="left"/>
      <w:lvlText w:val="•"/>
      <w:numFmt w:val="bullet"/>
      <w:start w:val="1"/>
    </w:lvl>
  </w:abstractNum>
  <w:abstractNum w:abstractNumId="42">
    <w:nsid w:val="354FE9F9"/>
    <w:multiLevelType w:val="hybridMultilevel"/>
    <w:lvl w:ilvl="0">
      <w:lvlJc w:val="left"/>
      <w:lvlText w:val="(%1)"/>
      <w:numFmt w:val="decimal"/>
      <w:start w:val="10"/>
    </w:lvl>
  </w:abstractNum>
  <w:abstractNum w:abstractNumId="43">
    <w:nsid w:val="15B5AF5C"/>
    <w:multiLevelType w:val="hybridMultilevel"/>
    <w:lvl w:ilvl="0">
      <w:lvlJc w:val="left"/>
      <w:lvlText w:val="•"/>
      <w:numFmt w:val="bullet"/>
      <w:start w:val="1"/>
    </w:lvl>
  </w:abstractNum>
  <w:abstractNum w:abstractNumId="44">
    <w:nsid w:val="741226BB"/>
    <w:multiLevelType w:val="hybridMultilevel"/>
    <w:lvl w:ilvl="0">
      <w:lvlJc w:val="left"/>
      <w:lvlText w:val="•"/>
      <w:numFmt w:val="bullet"/>
      <w:start w:val="1"/>
    </w:lvl>
  </w:abstractNum>
  <w:abstractNum w:abstractNumId="45">
    <w:nsid w:val="D34B6A8"/>
    <w:multiLevelType w:val="hybridMultilevel"/>
    <w:lvl w:ilvl="0">
      <w:lvlJc w:val="left"/>
      <w:lvlText w:val="(%1)"/>
      <w:numFmt w:val="decimal"/>
      <w:start w:val="1"/>
    </w:lvl>
  </w:abstractNum>
  <w:abstractNum w:abstractNumId="46">
    <w:nsid w:val="10233C99"/>
    <w:multiLevelType w:val="hybridMultilevel"/>
    <w:lvl w:ilvl="0">
      <w:lvlJc w:val="left"/>
      <w:lvlText w:val="(%1)"/>
      <w:numFmt w:val="decimal"/>
      <w:start w:val="2"/>
    </w:lvl>
  </w:abstractNum>
  <w:abstractNum w:abstractNumId="47">
    <w:nsid w:val="3F6AB60F"/>
    <w:multiLevelType w:val="hybridMultilevel"/>
    <w:lvl w:ilvl="0">
      <w:lvlJc w:val="left"/>
      <w:lvlText w:val="(%1)"/>
      <w:numFmt w:val="decimal"/>
      <w:start w:val="3"/>
    </w:lvl>
  </w:abstractNum>
  <w:abstractNum w:abstractNumId="48">
    <w:nsid w:val="61574095"/>
    <w:multiLevelType w:val="hybridMultilevel"/>
    <w:lvl w:ilvl="0">
      <w:lvlJc w:val="left"/>
      <w:lvlText w:val="(%1)"/>
      <w:numFmt w:val="decimal"/>
      <w:start w:val="4"/>
    </w:lvl>
  </w:abstractNum>
  <w:abstractNum w:abstractNumId="49">
    <w:nsid w:val="7E0C57B1"/>
    <w:multiLevelType w:val="hybridMultilevel"/>
    <w:lvl w:ilvl="0">
      <w:lvlJc w:val="left"/>
      <w:lvlText w:val="(%1)"/>
      <w:numFmt w:val="decimal"/>
      <w:start w:val="5"/>
    </w:lvl>
  </w:abstractNum>
  <w:abstractNum w:abstractNumId="50">
    <w:nsid w:val="77AE35EB"/>
    <w:multiLevelType w:val="hybridMultilevel"/>
    <w:lvl w:ilvl="0">
      <w:lvlJc w:val="left"/>
      <w:lvlText w:val="(%1)"/>
      <w:numFmt w:val="lowerLetter"/>
      <w:start w:val="1"/>
    </w:lvl>
  </w:abstractNum>
  <w:abstractNum w:abstractNumId="51">
    <w:nsid w:val="579BE4F1"/>
    <w:multiLevelType w:val="hybridMultilevel"/>
    <w:lvl w:ilvl="0">
      <w:lvlJc w:val="left"/>
      <w:lvlText w:val="(%1)"/>
      <w:numFmt w:val="lowerLetter"/>
      <w:start w:val="2"/>
    </w:lvl>
  </w:abstractNum>
  <w:abstractNum w:abstractNumId="52">
    <w:nsid w:val="310C50B3"/>
    <w:multiLevelType w:val="hybridMultilevel"/>
    <w:lvl w:ilvl="0">
      <w:lvlJc w:val="left"/>
      <w:lvlText w:val="(%1)"/>
      <w:numFmt w:val="decimal"/>
      <w:start w:val="7"/>
    </w:lvl>
  </w:abstractNum>
  <w:abstractNum w:abstractNumId="53">
    <w:nsid w:val="5FF87E05"/>
    <w:multiLevelType w:val="hybridMultilevel"/>
    <w:lvl w:ilvl="0">
      <w:lvlJc w:val="left"/>
      <w:lvlText w:val="(%1)"/>
      <w:numFmt w:val="decimal"/>
      <w:start w:val="1"/>
    </w:lvl>
  </w:abstractNum>
  <w:abstractNum w:abstractNumId="54">
    <w:nsid w:val="2F305DEF"/>
    <w:multiLevelType w:val="hybridMultilevel"/>
    <w:lvl w:ilvl="0">
      <w:lvlJc w:val="left"/>
      <w:lvlText w:val="(%1)"/>
      <w:numFmt w:val="decimal"/>
      <w:start w:val="1"/>
    </w:lvl>
  </w:abstractNum>
  <w:abstractNum w:abstractNumId="55">
    <w:nsid w:val="25A70BF7"/>
    <w:multiLevelType w:val="hybridMultilevel"/>
    <w:lvl w:ilvl="0">
      <w:lvlJc w:val="left"/>
      <w:lvlText w:val="(%1)"/>
      <w:numFmt w:val="decimal"/>
      <w:start w:val="1"/>
    </w:lvl>
  </w:abstractNum>
  <w:abstractNum w:abstractNumId="56">
    <w:nsid w:val="1DBABF00"/>
    <w:multiLevelType w:val="hybridMultilevel"/>
    <w:lvl w:ilvl="0">
      <w:lvlJc w:val="left"/>
      <w:lvlText w:val="•"/>
      <w:numFmt w:val="bullet"/>
      <w:start w:val="1"/>
    </w:lvl>
    <w:lvl w:ilvl="1">
      <w:lvlJc w:val="left"/>
      <w:lvlText w:val="•"/>
      <w:numFmt w:val="bullet"/>
      <w:start w:val="1"/>
    </w:lvl>
    <w:lvl w:ilvl="2">
      <w:lvlJc w:val="left"/>
      <w:lvlText w:val="(%3)"/>
      <w:numFmt w:val="decimal"/>
      <w:start w:val="1"/>
    </w:lvl>
  </w:abstractNum>
  <w:abstractNum w:abstractNumId="57">
    <w:nsid w:val="4AD084E9"/>
    <w:multiLevelType w:val="hybridMultilevel"/>
    <w:lvl w:ilvl="0">
      <w:lvlJc w:val="left"/>
      <w:lvlText w:val="(%1)"/>
      <w:numFmt w:val="decimal"/>
      <w:start w:val="3"/>
    </w:lvl>
  </w:abstractNum>
  <w:abstractNum w:abstractNumId="58">
    <w:nsid w:val="1F48EAA1"/>
    <w:multiLevelType w:val="hybridMultilevel"/>
    <w:lvl w:ilvl="0">
      <w:lvlJc w:val="left"/>
      <w:lvlText w:val="(%1)"/>
      <w:numFmt w:val="decimal"/>
      <w:start w:val="1"/>
    </w:lvl>
  </w:abstractNum>
  <w:abstractNum w:abstractNumId="59">
    <w:nsid w:val="1381823A"/>
    <w:multiLevelType w:val="hybridMultilevel"/>
    <w:lvl w:ilvl="0">
      <w:lvlJc w:val="left"/>
      <w:lvlText w:val="•"/>
      <w:numFmt w:val="bullet"/>
      <w:start w:val="1"/>
    </w:lvl>
  </w:abstractNum>
  <w:abstractNum w:abstractNumId="60">
    <w:nsid w:val="5DB70AE5"/>
    <w:multiLevelType w:val="hybridMultilevel"/>
    <w:lvl w:ilvl="0">
      <w:lvlJc w:val="left"/>
      <w:lvlText w:val="•"/>
      <w:numFmt w:val="bullet"/>
      <w:start w:val="1"/>
    </w:lvl>
  </w:abstractNum>
  <w:abstractNum w:abstractNumId="61">
    <w:nsid w:val="100F8FCA"/>
    <w:multiLevelType w:val="hybridMultilevel"/>
    <w:lvl w:ilvl="0">
      <w:lvlJc w:val="left"/>
      <w:lvlText w:val="•"/>
      <w:numFmt w:val="bullet"/>
      <w:start w:val="1"/>
    </w:lvl>
  </w:abstractNum>
  <w:abstractNum w:abstractNumId="62">
    <w:nsid w:val="6590700B"/>
    <w:multiLevelType w:val="hybridMultilevel"/>
    <w:lvl w:ilvl="0">
      <w:lvlJc w:val="left"/>
      <w:lvlText w:val="•"/>
      <w:numFmt w:val="bullet"/>
      <w:start w:val="1"/>
    </w:lvl>
  </w:abstractNum>
  <w:abstractNum w:abstractNumId="63">
    <w:nsid w:val="15014ACB"/>
    <w:multiLevelType w:val="hybridMultilevel"/>
    <w:lvl w:ilvl="0">
      <w:lvlJc w:val="left"/>
      <w:lvlText w:val="•"/>
      <w:numFmt w:val="bullet"/>
      <w:start w:val="1"/>
    </w:lvl>
  </w:abstractNum>
  <w:abstractNum w:abstractNumId="64">
    <w:nsid w:val="5F5E7FD0"/>
    <w:multiLevelType w:val="hybridMultilevel"/>
    <w:lvl w:ilvl="0">
      <w:lvlJc w:val="left"/>
      <w:lvlText w:val="•"/>
      <w:numFmt w:val="bullet"/>
      <w:start w:val="1"/>
    </w:lvl>
  </w:abstractNum>
  <w:abstractNum w:abstractNumId="65">
    <w:nsid w:val="98A3148"/>
    <w:multiLevelType w:val="hybridMultilevel"/>
    <w:lvl w:ilvl="0">
      <w:lvlJc w:val="left"/>
      <w:lvlText w:val="•"/>
      <w:numFmt w:val="bullet"/>
      <w:start w:val="1"/>
    </w:lvl>
  </w:abstractNum>
  <w:abstractNum w:abstractNumId="66">
    <w:nsid w:val="799D0247"/>
    <w:multiLevelType w:val="hybridMultilevel"/>
    <w:lvl w:ilvl="0">
      <w:lvlJc w:val="left"/>
      <w:lvlText w:val="•"/>
      <w:numFmt w:val="bullet"/>
      <w:start w:val="1"/>
    </w:lvl>
  </w:abstractNum>
  <w:abstractNum w:abstractNumId="67">
    <w:nsid w:val="6B94764"/>
    <w:multiLevelType w:val="hybridMultilevel"/>
    <w:lvl w:ilvl="0">
      <w:lvlJc w:val="left"/>
      <w:lvlText w:val="(%1)"/>
      <w:numFmt w:val="decimal"/>
      <w:start w:val="1"/>
    </w:lvl>
  </w:abstractNum>
  <w:abstractNum w:abstractNumId="68">
    <w:nsid w:val="42C296BD"/>
    <w:multiLevelType w:val="hybridMultilevel"/>
    <w:lvl w:ilvl="0">
      <w:lvlJc w:val="left"/>
      <w:lvlText w:val="•"/>
      <w:numFmt w:val="bullet"/>
      <w:start w:val="1"/>
    </w:lvl>
  </w:abstractNum>
  <w:abstractNum w:abstractNumId="69">
    <w:nsid w:val="168E121F"/>
    <w:multiLevelType w:val="hybridMultilevel"/>
    <w:lvl w:ilvl="0">
      <w:lvlJc w:val="left"/>
      <w:lvlText w:val="*"/>
      <w:numFmt w:val="bullet"/>
      <w:start w:val="1"/>
    </w:lvl>
  </w:abstractNum>
  <w:abstractNum w:abstractNumId="70">
    <w:nsid w:val="1EBA5D23"/>
    <w:multiLevelType w:val="hybridMultilevel"/>
    <w:lvl w:ilvl="0">
      <w:lvlJc w:val="left"/>
      <w:lvlText w:val="(%1)"/>
      <w:numFmt w:val="decimal"/>
      <w:start w:val="1"/>
    </w:lvl>
  </w:abstractNum>
  <w:abstractNum w:abstractNumId="71">
    <w:nsid w:val="661E3F1E"/>
    <w:multiLevelType w:val="hybridMultilevel"/>
    <w:lvl w:ilvl="0">
      <w:lvlJc w:val="left"/>
      <w:lvlText w:val="•"/>
      <w:numFmt w:val="bullet"/>
      <w:start w:val="1"/>
    </w:lvl>
  </w:abstractNum>
  <w:abstractNum w:abstractNumId="72">
    <w:nsid w:val="5DC79EA8"/>
    <w:multiLevelType w:val="hybridMultilevel"/>
    <w:lvl w:ilvl="0">
      <w:lvlJc w:val="left"/>
      <w:lvlText w:val="•"/>
      <w:numFmt w:val="bullet"/>
      <w:start w:val="1"/>
    </w:lvl>
  </w:abstractNum>
  <w:abstractNum w:abstractNumId="73">
    <w:nsid w:val="540A471C"/>
    <w:multiLevelType w:val="hybridMultilevel"/>
    <w:lvl w:ilvl="0">
      <w:lvlJc w:val="left"/>
      <w:lvlText w:val="•"/>
      <w:numFmt w:val="bullet"/>
      <w:start w:val="1"/>
    </w:lvl>
  </w:abstractNum>
  <w:abstractNum w:abstractNumId="74">
    <w:nsid w:val="7BD3EE7B"/>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jpe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jpe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jpe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jpeg"/><Relationship Id="rId77" Type="http://schemas.openxmlformats.org/officeDocument/2006/relationships/image" Target="media/image70.png"/><Relationship Id="rId78" Type="http://schemas.openxmlformats.org/officeDocument/2006/relationships/image" Target="media/image71.jpe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jpeg"/><Relationship Id="rId82" Type="http://schemas.openxmlformats.org/officeDocument/2006/relationships/image" Target="media/image75.png"/><Relationship Id="rId83" Type="http://schemas.openxmlformats.org/officeDocument/2006/relationships/image" Target="media/image76.jpe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jpe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jpe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jpeg"/><Relationship Id="rId99" Type="http://schemas.openxmlformats.org/officeDocument/2006/relationships/image" Target="media/image92.png"/><Relationship Id="rId100" Type="http://schemas.openxmlformats.org/officeDocument/2006/relationships/image" Target="media/image93.jpe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jpeg"/><Relationship Id="rId104" Type="http://schemas.openxmlformats.org/officeDocument/2006/relationships/image" Target="media/image97.png"/><Relationship Id="rId105" Type="http://schemas.openxmlformats.org/officeDocument/2006/relationships/image" Target="media/image98.jpe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jpeg"/><Relationship Id="rId109" Type="http://schemas.openxmlformats.org/officeDocument/2006/relationships/image" Target="media/image102.png"/><Relationship Id="rId110" Type="http://schemas.openxmlformats.org/officeDocument/2006/relationships/image" Target="media/image103.jpe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jpeg"/><Relationship Id="rId114" Type="http://schemas.openxmlformats.org/officeDocument/2006/relationships/image" Target="media/image107.png"/><Relationship Id="rId115" Type="http://schemas.openxmlformats.org/officeDocument/2006/relationships/image" Target="media/image108.jpeg"/><Relationship Id="rId116" Type="http://schemas.openxmlformats.org/officeDocument/2006/relationships/image" Target="media/image109.png"/><Relationship Id="rId117" Type="http://schemas.openxmlformats.org/officeDocument/2006/relationships/image" Target="media/image110.jpe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jpe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png"/><Relationship Id="rId128" Type="http://schemas.openxmlformats.org/officeDocument/2006/relationships/image" Target="media/image121.jpe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jpeg"/><Relationship Id="rId134" Type="http://schemas.openxmlformats.org/officeDocument/2006/relationships/image" Target="media/image127.png"/><Relationship Id="rId135" Type="http://schemas.openxmlformats.org/officeDocument/2006/relationships/image" Target="media/image128.jpe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jpe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jpeg"/><Relationship Id="rId146" Type="http://schemas.openxmlformats.org/officeDocument/2006/relationships/image" Target="media/image139.png"/><Relationship Id="rId147" Type="http://schemas.openxmlformats.org/officeDocument/2006/relationships/image" Target="media/image140.jpe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jpe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jpe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jpeg"/><Relationship Id="rId161" Type="http://schemas.openxmlformats.org/officeDocument/2006/relationships/image" Target="media/image154.png"/><Relationship Id="rId162" Type="http://schemas.openxmlformats.org/officeDocument/2006/relationships/image" Target="media/image155.jpe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jpeg"/><Relationship Id="rId166" Type="http://schemas.openxmlformats.org/officeDocument/2006/relationships/image" Target="media/image159.png"/><Relationship Id="rId167" Type="http://schemas.openxmlformats.org/officeDocument/2006/relationships/image" Target="media/image160.jpe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jpeg"/><Relationship Id="rId171" Type="http://schemas.openxmlformats.org/officeDocument/2006/relationships/image" Target="media/image164.png"/><Relationship Id="rId172" Type="http://schemas.openxmlformats.org/officeDocument/2006/relationships/image" Target="media/image165.jpe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jpeg"/><Relationship Id="rId176" Type="http://schemas.openxmlformats.org/officeDocument/2006/relationships/image" Target="media/image169.png"/><Relationship Id="rId177" Type="http://schemas.openxmlformats.org/officeDocument/2006/relationships/image" Target="media/image170.jpe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jpe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jpe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jpeg"/><Relationship Id="rId188" Type="http://schemas.openxmlformats.org/officeDocument/2006/relationships/image" Target="media/image181.jpe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jpe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jpeg"/><Relationship Id="rId197" Type="http://schemas.openxmlformats.org/officeDocument/2006/relationships/image" Target="media/image190.jpeg"/><Relationship Id="rId198" Type="http://schemas.openxmlformats.org/officeDocument/2006/relationships/image" Target="media/image191.png"/><Relationship Id="rId199" Type="http://schemas.openxmlformats.org/officeDocument/2006/relationships/image" Target="media/image192.jpe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jpeg"/><Relationship Id="rId203" Type="http://schemas.openxmlformats.org/officeDocument/2006/relationships/image" Target="media/image196.png"/><Relationship Id="rId204" Type="http://schemas.openxmlformats.org/officeDocument/2006/relationships/image" Target="media/image197.jpe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jpeg"/><Relationship Id="rId208" Type="http://schemas.openxmlformats.org/officeDocument/2006/relationships/image" Target="media/image201.png"/><Relationship Id="rId209" Type="http://schemas.openxmlformats.org/officeDocument/2006/relationships/image" Target="media/image202.jpe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jpe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jpeg"/><Relationship Id="rId217" Type="http://schemas.openxmlformats.org/officeDocument/2006/relationships/image" Target="media/image210.jpeg"/><Relationship Id="rId218" Type="http://schemas.openxmlformats.org/officeDocument/2006/relationships/image" Target="media/image211.png"/><Relationship Id="rId219" Type="http://schemas.openxmlformats.org/officeDocument/2006/relationships/image" Target="media/image212.jpe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jpe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jpe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jpe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jpe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jpe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jpeg"/><Relationship Id="rId261" Type="http://schemas.openxmlformats.org/officeDocument/2006/relationships/image" Target="media/image254.jpe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jpeg"/><Relationship Id="rId267" Type="http://schemas.openxmlformats.org/officeDocument/2006/relationships/image" Target="media/image260.jpe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jpe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jpeg"/><Relationship Id="rId274" Type="http://schemas.openxmlformats.org/officeDocument/2006/relationships/image" Target="media/image267.jpeg"/><Relationship Id="rId275" Type="http://schemas.openxmlformats.org/officeDocument/2006/relationships/image" Target="media/image268.jpeg"/><Relationship Id="rId276" Type="http://schemas.openxmlformats.org/officeDocument/2006/relationships/image" Target="media/image269.jpeg"/><Relationship Id="rId277" Type="http://schemas.openxmlformats.org/officeDocument/2006/relationships/image" Target="media/image270.jpeg"/><Relationship Id="rId278" Type="http://schemas.openxmlformats.org/officeDocument/2006/relationships/image" Target="media/image271.jpeg"/><Relationship Id="rId279" Type="http://schemas.openxmlformats.org/officeDocument/2006/relationships/image" Target="media/image272.jpeg"/><Relationship Id="rId280" Type="http://schemas.openxmlformats.org/officeDocument/2006/relationships/image" Target="media/image273.jpeg"/><Relationship Id="rId281" Type="http://schemas.openxmlformats.org/officeDocument/2006/relationships/image" Target="media/image274.jpeg"/><Relationship Id="rId282" Type="http://schemas.openxmlformats.org/officeDocument/2006/relationships/image" Target="media/image275.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2020-01-14T23:19:33Z</dcterms:created>
  <dcterms:modified xsi:type="dcterms:W3CDTF">2020-01-14T23:19:33Z</dcterms:modified>
</cp:coreProperties>
</file>