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54540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545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gridSpan w:val="3"/>
            <w:vMerge w:val="restart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90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0"/>
                </w:rPr>
                <w:t>Everett Nora Mary</w:t>
              </w:r>
            </w:hyperlink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6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Director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0000EE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 xml:space="preserve">PFG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  <w:w w:val="91"/>
              </w:rPr>
              <w:t>]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President - RIS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711 HIGH STREET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gridSpan w:val="6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06/18/2015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6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gridSpan w:val="9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9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</w:tcPr>
          <w:p>
            <w:pPr>
              <w:ind w:left="1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Person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6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7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20" w:type="dxa"/>
            <w:vAlign w:val="bottom"/>
            <w:gridSpan w:val="3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06/18/2015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84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4"/>
              </w:rPr>
              <w:t>(1)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8,425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49.25</w:t>
            </w: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40,251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06/18/2015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78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8"/>
              </w:rPr>
              <w:t>(1)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8,425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52.32</w:t>
            </w: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31,826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20" w:type="dxa"/>
            <w:vAlign w:val="bottom"/>
            <w:gridSpan w:val="16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5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5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Employee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  <w:vMerge w:val="restart"/>
          </w:tcPr>
          <w:p>
            <w:pPr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8,425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Option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49.25</w:t>
            </w:r>
          </w:p>
        </w:tc>
        <w:tc>
          <w:tcPr>
            <w:tcW w:w="1040" w:type="dxa"/>
            <w:vAlign w:val="bottom"/>
            <w:gridSpan w:val="2"/>
            <w:vMerge w:val="restart"/>
          </w:tcPr>
          <w:p>
            <w:pPr>
              <w:jc w:val="right"/>
              <w:ind w:right="112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06/18/2015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4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8,425</w:t>
            </w: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jc w:val="center"/>
              <w:ind w:right="1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02/27/2009</w:t>
            </w: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9"/>
              </w:rPr>
              <w:t>02/27/2016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ind w:left="3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(Right to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00FF"/>
        </w:rPr>
        <w:t>Buy)</w:t>
      </w:r>
    </w:p>
    <w:p>
      <w:pPr>
        <w:sectPr>
          <w:pgSz w:w="11900" w:h="16838" w:orient="portrait"/>
          <w:cols w:equalWidth="0" w:num="1">
            <w:col w:w="11520"/>
          </w:cols>
          <w:pgMar w:left="240" w:top="226" w:right="139" w:bottom="1440" w:gutter="0" w:footer="0" w:header="0"/>
          <w:type w:val="continuous"/>
        </w:sectPr>
      </w:pP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Pursuant to a Rule 10b5-1 trading plan adopted by the reporting person on May 19, 2015.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Includes 2,954 shares acquired pursuant to the Principal Financial Group, Inc. Employee Stock Purchase Plan.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5128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51689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06/19/2015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60"/>
            <w:col w:w="2360"/>
          </w:cols>
          <w:pgMar w:left="240" w:top="226" w:right="1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636094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2020-01-22T09:14:29Z</dcterms:created>
  <dcterms:modified xsi:type="dcterms:W3CDTF">2020-01-22T09:14:29Z</dcterms:modified>
</cp:coreProperties>
</file>