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481901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80" w:type="dxa"/>
            <w:vAlign w:val="bottom"/>
            <w:gridSpan w:val="3"/>
            <w:vMerge w:val="restart"/>
          </w:tcPr>
          <w:p>
            <w:pPr>
              <w:spacing w:after="0" w:line="250" w:lineRule="exact"/>
              <w:rPr>
                <w:rFonts w:ascii="Arial" w:cs="Arial" w:eastAsia="Arial" w:hAnsi="Arial"/>
                <w:sz w:val="22"/>
                <w:szCs w:val="22"/>
                <w:color w:val="0000EE"/>
                <w:w w:val="92"/>
              </w:rPr>
            </w:pPr>
            <w:hyperlink r:id="rId12">
              <w:r>
                <w:rPr>
                  <w:rFonts w:ascii="Arial" w:cs="Arial" w:eastAsia="Arial" w:hAnsi="Arial"/>
                  <w:sz w:val="22"/>
                  <w:szCs w:val="22"/>
                  <w:color w:val="0000EE"/>
                  <w:w w:val="92"/>
                </w:rPr>
                <w:t>Dunbar Timothy Mark</w:t>
              </w:r>
            </w:hyperlink>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60" w:type="dxa"/>
            <w:vAlign w:val="bottom"/>
          </w:tcPr>
          <w:p>
            <w:pPr>
              <w:spacing w:after="0"/>
              <w:rPr>
                <w:sz w:val="9"/>
                <w:szCs w:val="9"/>
                <w:color w:val="auto"/>
              </w:rPr>
            </w:pPr>
          </w:p>
        </w:tc>
        <w:tc>
          <w:tcPr>
            <w:tcW w:w="172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vMerge w:val="continue"/>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80" w:type="dxa"/>
            <w:vAlign w:val="bottom"/>
            <w:gridSpan w:val="3"/>
            <w:vMerge w:val="continue"/>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80" w:type="dxa"/>
            <w:vAlign w:val="bottom"/>
            <w:tcBorders>
              <w:bottom w:val="single" w:sz="8" w:color="0000EE"/>
            </w:tcBorders>
            <w:gridSpan w:val="3"/>
            <w:vMerge w:val="continue"/>
          </w:tcPr>
          <w:p>
            <w:pPr>
              <w:spacing w:after="0"/>
              <w:rPr>
                <w:sz w:val="5"/>
                <w:szCs w:val="5"/>
                <w:color w:val="auto"/>
              </w:rPr>
            </w:pPr>
          </w:p>
        </w:tc>
        <w:tc>
          <w:tcPr>
            <w:tcW w:w="54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Arial" w:cs="Arial" w:eastAsia="Arial" w:hAnsi="Arial"/>
                <w:sz w:val="18"/>
                <w:szCs w:val="18"/>
                <w:color w:val="0000FF"/>
                <w:w w:val="96"/>
              </w:rPr>
              <w:t xml:space="preserve">PFG </w:t>
            </w:r>
            <w:r>
              <w:rPr>
                <w:rFonts w:ascii="Arial" w:cs="Arial" w:eastAsia="Arial" w:hAnsi="Arial"/>
                <w:sz w:val="21"/>
                <w:szCs w:val="21"/>
                <w:color w:val="000000"/>
                <w:w w:val="96"/>
              </w:rPr>
              <w:t>]</w:t>
            </w: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tcPr>
          <w:p>
            <w:pPr>
              <w:spacing w:after="0"/>
              <w:rPr>
                <w:sz w:val="4"/>
                <w:szCs w:val="4"/>
                <w:color w:val="auto"/>
              </w:rPr>
            </w:pPr>
          </w:p>
        </w:tc>
        <w:tc>
          <w:tcPr>
            <w:tcW w:w="54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50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vMerge w:val="continue"/>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60" w:type="dxa"/>
            <w:vAlign w:val="bottom"/>
            <w:gridSpan w:val="2"/>
            <w:vMerge w:val="restart"/>
          </w:tcPr>
          <w:p>
            <w:pPr>
              <w:ind w:left="20"/>
              <w:spacing w:after="0"/>
              <w:rPr>
                <w:sz w:val="20"/>
                <w:szCs w:val="20"/>
                <w:color w:val="auto"/>
              </w:rPr>
            </w:pPr>
            <w:r>
              <w:rPr>
                <w:rFonts w:ascii="Arial" w:cs="Arial" w:eastAsia="Arial" w:hAnsi="Arial"/>
                <w:sz w:val="18"/>
                <w:szCs w:val="18"/>
                <w:color w:val="0000FF"/>
                <w:w w:val="99"/>
              </w:rPr>
              <w:t>X</w:t>
            </w:r>
          </w:p>
        </w:tc>
        <w:tc>
          <w:tcPr>
            <w:tcW w:w="40" w:type="dxa"/>
            <w:vAlign w:val="bottom"/>
          </w:tcPr>
          <w:p>
            <w:pPr>
              <w:spacing w:after="0"/>
              <w:rPr>
                <w:sz w:val="12"/>
                <w:szCs w:val="1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500" w:type="dxa"/>
            <w:vAlign w:val="bottom"/>
            <w:tcBorders>
              <w:top w:val="single" w:sz="8" w:color="EEEEEE"/>
            </w:tcBorders>
          </w:tcPr>
          <w:p>
            <w:pPr>
              <w:spacing w:after="0"/>
              <w:rPr>
                <w:sz w:val="2"/>
                <w:szCs w:val="2"/>
                <w:color w:val="auto"/>
              </w:rPr>
            </w:pPr>
          </w:p>
        </w:tc>
        <w:tc>
          <w:tcPr>
            <w:tcW w:w="54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gridSpan w:val="2"/>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60" w:type="dxa"/>
            <w:vAlign w:val="bottom"/>
            <w:gridSpan w:val="2"/>
            <w:vMerge w:val="continue"/>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vMerge w:val="restart"/>
          </w:tcPr>
          <w:p>
            <w:pPr>
              <w:ind w:left="160"/>
              <w:spacing w:after="0"/>
              <w:rPr>
                <w:sz w:val="20"/>
                <w:szCs w:val="20"/>
                <w:color w:val="auto"/>
              </w:rPr>
            </w:pPr>
            <w:r>
              <w:rPr>
                <w:rFonts w:ascii="Arial" w:cs="Arial" w:eastAsia="Arial" w:hAnsi="Arial"/>
                <w:sz w:val="14"/>
                <w:szCs w:val="14"/>
                <w:color w:val="auto"/>
                <w:w w:val="96"/>
              </w:rPr>
              <w:t>below)</w:t>
            </w:r>
          </w:p>
        </w:tc>
        <w:tc>
          <w:tcPr>
            <w:tcW w:w="680" w:type="dxa"/>
            <w:vAlign w:val="bottom"/>
          </w:tcPr>
          <w:p>
            <w:pPr>
              <w:spacing w:after="0"/>
              <w:rPr>
                <w:sz w:val="7"/>
                <w:szCs w:val="7"/>
                <w:color w:val="auto"/>
              </w:rPr>
            </w:pP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vMerge w:val="continue"/>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restart"/>
          </w:tcPr>
          <w:p>
            <w:pPr>
              <w:ind w:left="100"/>
              <w:spacing w:after="0"/>
              <w:rPr>
                <w:sz w:val="20"/>
                <w:szCs w:val="20"/>
                <w:color w:val="auto"/>
              </w:rPr>
            </w:pPr>
            <w:r>
              <w:rPr>
                <w:rFonts w:ascii="Arial" w:cs="Arial" w:eastAsia="Arial" w:hAnsi="Arial"/>
                <w:sz w:val="18"/>
                <w:szCs w:val="18"/>
                <w:color w:val="0000FF"/>
              </w:rPr>
              <w:t>EVP &amp; Chief Investment Officer</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980" w:type="dxa"/>
            <w:vAlign w:val="bottom"/>
            <w:gridSpan w:val="5"/>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07/06/2015</w:t>
            </w: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40" w:type="dxa"/>
            <w:vAlign w:val="bottom"/>
          </w:tcPr>
          <w:p>
            <w:pPr>
              <w:spacing w:after="0"/>
              <w:rPr>
                <w:sz w:val="9"/>
                <w:szCs w:val="9"/>
                <w:color w:val="auto"/>
              </w:rPr>
            </w:pPr>
          </w:p>
        </w:tc>
        <w:tc>
          <w:tcPr>
            <w:tcW w:w="2980" w:type="dxa"/>
            <w:vAlign w:val="bottom"/>
            <w:gridSpan w:val="5"/>
            <w:vMerge w:val="continue"/>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50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20" w:type="dxa"/>
            <w:vAlign w:val="bottom"/>
          </w:tcPr>
          <w:p>
            <w:pPr>
              <w:spacing w:after="0"/>
              <w:rPr>
                <w:sz w:val="7"/>
                <w:szCs w:val="7"/>
                <w:color w:val="auto"/>
              </w:rPr>
            </w:pPr>
          </w:p>
        </w:tc>
        <w:tc>
          <w:tcPr>
            <w:tcW w:w="16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vMerge w:val="continue"/>
          </w:tcPr>
          <w:p>
            <w:pPr>
              <w:spacing w:after="0"/>
              <w:rPr>
                <w:sz w:val="8"/>
                <w:szCs w:val="8"/>
                <w:color w:val="auto"/>
              </w:rPr>
            </w:pPr>
          </w:p>
        </w:tc>
        <w:tc>
          <w:tcPr>
            <w:tcW w:w="3440" w:type="dxa"/>
            <w:vAlign w:val="bottom"/>
            <w:gridSpan w:val="9"/>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2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tcPr>
          <w:p>
            <w:pPr>
              <w:spacing w:after="0"/>
              <w:rPr>
                <w:sz w:val="22"/>
                <w:szCs w:val="22"/>
                <w:color w:val="auto"/>
              </w:rPr>
            </w:pPr>
          </w:p>
        </w:tc>
        <w:tc>
          <w:tcPr>
            <w:tcW w:w="7600" w:type="dxa"/>
            <w:vAlign w:val="bottom"/>
            <w:tcBorders>
              <w:top w:val="single" w:sz="8" w:color="2C2C2C"/>
            </w:tcBorders>
            <w:gridSpan w:val="21"/>
          </w:tcPr>
          <w:p>
            <w:pPr>
              <w:ind w:left="2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80" w:type="dxa"/>
            <w:vAlign w:val="bottom"/>
            <w:tcBorders>
              <w:bottom w:val="single" w:sz="8" w:color="2C2C2C"/>
            </w:tcBorders>
            <w:gridSpan w:val="3"/>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8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spacing w:after="0"/>
              <w:rPr>
                <w:sz w:val="15"/>
                <w:szCs w:val="15"/>
                <w:color w:val="auto"/>
              </w:rPr>
            </w:pP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8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22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860" w:type="dxa"/>
            <w:vAlign w:val="bottom"/>
          </w:tcPr>
          <w:p>
            <w:pPr>
              <w:spacing w:after="0"/>
              <w:rPr>
                <w:sz w:val="6"/>
                <w:szCs w:val="6"/>
                <w:color w:val="auto"/>
              </w:rPr>
            </w:pPr>
          </w:p>
        </w:tc>
        <w:tc>
          <w:tcPr>
            <w:tcW w:w="22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8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20" w:type="dxa"/>
            <w:vAlign w:val="bottom"/>
          </w:tcPr>
          <w:p>
            <w:pPr>
              <w:spacing w:after="0"/>
              <w:rPr>
                <w:sz w:val="11"/>
                <w:szCs w:val="11"/>
                <w:color w:val="auto"/>
              </w:rPr>
            </w:pPr>
          </w:p>
        </w:tc>
        <w:tc>
          <w:tcPr>
            <w:tcW w:w="4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20" w:type="dxa"/>
            <w:vAlign w:val="bottom"/>
          </w:tcPr>
          <w:p>
            <w:pPr>
              <w:spacing w:after="0"/>
              <w:rPr>
                <w:sz w:val="8"/>
                <w:szCs w:val="8"/>
                <w:color w:val="auto"/>
              </w:rPr>
            </w:pPr>
          </w:p>
        </w:tc>
        <w:tc>
          <w:tcPr>
            <w:tcW w:w="480" w:type="dxa"/>
            <w:vAlign w:val="bottom"/>
            <w:gridSpan w:val="3"/>
            <w:vMerge w:val="continue"/>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50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500" w:type="dxa"/>
            <w:vAlign w:val="bottom"/>
            <w:tcBorders>
              <w:bottom w:val="single" w:sz="8" w:color="2C2C2C"/>
            </w:tcBorders>
          </w:tcPr>
          <w:p>
            <w:pPr>
              <w:spacing w:after="0"/>
              <w:rPr>
                <w:sz w:val="8"/>
                <w:szCs w:val="8"/>
                <w:color w:val="auto"/>
              </w:rPr>
            </w:pPr>
          </w:p>
        </w:tc>
        <w:tc>
          <w:tcPr>
            <w:tcW w:w="198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0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4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5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5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580" w:type="dxa"/>
            <w:vAlign w:val="bottom"/>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2"/>
              </w:rPr>
              <w:t>or</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7"/>
              </w:rPr>
              <w:t>of</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vMerge w:val="restart"/>
          </w:tcPr>
          <w:p>
            <w:pPr>
              <w:ind w:left="120"/>
              <w:spacing w:after="0"/>
              <w:rPr>
                <w:sz w:val="20"/>
                <w:szCs w:val="20"/>
                <w:color w:val="auto"/>
              </w:rPr>
            </w:pPr>
            <w:r>
              <w:rPr>
                <w:rFonts w:ascii="Arial" w:cs="Arial" w:eastAsia="Arial" w:hAnsi="Arial"/>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(2)</w:t>
            </w:r>
          </w:p>
        </w:tc>
        <w:tc>
          <w:tcPr>
            <w:tcW w:w="68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120" w:type="dxa"/>
            <w:vAlign w:val="bottom"/>
          </w:tcPr>
          <w:p>
            <w:pPr>
              <w:spacing w:after="0"/>
              <w:rPr>
                <w:sz w:val="16"/>
                <w:szCs w:val="16"/>
                <w:color w:val="auto"/>
              </w:rPr>
            </w:pPr>
          </w:p>
        </w:tc>
        <w:tc>
          <w:tcPr>
            <w:tcW w:w="420" w:type="dxa"/>
            <w:vAlign w:val="bottom"/>
            <w:gridSpan w:val="2"/>
            <w:vMerge w:val="restart"/>
          </w:tcPr>
          <w:p>
            <w:pPr>
              <w:jc w:val="right"/>
              <w:ind w:right="132"/>
              <w:spacing w:after="0"/>
              <w:rPr>
                <w:sz w:val="20"/>
                <w:szCs w:val="20"/>
                <w:color w:val="auto"/>
              </w:rPr>
            </w:pPr>
            <w:r>
              <w:rPr>
                <w:rFonts w:ascii="Arial" w:cs="Arial" w:eastAsia="Arial" w:hAnsi="Arial"/>
                <w:sz w:val="18"/>
                <w:szCs w:val="18"/>
                <w:color w:val="0000FF"/>
                <w:w w:val="79"/>
              </w:rPr>
              <w:t>6.4</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07/06/2015</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6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rPr>
              <w:t>6.4</w:t>
            </w:r>
          </w:p>
        </w:tc>
        <w:tc>
          <w:tcPr>
            <w:tcW w:w="22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gridSpan w:val="2"/>
            <w:vMerge w:val="restart"/>
          </w:tcPr>
          <w:p>
            <w:pPr>
              <w:jc w:val="right"/>
              <w:ind w:right="175"/>
              <w:spacing w:after="0"/>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51.09</w:t>
            </w:r>
          </w:p>
        </w:tc>
        <w:tc>
          <w:tcPr>
            <w:tcW w:w="68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94"/>
              </w:rPr>
              <w:t>5,336.9</w:t>
            </w:r>
          </w:p>
        </w:tc>
        <w:tc>
          <w:tcPr>
            <w:tcW w:w="960" w:type="dxa"/>
            <w:vAlign w:val="bottom"/>
            <w:vMerge w:val="restart"/>
          </w:tcPr>
          <w:p>
            <w:pPr>
              <w:ind w:left="58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12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gridSpan w:val="2"/>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Security converts to common stock on a one-for-one basis.</w:t>
      </w:r>
    </w:p>
    <w:p>
      <w:pPr>
        <w:spacing w:after="0" w:line="41" w:lineRule="exact"/>
        <w:rPr>
          <w:rFonts w:ascii="Arial" w:cs="Arial" w:eastAsia="Arial" w:hAnsi="Arial"/>
          <w:sz w:val="14"/>
          <w:szCs w:val="14"/>
          <w:color w:val="008000"/>
        </w:rPr>
      </w:pPr>
    </w:p>
    <w:p>
      <w:pPr>
        <w:ind w:left="40" w:right="3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07/07/2015</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65742"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2020-01-22T09:28:32Z</dcterms:created>
  <dcterms:modified xsi:type="dcterms:W3CDTF">2020-01-22T09:28:32Z</dcterms:modified>
</cp:coreProperties>
</file>