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814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81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2"/>
                </w:rPr>
                <w:t>Dunbar Timothy Mark</w:t>
              </w:r>
            </w:hyperlink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1"/>
              </w:rPr>
              <w:t>]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EVP &amp; Chief Investment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07/30/2015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07/30/2015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4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4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8,275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49.25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49,907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(2)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07/30/2015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8,275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41,632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(2)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114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20" w:type="dxa"/>
            <w:vAlign w:val="bottom"/>
            <w:gridSpan w:val="1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8,275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49.25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ind w:right="112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07/30/2015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8,275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1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02/27/2009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02/27/2016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00" w:type="dxa"/>
            <w:vAlign w:val="bottom"/>
          </w:tcPr>
          <w:p>
            <w:pPr>
              <w:ind w:left="3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Pursuant to a Rule 10b5-1 trading plan adopted by the reporting person on March 11, 2015.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4,543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07/31/2015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360"/>
          </w:cols>
          <w:pgMar w:left="240" w:top="226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574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2020-01-22T09:24:15Z</dcterms:created>
  <dcterms:modified xsi:type="dcterms:W3CDTF">2020-01-22T09:24:15Z</dcterms:modified>
</cp:coreProperties>
</file>