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9512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95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9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9"/>
                </w:rPr>
                <w:t>Lillis Terrance J.</w:t>
              </w:r>
            </w:hyperlink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1"/>
              </w:rPr>
              <w:t>]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EVP &amp; Chief Financial Officer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07/21/2015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9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07/21/2015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4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4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2,212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27.46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84,066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07/21/2015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78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8"/>
              </w:rPr>
              <w:t>(1)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2,212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53.5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81,854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40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3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20" w:type="dxa"/>
            <w:vAlign w:val="bottom"/>
            <w:gridSpan w:val="16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Employee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2,212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Options</w:t>
            </w:r>
          </w:p>
        </w:tc>
        <w:tc>
          <w:tcPr>
            <w:tcW w:w="840" w:type="dxa"/>
            <w:vAlign w:val="bottom"/>
          </w:tcPr>
          <w:p>
            <w:pPr>
              <w:ind w:left="2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27.46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07/21/2015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2,212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1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02/27/2015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02/27/2022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8"/>
              </w:rPr>
              <w:t>49,638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Pursuant to a Rule 10b5-1 trading plan adopted by the reporting person on May 12, 2015.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10,120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07/22/2015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360"/>
          </w:cols>
          <w:pgMar w:left="240" w:top="226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443238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2020-01-22T09:46:47Z</dcterms:created>
  <dcterms:modified xsi:type="dcterms:W3CDTF">2020-01-22T09:46:47Z</dcterms:modified>
</cp:coreProperties>
</file>