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38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-242570</wp:posOffset>
            </wp:positionV>
            <wp:extent cx="135890" cy="135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54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5469890</wp:posOffset>
            </wp:positionH>
            <wp:positionV relativeFrom="paragraph">
              <wp:posOffset>-648335</wp:posOffset>
            </wp:positionV>
            <wp:extent cx="59055" cy="661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4137660</wp:posOffset>
            </wp:positionH>
            <wp:positionV relativeFrom="paragraph">
              <wp:posOffset>-648335</wp:posOffset>
            </wp:positionV>
            <wp:extent cx="59055" cy="6616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-1709420</wp:posOffset>
            </wp:positionH>
            <wp:positionV relativeFrom="paragraph">
              <wp:posOffset>20320</wp:posOffset>
            </wp:positionV>
            <wp:extent cx="7323455" cy="55841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58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40" w:space="340"/>
            <w:col w:w="884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1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1"/>
                </w:rPr>
                <w:t>Lillis Terrance J.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EVP &amp; Chief Financial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02/22/2016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60" w:type="dxa"/>
            <w:vAlign w:val="bottom"/>
            <w:gridSpan w:val="7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02/22/2016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18,063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82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82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2"/>
              </w:rPr>
              <w:t>(1)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99,409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ind w:right="5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7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Commom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95,540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37.38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02/22/2016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95,540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02/22/2026</w:t>
            </w: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95,540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Settlement of performance-based restricted stock units granted February 25, 2013.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10,776 shares acquired pursuant to the Principal Financial Group, Inc. Employee Stock Purchase Plan.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February 22, 2017.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-635</wp:posOffset>
            </wp:positionV>
            <wp:extent cx="133731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-12065</wp:posOffset>
            </wp:positionV>
            <wp:extent cx="51181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02/24/2016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6350</wp:posOffset>
            </wp:positionV>
            <wp:extent cx="5022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60" w:space="180"/>
            <w:col w:w="2380"/>
          </w:cols>
          <w:pgMar w:left="240" w:top="225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40" w:right="376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43238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2020-01-19T06:06:59Z</dcterms:created>
  <dcterms:modified xsi:type="dcterms:W3CDTF">2020-01-19T06:06:59Z</dcterms:modified>
</cp:coreProperties>
</file>