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201930</wp:posOffset>
            </wp:positionH>
            <wp:positionV relativeFrom="page">
              <wp:posOffset>228600</wp:posOffset>
            </wp:positionV>
            <wp:extent cx="7543800" cy="1333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43800" cy="13335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0"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Mail Stop 4720</w:t>
      </w:r>
    </w:p>
    <w:p>
      <w:pPr>
        <w:ind w:left="5760"/>
        <w:spacing w:after="0"/>
        <w:rPr>
          <w:sz w:val="20"/>
          <w:szCs w:val="20"/>
          <w:color w:val="auto"/>
        </w:rPr>
      </w:pPr>
      <w:r>
        <w:rPr>
          <w:rFonts w:ascii="Times New Roman" w:cs="Times New Roman" w:eastAsia="Times New Roman" w:hAnsi="Times New Roman"/>
          <w:sz w:val="24"/>
          <w:szCs w:val="24"/>
          <w:color w:val="auto"/>
        </w:rPr>
        <w:t>May 2, 2016</w:t>
      </w:r>
    </w:p>
    <w:p>
      <w:pPr>
        <w:spacing w:after="0" w:line="26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Via E-mail</w:t>
      </w:r>
    </w:p>
    <w:p>
      <w:pPr>
        <w:spacing w:after="0" w:line="235" w:lineRule="auto"/>
        <w:rPr>
          <w:sz w:val="20"/>
          <w:szCs w:val="20"/>
          <w:color w:val="auto"/>
        </w:rPr>
      </w:pPr>
      <w:r>
        <w:rPr>
          <w:rFonts w:ascii="Times New Roman" w:cs="Times New Roman" w:eastAsia="Times New Roman" w:hAnsi="Times New Roman"/>
          <w:sz w:val="24"/>
          <w:szCs w:val="24"/>
          <w:color w:val="auto"/>
        </w:rPr>
        <w:t>Mr. Terrance J. Lillis</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Chief Financial Officer</w:t>
      </w:r>
    </w:p>
    <w:p>
      <w:pPr>
        <w:spacing w:after="0"/>
        <w:rPr>
          <w:sz w:val="20"/>
          <w:szCs w:val="20"/>
          <w:color w:val="auto"/>
        </w:rPr>
      </w:pPr>
      <w:r>
        <w:rPr>
          <w:rFonts w:ascii="Times New Roman" w:cs="Times New Roman" w:eastAsia="Times New Roman" w:hAnsi="Times New Roman"/>
          <w:sz w:val="24"/>
          <w:szCs w:val="24"/>
          <w:color w:val="auto"/>
        </w:rPr>
        <w:t>Principal Financial Group Inc.</w:t>
      </w:r>
    </w:p>
    <w:p>
      <w:pPr>
        <w:spacing w:after="0"/>
        <w:rPr>
          <w:sz w:val="20"/>
          <w:szCs w:val="20"/>
          <w:color w:val="auto"/>
        </w:rPr>
      </w:pPr>
      <w:r>
        <w:rPr>
          <w:rFonts w:ascii="Times New Roman" w:cs="Times New Roman" w:eastAsia="Times New Roman" w:hAnsi="Times New Roman"/>
          <w:sz w:val="24"/>
          <w:szCs w:val="24"/>
          <w:color w:val="auto"/>
        </w:rPr>
        <w:t>711 High Street</w:t>
      </w:r>
    </w:p>
    <w:p>
      <w:pPr>
        <w:spacing w:after="0"/>
        <w:rPr>
          <w:sz w:val="20"/>
          <w:szCs w:val="20"/>
          <w:color w:val="auto"/>
        </w:rPr>
      </w:pPr>
      <w:r>
        <w:rPr>
          <w:rFonts w:ascii="Times New Roman" w:cs="Times New Roman" w:eastAsia="Times New Roman" w:hAnsi="Times New Roman"/>
          <w:sz w:val="24"/>
          <w:szCs w:val="24"/>
          <w:color w:val="auto"/>
        </w:rPr>
        <w:t>Des Moines, Iowa 50392</w:t>
      </w:r>
    </w:p>
    <w:p>
      <w:pPr>
        <w:spacing w:after="0" w:line="281" w:lineRule="exact"/>
        <w:rPr>
          <w:sz w:val="24"/>
          <w:szCs w:val="24"/>
          <w:color w:val="auto"/>
        </w:rPr>
      </w:pPr>
    </w:p>
    <w:p>
      <w:pPr>
        <w:ind w:left="720"/>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Re:</w:t>
      </w:r>
      <w:r>
        <w:rPr>
          <w:sz w:val="20"/>
          <w:szCs w:val="20"/>
          <w:color w:val="auto"/>
        </w:rPr>
        <w:tab/>
      </w:r>
      <w:r>
        <w:rPr>
          <w:rFonts w:ascii="Times New Roman" w:cs="Times New Roman" w:eastAsia="Times New Roman" w:hAnsi="Times New Roman"/>
          <w:sz w:val="24"/>
          <w:szCs w:val="24"/>
          <w:b w:val="1"/>
          <w:bCs w:val="1"/>
          <w:color w:val="auto"/>
        </w:rPr>
        <w:t>Principal Financial Group Inc.</w:t>
      </w:r>
    </w:p>
    <w:p>
      <w:pPr>
        <w:ind w:left="1440"/>
        <w:spacing w:after="0"/>
        <w:rPr>
          <w:sz w:val="20"/>
          <w:szCs w:val="20"/>
          <w:color w:val="auto"/>
        </w:rPr>
      </w:pPr>
      <w:r>
        <w:rPr>
          <w:rFonts w:ascii="Times New Roman" w:cs="Times New Roman" w:eastAsia="Times New Roman" w:hAnsi="Times New Roman"/>
          <w:sz w:val="24"/>
          <w:szCs w:val="24"/>
          <w:b w:val="1"/>
          <w:bCs w:val="1"/>
          <w:color w:val="auto"/>
        </w:rPr>
        <w:t>Form 10-K for the Year Ended December 31, 2015</w:t>
      </w:r>
    </w:p>
    <w:p>
      <w:pPr>
        <w:ind w:left="1440"/>
        <w:spacing w:after="0"/>
        <w:rPr>
          <w:sz w:val="20"/>
          <w:szCs w:val="20"/>
          <w:color w:val="auto"/>
        </w:rPr>
      </w:pPr>
      <w:r>
        <w:rPr>
          <w:rFonts w:ascii="Times New Roman" w:cs="Times New Roman" w:eastAsia="Times New Roman" w:hAnsi="Times New Roman"/>
          <w:sz w:val="24"/>
          <w:szCs w:val="24"/>
          <w:b w:val="1"/>
          <w:bCs w:val="1"/>
          <w:color w:val="auto"/>
        </w:rPr>
        <w:t>Filed February 10, 2016</w:t>
      </w:r>
    </w:p>
    <w:p>
      <w:pPr>
        <w:ind w:left="1440"/>
        <w:spacing w:after="0"/>
        <w:rPr>
          <w:sz w:val="20"/>
          <w:szCs w:val="20"/>
          <w:color w:val="auto"/>
        </w:rPr>
      </w:pPr>
      <w:r>
        <w:rPr>
          <w:rFonts w:ascii="Times New Roman" w:cs="Times New Roman" w:eastAsia="Times New Roman" w:hAnsi="Times New Roman"/>
          <w:sz w:val="24"/>
          <w:szCs w:val="24"/>
          <w:b w:val="1"/>
          <w:bCs w:val="1"/>
          <w:color w:val="auto"/>
        </w:rPr>
        <w:t>File No. 001-16725</w:t>
      </w:r>
    </w:p>
    <w:p>
      <w:pPr>
        <w:spacing w:after="0" w:line="271"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Dear Mr. Lillis:</w:t>
      </w:r>
    </w:p>
    <w:p>
      <w:pPr>
        <w:spacing w:after="0" w:line="288" w:lineRule="exact"/>
        <w:rPr>
          <w:sz w:val="24"/>
          <w:szCs w:val="24"/>
          <w:color w:val="auto"/>
        </w:rPr>
      </w:pPr>
    </w:p>
    <w:p>
      <w:pPr>
        <w:ind w:right="60" w:firstLine="720"/>
        <w:spacing w:after="0" w:line="238" w:lineRule="auto"/>
        <w:rPr>
          <w:sz w:val="20"/>
          <w:szCs w:val="20"/>
          <w:color w:val="auto"/>
        </w:rPr>
      </w:pPr>
      <w:r>
        <w:rPr>
          <w:rFonts w:ascii="Times New Roman" w:cs="Times New Roman" w:eastAsia="Times New Roman" w:hAnsi="Times New Roman"/>
          <w:sz w:val="24"/>
          <w:szCs w:val="24"/>
          <w:color w:val="auto"/>
        </w:rPr>
        <w:t>We have completed our review of your filing. We remind you that our comments or changes to disclosure in response to our comments do not foreclose the Commission from taking any action with respect to the company or the filing and the company may not assert staff comments as a defense in any proceeding initiated by the Commission or any person under the federal securities laws of the United States. We urge all persons who are responsible for the accuracy and adequacy of the disclosure in the filing to be certain that the filing includes the information the Securities Exchange Act of 1934 and all applicable rules require.</w:t>
      </w:r>
    </w:p>
    <w:p>
      <w:pPr>
        <w:spacing w:after="0" w:line="256" w:lineRule="exact"/>
        <w:rPr>
          <w:sz w:val="24"/>
          <w:szCs w:val="24"/>
          <w:color w:val="auto"/>
        </w:rPr>
      </w:pPr>
    </w:p>
    <w:p>
      <w:pPr>
        <w:ind w:left="5760"/>
        <w:spacing w:after="0"/>
        <w:rPr>
          <w:sz w:val="20"/>
          <w:szCs w:val="20"/>
          <w:color w:val="auto"/>
        </w:rPr>
      </w:pPr>
      <w:r>
        <w:rPr>
          <w:rFonts w:ascii="Times New Roman" w:cs="Times New Roman" w:eastAsia="Times New Roman" w:hAnsi="Times New Roman"/>
          <w:sz w:val="24"/>
          <w:szCs w:val="24"/>
          <w:color w:val="auto"/>
        </w:rPr>
        <w:t>Sincerely,</w:t>
      </w:r>
    </w:p>
    <w:p>
      <w:pPr>
        <w:spacing w:after="0" w:line="250" w:lineRule="exact"/>
        <w:rPr>
          <w:sz w:val="24"/>
          <w:szCs w:val="24"/>
          <w:color w:val="auto"/>
        </w:rPr>
      </w:pPr>
    </w:p>
    <w:p>
      <w:pPr>
        <w:ind w:left="5760"/>
        <w:spacing w:after="0"/>
        <w:rPr>
          <w:sz w:val="20"/>
          <w:szCs w:val="20"/>
          <w:color w:val="auto"/>
        </w:rPr>
      </w:pPr>
      <w:r>
        <w:rPr>
          <w:rFonts w:ascii="Times New Roman" w:cs="Times New Roman" w:eastAsia="Times New Roman" w:hAnsi="Times New Roman"/>
          <w:sz w:val="24"/>
          <w:szCs w:val="24"/>
          <w:color w:val="auto"/>
        </w:rPr>
        <w:t>/s/ Joel Parker</w:t>
      </w:r>
    </w:p>
    <w:p>
      <w:pPr>
        <w:spacing w:after="0" w:line="247" w:lineRule="exact"/>
        <w:rPr>
          <w:sz w:val="24"/>
          <w:szCs w:val="24"/>
          <w:color w:val="auto"/>
        </w:rPr>
      </w:pPr>
    </w:p>
    <w:p>
      <w:pPr>
        <w:ind w:left="5760"/>
        <w:spacing w:after="0"/>
        <w:rPr>
          <w:sz w:val="20"/>
          <w:szCs w:val="20"/>
          <w:color w:val="auto"/>
        </w:rPr>
      </w:pPr>
      <w:r>
        <w:rPr>
          <w:rFonts w:ascii="Times New Roman" w:cs="Times New Roman" w:eastAsia="Times New Roman" w:hAnsi="Times New Roman"/>
          <w:sz w:val="24"/>
          <w:szCs w:val="24"/>
          <w:color w:val="auto"/>
        </w:rPr>
        <w:t>Joel Parker</w:t>
      </w:r>
    </w:p>
    <w:p>
      <w:pPr>
        <w:ind w:left="5760"/>
        <w:spacing w:after="0" w:line="227" w:lineRule="auto"/>
        <w:rPr>
          <w:sz w:val="20"/>
          <w:szCs w:val="20"/>
          <w:color w:val="auto"/>
        </w:rPr>
      </w:pPr>
      <w:r>
        <w:rPr>
          <w:rFonts w:ascii="Times New Roman" w:cs="Times New Roman" w:eastAsia="Times New Roman" w:hAnsi="Times New Roman"/>
          <w:sz w:val="24"/>
          <w:szCs w:val="24"/>
          <w:color w:val="auto"/>
        </w:rPr>
        <w:t>Accounting Branch Chief</w:t>
      </w:r>
    </w:p>
    <w:p>
      <w:pPr>
        <w:ind w:left="5760"/>
        <w:spacing w:after="0" w:line="230" w:lineRule="auto"/>
        <w:rPr>
          <w:sz w:val="20"/>
          <w:szCs w:val="20"/>
          <w:color w:val="auto"/>
        </w:rPr>
      </w:pPr>
      <w:r>
        <w:rPr>
          <w:rFonts w:ascii="Times New Roman" w:cs="Times New Roman" w:eastAsia="Times New Roman" w:hAnsi="Times New Roman"/>
          <w:sz w:val="24"/>
          <w:szCs w:val="24"/>
          <w:color w:val="auto"/>
        </w:rPr>
        <w:t>Office of Healthcare and Insurance</w:t>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2020-01-20T08:50:15Z</dcterms:created>
  <dcterms:modified xsi:type="dcterms:W3CDTF">2020-01-20T08:50:15Z</dcterms:modified>
</cp:coreProperties>
</file>