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SEC Form 3</w:t>
      </w:r>
    </w:p>
    <w:p>
      <w:pPr>
        <w:spacing w:after="0" w:line="29" w:lineRule="exact"/>
        <w:rPr>
          <w:sz w:val="24"/>
          <w:szCs w:val="24"/>
          <w:color w:val="auto"/>
        </w:rPr>
      </w:pPr>
    </w:p>
    <w:tbl>
      <w:tblPr>
        <w:tblLayout w:type="fixed"/>
        <w:tblInd w:w="8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FORM 3</w:t>
            </w:r>
          </w:p>
        </w:tc>
        <w:tc>
          <w:tcPr>
            <w:tcW w:w="6780" w:type="dxa"/>
            <w:vAlign w:val="bottom"/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vMerge w:val="restart"/>
          </w:tcPr>
          <w:p>
            <w:pPr>
              <w:jc w:val="center"/>
              <w:ind w:right="141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9"/>
              </w:rPr>
              <w:t>Washington, D.C. 20549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vMerge w:val="restart"/>
          </w:tcPr>
          <w:p>
            <w:pPr>
              <w:ind w:left="6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APPROVAL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808080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vMerge w:val="restart"/>
          </w:tcPr>
          <w:p>
            <w:pPr>
              <w:jc w:val="center"/>
              <w:ind w:right="141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INITIAL STATEMENT OF BENEFICIAL OWNERSHIP OF SECURITIES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OMB Number: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3235-0104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Estimated average burden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780" w:type="dxa"/>
            <w:vAlign w:val="bottom"/>
            <w:vMerge w:val="restart"/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Filed pursuant to Section 16(a) of the Securities Exchange Act of 1934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hours per response: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0.5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7228840</wp:posOffset>
            </wp:positionH>
            <wp:positionV relativeFrom="paragraph">
              <wp:posOffset>-441325</wp:posOffset>
            </wp:positionV>
            <wp:extent cx="48260" cy="4546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5838825</wp:posOffset>
            </wp:positionH>
            <wp:positionV relativeFrom="paragraph">
              <wp:posOffset>-441325</wp:posOffset>
            </wp:positionV>
            <wp:extent cx="48260" cy="4546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7620</wp:posOffset>
            </wp:positionV>
            <wp:extent cx="7317740" cy="29654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740" cy="296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480"/>
          </w:cols>
          <w:pgMar w:left="220" w:top="197" w:right="199" w:bottom="1440" w:gutter="0" w:footer="0" w:header="0"/>
        </w:sectPr>
      </w:pP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1. Name and Address of Reporting Person</w:t>
      </w:r>
      <w:r>
        <w:rPr>
          <w:rFonts w:ascii="Arial" w:cs="Arial" w:eastAsia="Arial" w:hAnsi="Arial"/>
          <w:sz w:val="15"/>
          <w:szCs w:val="15"/>
          <w:color w:val="auto"/>
          <w:vertAlign w:val="superscript"/>
        </w:rPr>
        <w:t>*</w:t>
      </w:r>
    </w:p>
    <w:p>
      <w:pPr>
        <w:ind w:left="80"/>
        <w:spacing w:after="0"/>
        <w:rPr>
          <w:rFonts w:ascii="Arial" w:cs="Arial" w:eastAsia="Arial" w:hAnsi="Arial"/>
          <w:sz w:val="14"/>
          <w:szCs w:val="14"/>
          <w:u w:val="single" w:color="auto"/>
          <w:color w:val="0000EE"/>
        </w:rPr>
      </w:pPr>
      <w:hyperlink r:id="rId11">
        <w:r>
          <w:rPr>
            <w:rFonts w:ascii="Arial" w:cs="Arial" w:eastAsia="Arial" w:hAnsi="Arial"/>
            <w:sz w:val="14"/>
            <w:szCs w:val="14"/>
            <w:u w:val="single" w:color="auto"/>
            <w:color w:val="0000EE"/>
          </w:rPr>
          <w:t>Friedrich Amy Christine</w:t>
        </w:r>
      </w:hyperlink>
    </w:p>
    <w:p>
      <w:pPr>
        <w:spacing w:after="0" w:line="219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(Last)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(First)</w:t>
            </w:r>
          </w:p>
        </w:tc>
        <w:tc>
          <w:tcPr>
            <w:tcW w:w="15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(Middle)</w:t>
            </w:r>
          </w:p>
        </w:tc>
      </w:tr>
      <w:tr>
        <w:trPr>
          <w:trHeight w:val="18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96"/>
              </w:rPr>
              <w:t>711 HIGH STREET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77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(Street)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DES MOINES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IA</w:t>
            </w:r>
          </w:p>
        </w:tc>
        <w:tc>
          <w:tcPr>
            <w:tcW w:w="15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50392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66" w:lineRule="exact"/>
        <w:rPr>
          <w:sz w:val="24"/>
          <w:szCs w:val="24"/>
          <w:color w:val="auto"/>
        </w:rPr>
      </w:pPr>
    </w:p>
    <w:p>
      <w:pPr>
        <w:ind w:left="2" w:hanging="2"/>
        <w:spacing w:after="0" w:line="234" w:lineRule="auto"/>
        <w:tabs>
          <w:tab w:leader="none" w:pos="102" w:val="left"/>
        </w:tabs>
        <w:numPr>
          <w:ilvl w:val="0"/>
          <w:numId w:val="1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Date of Event Requiring Statement (Month/Day/Year)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00FF"/>
        </w:rPr>
        <w:t>05/16/2017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3. Issuer Name </w:t>
      </w:r>
      <w:r>
        <w:rPr>
          <w:rFonts w:ascii="Arial" w:cs="Arial" w:eastAsia="Arial" w:hAnsi="Arial"/>
          <w:sz w:val="9"/>
          <w:szCs w:val="9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9"/>
          <w:szCs w:val="9"/>
          <w:color w:val="auto"/>
        </w:rPr>
        <w:t xml:space="preserve"> Ticker or Trading Symbol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4"/>
          <w:szCs w:val="14"/>
          <w:color w:val="0000EE"/>
        </w:rPr>
      </w:pPr>
      <w:hyperlink r:id="rId12">
        <w:r>
          <w:rPr>
            <w:rFonts w:ascii="Arial" w:cs="Arial" w:eastAsia="Arial" w:hAnsi="Arial"/>
            <w:sz w:val="14"/>
            <w:szCs w:val="14"/>
            <w:u w:val="single" w:color="auto"/>
            <w:color w:val="0000EE"/>
          </w:rPr>
          <w:t>PRINCIPAL FINANCIAL GROUP INC</w:t>
        </w:r>
        <w:r>
          <w:rPr>
            <w:rFonts w:ascii="Arial" w:cs="Arial" w:eastAsia="Arial" w:hAnsi="Arial"/>
            <w:sz w:val="14"/>
            <w:szCs w:val="14"/>
            <w:color w:val="0000EE"/>
          </w:rPr>
          <w:t xml:space="preserve"> </w:t>
        </w:r>
      </w:hyperlink>
      <w:r>
        <w:rPr>
          <w:rFonts w:ascii="Arial" w:cs="Arial" w:eastAsia="Arial" w:hAnsi="Arial"/>
          <w:sz w:val="14"/>
          <w:szCs w:val="14"/>
          <w:color w:val="000000"/>
        </w:rPr>
        <w:t>[</w:t>
      </w:r>
      <w:r>
        <w:rPr>
          <w:rFonts w:ascii="Arial" w:cs="Arial" w:eastAsia="Arial" w:hAnsi="Arial"/>
          <w:sz w:val="14"/>
          <w:szCs w:val="14"/>
          <w:color w:val="0000EE"/>
        </w:rPr>
        <w:t xml:space="preserve"> </w:t>
      </w:r>
      <w:r>
        <w:rPr>
          <w:rFonts w:ascii="Arial" w:cs="Arial" w:eastAsia="Arial" w:hAnsi="Arial"/>
          <w:sz w:val="11"/>
          <w:szCs w:val="11"/>
          <w:color w:val="0000FF"/>
        </w:rPr>
        <w:t>PFG</w:t>
      </w:r>
      <w:r>
        <w:rPr>
          <w:rFonts w:ascii="Arial" w:cs="Arial" w:eastAsia="Arial" w:hAnsi="Arial"/>
          <w:sz w:val="14"/>
          <w:szCs w:val="14"/>
          <w:color w:val="0000EE"/>
        </w:rPr>
        <w:t xml:space="preserve"> </w:t>
      </w:r>
      <w:r>
        <w:rPr>
          <w:rFonts w:ascii="Arial" w:cs="Arial" w:eastAsia="Arial" w:hAnsi="Arial"/>
          <w:sz w:val="14"/>
          <w:szCs w:val="14"/>
          <w:color w:val="000000"/>
        </w:rPr>
        <w:t>]</w:t>
      </w:r>
    </w:p>
    <w:p>
      <w:pPr>
        <w:spacing w:after="0" w:line="26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3"/>
        </w:trPr>
        <w:tc>
          <w:tcPr>
            <w:tcW w:w="2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4. Relationship of Reporting Person(s) to Issuer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5.</w:t>
            </w:r>
          </w:p>
        </w:tc>
        <w:tc>
          <w:tcPr>
            <w:tcW w:w="2760" w:type="dxa"/>
            <w:vAlign w:val="bottom"/>
            <w:gridSpan w:val="2"/>
          </w:tcPr>
          <w:p>
            <w:pPr>
              <w:jc w:val="center"/>
              <w:ind w:right="4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9"/>
              </w:rPr>
              <w:t>If Amendment, Date of Original Filed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(Check all applicable)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Director</w:t>
            </w:r>
          </w:p>
        </w:tc>
        <w:tc>
          <w:tcPr>
            <w:tcW w:w="12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10% Owner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44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X</w:t>
            </w:r>
          </w:p>
        </w:tc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6.</w:t>
            </w:r>
          </w:p>
        </w:tc>
        <w:tc>
          <w:tcPr>
            <w:tcW w:w="2760" w:type="dxa"/>
            <w:vAlign w:val="bottom"/>
            <w:gridSpan w:val="2"/>
            <w:vMerge w:val="restart"/>
          </w:tcPr>
          <w:p>
            <w:pPr>
              <w:jc w:val="center"/>
              <w:ind w:right="4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Individual or Joint/Group Filing (Check Applicable Line)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Officer (give title below)</w:t>
            </w:r>
          </w:p>
        </w:tc>
        <w:tc>
          <w:tcPr>
            <w:tcW w:w="12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Other (specify below)</w:t>
            </w: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X</w:t>
            </w:r>
          </w:p>
        </w:tc>
        <w:tc>
          <w:tcPr>
            <w:tcW w:w="2480" w:type="dxa"/>
            <w:vAlign w:val="bottom"/>
            <w:vMerge w:val="restart"/>
          </w:tcPr>
          <w:p>
            <w:pPr>
              <w:jc w:val="center"/>
              <w:ind w:right="7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9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00" w:type="dxa"/>
            <w:vAlign w:val="bottom"/>
            <w:vMerge w:val="restart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93"/>
              </w:rPr>
              <w:t>President - USIS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Form filed by More than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118"/>
            <w:col w:w="1482" w:space="220"/>
            <w:col w:w="6300"/>
          </w:cols>
          <w:pgMar w:left="220" w:top="197" w:right="199" w:bottom="1440" w:gutter="0" w:footer="0" w:header="0"/>
          <w:type w:val="continuous"/>
        </w:sectPr>
      </w:pP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80"/>
        <w:spacing w:after="0"/>
        <w:tabs>
          <w:tab w:leader="none" w:pos="1160" w:val="left"/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(City)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(State)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(Zip)</w:t>
      </w:r>
    </w:p>
    <w:p>
      <w:pPr>
        <w:spacing w:after="0" w:line="119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Table I - Non-Derivative Securities Beneficially Owned</w:t>
      </w:r>
    </w:p>
    <w:p>
      <w:pPr>
        <w:spacing w:after="0" w:line="8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3"/>
        </w:trPr>
        <w:tc>
          <w:tcPr>
            <w:tcW w:w="3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1. Title of Security (Instr. 4)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2. Amount of Securities Beneficially Owned</w:t>
            </w:r>
          </w:p>
        </w:tc>
        <w:tc>
          <w:tcPr>
            <w:tcW w:w="42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3. Ownership Form: Direct   4. Nature of Indirect Beneficial Ownership (Instr. 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16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(D) or Indirect (I) (Instr. 5)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Common Stock</w:t>
            </w: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21,763</w:t>
            </w:r>
            <w:r>
              <w:rPr>
                <w:rFonts w:ascii="Arial" w:cs="Arial" w:eastAsia="Arial" w:hAnsi="Arial"/>
                <w:sz w:val="15"/>
                <w:szCs w:val="15"/>
                <w:color w:val="008000"/>
                <w:vertAlign w:val="superscript"/>
              </w:rPr>
              <w:t>(1)</w:t>
            </w: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D</w:t>
            </w: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6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Table II - Derivative Securities Beneficially Owned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12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3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1. Title of Derivative Security (Instr. 4)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2. Date Exercisable and</w:t>
            </w:r>
          </w:p>
        </w:tc>
        <w:tc>
          <w:tcPr>
            <w:tcW w:w="30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3. Title and Amount of Securities Underlying Derivative Security</w:t>
            </w: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4. Conversion or</w:t>
            </w:r>
          </w:p>
        </w:tc>
        <w:tc>
          <w:tcPr>
            <w:tcW w:w="9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5. Ownership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6. Nature of Indirect 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2140" w:type="dxa"/>
            <w:vAlign w:val="bottom"/>
          </w:tcPr>
          <w:p>
            <w:pPr>
              <w:ind w:left="10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Exercise Price</w:t>
            </w:r>
          </w:p>
        </w:tc>
        <w:tc>
          <w:tcPr>
            <w:tcW w:w="900" w:type="dxa"/>
            <w:vAlign w:val="bottom"/>
          </w:tcPr>
          <w:p>
            <w:pPr>
              <w:jc w:val="center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99"/>
              </w:rPr>
              <w:t>Form: Direct (D) or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Ownership (Instr. 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of Derivative</w:t>
            </w:r>
          </w:p>
        </w:tc>
        <w:tc>
          <w:tcPr>
            <w:tcW w:w="900" w:type="dxa"/>
            <w:vAlign w:val="bottom"/>
          </w:tcPr>
          <w:p>
            <w:pPr>
              <w:jc w:val="center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Indirect (I) (Instr. 5)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Date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22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Date</w:t>
            </w:r>
          </w:p>
        </w:tc>
        <w:tc>
          <w:tcPr>
            <w:tcW w:w="2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Title</w:t>
            </w:r>
          </w:p>
        </w:tc>
        <w:tc>
          <w:tcPr>
            <w:tcW w:w="8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Shares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3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Employee Stock Option (Right to Buy)</w:t>
            </w:r>
          </w:p>
        </w:tc>
        <w:tc>
          <w:tcPr>
            <w:tcW w:w="6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0000FF"/>
                <w:w w:val="88"/>
              </w:rPr>
              <w:t>02/24/2012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0000FF"/>
              </w:rPr>
              <w:t>02/24/2019</w:t>
            </w:r>
          </w:p>
        </w:tc>
        <w:tc>
          <w:tcPr>
            <w:tcW w:w="214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Common Stock</w:t>
            </w:r>
          </w:p>
        </w:tc>
        <w:tc>
          <w:tcPr>
            <w:tcW w:w="860" w:type="dxa"/>
            <w:vAlign w:val="bottom"/>
          </w:tcPr>
          <w:p>
            <w:pPr>
              <w:jc w:val="center"/>
              <w:ind w:left="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86"/>
              </w:rPr>
              <w:t>2,600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11.07</w:t>
            </w:r>
          </w:p>
        </w:tc>
        <w:tc>
          <w:tcPr>
            <w:tcW w:w="9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D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3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Employee Stock Option (Right to Buy)</w:t>
            </w:r>
          </w:p>
        </w:tc>
        <w:tc>
          <w:tcPr>
            <w:tcW w:w="6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008000"/>
                <w:w w:val="81"/>
              </w:rPr>
              <w:t>(2)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0000FF"/>
              </w:rPr>
              <w:t>02/23/2025</w:t>
            </w:r>
          </w:p>
        </w:tc>
        <w:tc>
          <w:tcPr>
            <w:tcW w:w="214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Common Stock</w:t>
            </w:r>
          </w:p>
        </w:tc>
        <w:tc>
          <w:tcPr>
            <w:tcW w:w="860" w:type="dxa"/>
            <w:vAlign w:val="bottom"/>
          </w:tcPr>
          <w:p>
            <w:pPr>
              <w:jc w:val="center"/>
              <w:ind w:left="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86"/>
              </w:rPr>
              <w:t>6,390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51.33</w:t>
            </w:r>
          </w:p>
        </w:tc>
        <w:tc>
          <w:tcPr>
            <w:tcW w:w="9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D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3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Employee Stock Option (Right to Buy)</w:t>
            </w:r>
          </w:p>
        </w:tc>
        <w:tc>
          <w:tcPr>
            <w:tcW w:w="6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008000"/>
                <w:w w:val="81"/>
              </w:rPr>
              <w:t>(3)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0000FF"/>
              </w:rPr>
              <w:t>02/22/2026</w:t>
            </w:r>
          </w:p>
        </w:tc>
        <w:tc>
          <w:tcPr>
            <w:tcW w:w="214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Common Stock</w:t>
            </w:r>
          </w:p>
        </w:tc>
        <w:tc>
          <w:tcPr>
            <w:tcW w:w="860" w:type="dxa"/>
            <w:vAlign w:val="bottom"/>
          </w:tcPr>
          <w:p>
            <w:pPr>
              <w:jc w:val="center"/>
              <w:ind w:left="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81"/>
              </w:rPr>
              <w:t>11,865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37.38</w:t>
            </w:r>
          </w:p>
        </w:tc>
        <w:tc>
          <w:tcPr>
            <w:tcW w:w="9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D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3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Employee Stock Option (Right to Buy)</w:t>
            </w:r>
          </w:p>
        </w:tc>
        <w:tc>
          <w:tcPr>
            <w:tcW w:w="6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008000"/>
                <w:w w:val="81"/>
              </w:rPr>
              <w:t>(4)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0000FF"/>
              </w:rPr>
              <w:t>02/27/2027</w:t>
            </w:r>
          </w:p>
        </w:tc>
        <w:tc>
          <w:tcPr>
            <w:tcW w:w="214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Common Stock</w:t>
            </w:r>
          </w:p>
        </w:tc>
        <w:tc>
          <w:tcPr>
            <w:tcW w:w="860" w:type="dxa"/>
            <w:vAlign w:val="bottom"/>
          </w:tcPr>
          <w:p>
            <w:pPr>
              <w:jc w:val="center"/>
              <w:ind w:left="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81"/>
              </w:rPr>
              <w:t>11,710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62.78</w:t>
            </w:r>
          </w:p>
        </w:tc>
        <w:tc>
          <w:tcPr>
            <w:tcW w:w="9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D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3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100" w:hanging="81"/>
        <w:spacing w:after="0"/>
        <w:tabs>
          <w:tab w:leader="none" w:pos="100" w:val="left"/>
        </w:tabs>
        <w:numPr>
          <w:ilvl w:val="0"/>
          <w:numId w:val="2"/>
        </w:numPr>
        <w:rPr>
          <w:rFonts w:ascii="Arial" w:cs="Arial" w:eastAsia="Arial" w:hAnsi="Arial"/>
          <w:sz w:val="9"/>
          <w:szCs w:val="9"/>
          <w:color w:val="008000"/>
        </w:rPr>
      </w:pPr>
      <w:r>
        <w:rPr>
          <w:rFonts w:ascii="Arial" w:cs="Arial" w:eastAsia="Arial" w:hAnsi="Arial"/>
          <w:sz w:val="9"/>
          <w:szCs w:val="9"/>
          <w:color w:val="008000"/>
        </w:rPr>
        <w:t>Includes 4,014 shares acquired pursuant to the Principal Financial Group, Inc. Employee Stock Purchase Plan.</w:t>
      </w:r>
    </w:p>
    <w:p>
      <w:pPr>
        <w:spacing w:after="0" w:line="31" w:lineRule="exact"/>
        <w:rPr>
          <w:rFonts w:ascii="Arial" w:cs="Arial" w:eastAsia="Arial" w:hAnsi="Arial"/>
          <w:sz w:val="9"/>
          <w:szCs w:val="9"/>
          <w:color w:val="008000"/>
        </w:rPr>
      </w:pPr>
    </w:p>
    <w:p>
      <w:pPr>
        <w:ind w:left="100" w:hanging="81"/>
        <w:spacing w:after="0"/>
        <w:tabs>
          <w:tab w:leader="none" w:pos="100" w:val="left"/>
        </w:tabs>
        <w:numPr>
          <w:ilvl w:val="0"/>
          <w:numId w:val="2"/>
        </w:numPr>
        <w:rPr>
          <w:rFonts w:ascii="Arial" w:cs="Arial" w:eastAsia="Arial" w:hAnsi="Arial"/>
          <w:sz w:val="9"/>
          <w:szCs w:val="9"/>
          <w:color w:val="008000"/>
        </w:rPr>
      </w:pPr>
      <w:r>
        <w:rPr>
          <w:rFonts w:ascii="Arial" w:cs="Arial" w:eastAsia="Arial" w:hAnsi="Arial"/>
          <w:sz w:val="9"/>
          <w:szCs w:val="9"/>
          <w:color w:val="008000"/>
        </w:rPr>
        <w:t>The option vests in three equal annual installments beginning February 23, 2016.</w:t>
      </w:r>
    </w:p>
    <w:p>
      <w:pPr>
        <w:spacing w:after="0" w:line="31" w:lineRule="exact"/>
        <w:rPr>
          <w:rFonts w:ascii="Arial" w:cs="Arial" w:eastAsia="Arial" w:hAnsi="Arial"/>
          <w:sz w:val="9"/>
          <w:szCs w:val="9"/>
          <w:color w:val="008000"/>
        </w:rPr>
      </w:pPr>
    </w:p>
    <w:p>
      <w:pPr>
        <w:ind w:left="100" w:hanging="81"/>
        <w:spacing w:after="0"/>
        <w:tabs>
          <w:tab w:leader="none" w:pos="100" w:val="left"/>
        </w:tabs>
        <w:numPr>
          <w:ilvl w:val="0"/>
          <w:numId w:val="2"/>
        </w:numPr>
        <w:rPr>
          <w:rFonts w:ascii="Arial" w:cs="Arial" w:eastAsia="Arial" w:hAnsi="Arial"/>
          <w:sz w:val="9"/>
          <w:szCs w:val="9"/>
          <w:color w:val="008000"/>
        </w:rPr>
      </w:pPr>
      <w:r>
        <w:rPr>
          <w:rFonts w:ascii="Arial" w:cs="Arial" w:eastAsia="Arial" w:hAnsi="Arial"/>
          <w:sz w:val="9"/>
          <w:szCs w:val="9"/>
          <w:color w:val="008000"/>
        </w:rPr>
        <w:t>The option vests in three equal annual installments beginning February 22, 2017.</w:t>
      </w:r>
    </w:p>
    <w:p>
      <w:pPr>
        <w:spacing w:after="0" w:line="31" w:lineRule="exact"/>
        <w:rPr>
          <w:rFonts w:ascii="Arial" w:cs="Arial" w:eastAsia="Arial" w:hAnsi="Arial"/>
          <w:sz w:val="9"/>
          <w:szCs w:val="9"/>
          <w:color w:val="008000"/>
        </w:rPr>
      </w:pPr>
    </w:p>
    <w:p>
      <w:pPr>
        <w:ind w:left="100" w:hanging="81"/>
        <w:spacing w:after="0"/>
        <w:tabs>
          <w:tab w:leader="none" w:pos="100" w:val="left"/>
        </w:tabs>
        <w:numPr>
          <w:ilvl w:val="0"/>
          <w:numId w:val="2"/>
        </w:numPr>
        <w:rPr>
          <w:rFonts w:ascii="Arial" w:cs="Arial" w:eastAsia="Arial" w:hAnsi="Arial"/>
          <w:sz w:val="9"/>
          <w:szCs w:val="9"/>
          <w:color w:val="008000"/>
        </w:rPr>
      </w:pPr>
      <w:r>
        <w:rPr>
          <w:rFonts w:ascii="Arial" w:cs="Arial" w:eastAsia="Arial" w:hAnsi="Arial"/>
          <w:sz w:val="9"/>
          <w:szCs w:val="9"/>
          <w:color w:val="008000"/>
        </w:rPr>
        <w:t>The option vests in three equal annual installments beginning February 27, 2018.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Remarks:</w:t>
      </w:r>
    </w:p>
    <w:p>
      <w:pPr>
        <w:spacing w:after="0" w:line="78" w:lineRule="exact"/>
        <w:rPr>
          <w:sz w:val="24"/>
          <w:szCs w:val="24"/>
          <w:color w:val="auto"/>
        </w:rPr>
      </w:pPr>
    </w:p>
    <w:tbl>
      <w:tblPr>
        <w:tblLayout w:type="fixed"/>
        <w:tblInd w:w="69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90"/>
              </w:rPr>
              <w:t>Patrick A. Kirchner, by Power of Attorney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86"/>
              </w:rPr>
              <w:t>05/24/2017</w:t>
            </w:r>
          </w:p>
        </w:tc>
      </w:tr>
      <w:tr>
        <w:trPr>
          <w:trHeight w:val="150"/>
        </w:trPr>
        <w:tc>
          <w:tcPr>
            <w:tcW w:w="19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** Signature of Reporting Person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Date</w:t>
            </w:r>
          </w:p>
        </w:tc>
      </w:tr>
    </w:tbl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Reminder: Report on a separate line for each class of securities beneficially owned directly or indirectly.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Instruction 5 (b)(v).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jc w:val="both"/>
        <w:ind w:left="20" w:right="6260" w:hanging="1"/>
        <w:spacing w:after="0" w:line="311" w:lineRule="auto"/>
        <w:tabs>
          <w:tab w:leader="none" w:pos="115" w:val="left"/>
        </w:tabs>
        <w:numPr>
          <w:ilvl w:val="0"/>
          <w:numId w:val="3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Instruction 6 for procedure.</w:t>
      </w:r>
    </w:p>
    <w:p>
      <w:pPr>
        <w:ind w:left="20"/>
        <w:spacing w:after="0"/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p>
      <w:pPr>
        <w:sectPr>
          <w:pgSz w:w="11900" w:h="16838" w:orient="portrait"/>
          <w:cols w:equalWidth="0" w:num="1">
            <w:col w:w="11480"/>
          </w:cols>
          <w:pgMar w:left="220" w:top="197" w:right="199" w:bottom="1440" w:gutter="0" w:footer="0" w:header="0"/>
          <w:type w:val="continuous"/>
        </w:sectPr>
      </w:pPr>
    </w:p>
    <w:bookmarkStart w:id="1" w:name="page2"/>
    <w:bookmarkEnd w:id="1"/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Power of Attorney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Know all by these presents, that the undersigned hereby constitutes and appoints Daniel J. Houston, Deanna D. Strable-Soethout, Karen E. Shaff, Patrick A. Kirchner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288" w:hanging="288"/>
        <w:spacing w:after="0"/>
        <w:tabs>
          <w:tab w:leader="none" w:pos="288" w:val="left"/>
        </w:tabs>
        <w:numPr>
          <w:ilvl w:val="0"/>
          <w:numId w:val="4"/>
        </w:numPr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execute for and on behalf of the undersigned, in the undersigned's capacity as a beneficial owner of securities of Principal Financial Group, Inc. (the "Company</w:t>
      </w:r>
    </w:p>
    <w:p>
      <w:pPr>
        <w:spacing w:after="0" w:line="200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spacing w:after="0" w:line="215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ind w:left="288" w:hanging="288"/>
        <w:spacing w:after="0"/>
        <w:tabs>
          <w:tab w:leader="none" w:pos="288" w:val="left"/>
        </w:tabs>
        <w:numPr>
          <w:ilvl w:val="0"/>
          <w:numId w:val="4"/>
        </w:numPr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do and perform any and all acts for and on behalf of the undersigned which may be necessary or desirable to complete and execute any such Schedule 13D (or amend</w:t>
      </w:r>
    </w:p>
    <w:p>
      <w:pPr>
        <w:spacing w:after="0" w:line="200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spacing w:after="0" w:line="215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ind w:left="288" w:hanging="288"/>
        <w:spacing w:after="0"/>
        <w:tabs>
          <w:tab w:leader="none" w:pos="288" w:val="left"/>
        </w:tabs>
        <w:numPr>
          <w:ilvl w:val="0"/>
          <w:numId w:val="4"/>
        </w:numPr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take any other action of any type whatsoever in connection with the foregoing which, in the opinion of each such attorney-in-fact, may be of benefit to, in the</w:t>
      </w:r>
    </w:p>
    <w:p>
      <w:pPr>
        <w:spacing w:after="0" w:line="200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spacing w:after="0" w:line="215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ind w:left="8"/>
        <w:spacing w:after="0"/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The undersigned hereby grants to each such attorney-in-fact power and authority to do and perform any and every act and thing whatsoever requisite, necessary or pro</w:t>
      </w:r>
    </w:p>
    <w:p>
      <w:pPr>
        <w:spacing w:after="0" w:line="200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spacing w:after="0" w:line="215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ind w:left="8"/>
        <w:spacing w:after="0"/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The Power of Attorney shall remain in full force and effect until the undersigned is no longer required to file Schedules 13(d), Forms 3, 4 and 5 or Form 144 with r</w:t>
      </w:r>
    </w:p>
    <w:p>
      <w:pPr>
        <w:spacing w:after="0" w:line="200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spacing w:after="0" w:line="211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ind w:left="8"/>
        <w:spacing w:after="0"/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From and after the date hereof, any Power of Attorney previously granted by the undersigned concerning the subject matter hereof is hereby revoked.</w:t>
      </w:r>
    </w:p>
    <w:p>
      <w:pPr>
        <w:spacing w:after="0" w:line="200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spacing w:after="0" w:line="204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ind w:left="8"/>
        <w:spacing w:after="0"/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IN WITNESS WHEREOF, the undersigned has caused this Power of Attorney to be executed as of this 16th day of May, 2017.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ind w:left="14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/s/ Amy C. Friedrich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68"/>
        <w:spacing w:after="0"/>
        <w:tabs>
          <w:tab w:leader="none" w:pos="548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Name: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1"/>
          <w:szCs w:val="11"/>
          <w:color w:val="auto"/>
        </w:rPr>
        <w:t>Amy C. Friedrich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Page 2</w:t>
      </w:r>
    </w:p>
    <w:sectPr>
      <w:pgSz w:w="11900" w:h="16838" w:orient="portrait"/>
      <w:cols w:equalWidth="0" w:num="1">
        <w:col w:w="11528"/>
      </w:cols>
      <w:pgMar w:left="212" w:top="137" w:right="15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%1."/>
      <w:numFmt w:val="decimal"/>
      <w:start w:val="2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2AE8944A"/>
    <w:multiLevelType w:val="hybridMultilevel"/>
    <w:lvl w:ilvl="0">
      <w:lvlJc w:val="left"/>
      <w:lvlText w:val="**"/>
      <w:numFmt w:val="bullet"/>
      <w:start w:val="1"/>
    </w:lvl>
  </w:abstractNum>
  <w:abstractNum w:abstractNumId="3">
    <w:nsid w:val="625558EC"/>
    <w:multiLevelType w:val="hybridMultilevel"/>
    <w:lvl w:ilvl="0">
      <w:lvlJc w:val="left"/>
      <w:lvlText w:val="(%1)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hyperlink" Target="http://www.sec.gov/cgi-bin/browse-edgar?action=getcompany&amp;CIK=0001707433" TargetMode="External"/><Relationship Id="rId12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2020-01-16T03:11:58Z</dcterms:created>
  <dcterms:modified xsi:type="dcterms:W3CDTF">2020-01-16T03:11:58Z</dcterms:modified>
</cp:coreProperties>
</file>