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19"/>
        <w:spacing w:after="0"/>
        <w:rPr>
          <w:sz w:val="20"/>
          <w:szCs w:val="20"/>
          <w:color w:val="auto"/>
        </w:rPr>
      </w:pPr>
      <w:r>
        <w:rPr>
          <w:rFonts w:ascii="Times New Roman" w:cs="Times New Roman" w:eastAsia="Times New Roman" w:hAnsi="Times New Roman"/>
          <w:sz w:val="22"/>
          <w:szCs w:val="22"/>
          <w:b w:val="1"/>
          <w:bCs w:val="1"/>
          <w:color w:val="auto"/>
        </w:rPr>
        <w:t>SECURITIES AND EXCHANGE COMMISSION</w:t>
      </w:r>
    </w:p>
    <w:p>
      <w:pPr>
        <w:spacing w:after="0" w:line="260" w:lineRule="exact"/>
        <w:rPr>
          <w:sz w:val="24"/>
          <w:szCs w:val="24"/>
          <w:color w:val="auto"/>
        </w:rPr>
      </w:pPr>
    </w:p>
    <w:p>
      <w:pPr>
        <w:jc w:val="center"/>
        <w:ind w:right="-119"/>
        <w:spacing w:after="0"/>
        <w:rPr>
          <w:sz w:val="20"/>
          <w:szCs w:val="20"/>
          <w:color w:val="auto"/>
        </w:rPr>
      </w:pPr>
      <w:r>
        <w:rPr>
          <w:rFonts w:ascii="Times New Roman" w:cs="Times New Roman" w:eastAsia="Times New Roman" w:hAnsi="Times New Roman"/>
          <w:sz w:val="22"/>
          <w:szCs w:val="22"/>
          <w:b w:val="1"/>
          <w:bCs w:val="1"/>
          <w:color w:val="auto"/>
        </w:rPr>
        <w:t>Washington, D.C. 20549</w:t>
      </w:r>
    </w:p>
    <w:p>
      <w:pPr>
        <w:spacing w:after="0" w:line="399" w:lineRule="exact"/>
        <w:rPr>
          <w:sz w:val="24"/>
          <w:szCs w:val="24"/>
          <w:color w:val="auto"/>
        </w:rPr>
      </w:pPr>
    </w:p>
    <w:p>
      <w:pPr>
        <w:ind w:left="4740"/>
        <w:spacing w:after="0"/>
        <w:rPr>
          <w:sz w:val="20"/>
          <w:szCs w:val="20"/>
          <w:color w:val="auto"/>
        </w:rPr>
      </w:pPr>
      <w:r>
        <w:rPr>
          <w:rFonts w:ascii="Times New Roman" w:cs="Times New Roman" w:eastAsia="Times New Roman" w:hAnsi="Times New Roman"/>
          <w:sz w:val="22"/>
          <w:szCs w:val="22"/>
          <w:color w:val="auto"/>
        </w:rPr>
        <w:t>__________________</w:t>
      </w:r>
    </w:p>
    <w:p>
      <w:pPr>
        <w:spacing w:after="0" w:line="200" w:lineRule="exact"/>
        <w:rPr>
          <w:sz w:val="24"/>
          <w:szCs w:val="24"/>
          <w:color w:val="auto"/>
        </w:rPr>
      </w:pPr>
    </w:p>
    <w:p>
      <w:pPr>
        <w:spacing w:after="0" w:line="200" w:lineRule="exact"/>
        <w:rPr>
          <w:sz w:val="24"/>
          <w:szCs w:val="24"/>
          <w:color w:val="auto"/>
        </w:rPr>
      </w:pPr>
    </w:p>
    <w:p>
      <w:pPr>
        <w:spacing w:after="0" w:line="228" w:lineRule="exact"/>
        <w:rPr>
          <w:sz w:val="24"/>
          <w:szCs w:val="24"/>
          <w:color w:val="auto"/>
        </w:rPr>
      </w:pPr>
    </w:p>
    <w:p>
      <w:pPr>
        <w:jc w:val="center"/>
        <w:ind w:right="-119"/>
        <w:spacing w:after="0"/>
        <w:rPr>
          <w:sz w:val="20"/>
          <w:szCs w:val="20"/>
          <w:color w:val="auto"/>
        </w:rPr>
      </w:pPr>
      <w:r>
        <w:rPr>
          <w:rFonts w:ascii="Times New Roman" w:cs="Times New Roman" w:eastAsia="Times New Roman" w:hAnsi="Times New Roman"/>
          <w:sz w:val="29"/>
          <w:szCs w:val="29"/>
          <w:b w:val="1"/>
          <w:bCs w:val="1"/>
          <w:color w:val="auto"/>
        </w:rPr>
        <w:t>FORM 8-K</w:t>
      </w:r>
    </w:p>
    <w:p>
      <w:pPr>
        <w:spacing w:after="0" w:line="200" w:lineRule="exact"/>
        <w:rPr>
          <w:sz w:val="24"/>
          <w:szCs w:val="24"/>
          <w:color w:val="auto"/>
        </w:rPr>
      </w:pPr>
    </w:p>
    <w:p>
      <w:pPr>
        <w:spacing w:after="0" w:line="297" w:lineRule="exact"/>
        <w:rPr>
          <w:sz w:val="24"/>
          <w:szCs w:val="24"/>
          <w:color w:val="auto"/>
        </w:rPr>
      </w:pPr>
    </w:p>
    <w:p>
      <w:pPr>
        <w:jc w:val="center"/>
        <w:ind w:right="-119"/>
        <w:spacing w:after="0"/>
        <w:rPr>
          <w:sz w:val="20"/>
          <w:szCs w:val="20"/>
          <w:color w:val="auto"/>
        </w:rPr>
      </w:pPr>
      <w:r>
        <w:rPr>
          <w:rFonts w:ascii="Times New Roman" w:cs="Times New Roman" w:eastAsia="Times New Roman" w:hAnsi="Times New Roman"/>
          <w:sz w:val="22"/>
          <w:szCs w:val="22"/>
          <w:b w:val="1"/>
          <w:bCs w:val="1"/>
          <w:color w:val="auto"/>
        </w:rPr>
        <w:t>CURRENT REPORT</w:t>
      </w:r>
    </w:p>
    <w:p>
      <w:pPr>
        <w:spacing w:after="0" w:line="200" w:lineRule="exact"/>
        <w:rPr>
          <w:sz w:val="24"/>
          <w:szCs w:val="24"/>
          <w:color w:val="auto"/>
        </w:rPr>
      </w:pPr>
    </w:p>
    <w:p>
      <w:pPr>
        <w:spacing w:after="0" w:line="330" w:lineRule="exact"/>
        <w:rPr>
          <w:sz w:val="24"/>
          <w:szCs w:val="24"/>
          <w:color w:val="auto"/>
        </w:rPr>
      </w:pPr>
    </w:p>
    <w:p>
      <w:pPr>
        <w:jc w:val="center"/>
        <w:ind w:right="-119"/>
        <w:spacing w:after="0"/>
        <w:rPr>
          <w:sz w:val="20"/>
          <w:szCs w:val="20"/>
          <w:color w:val="auto"/>
        </w:rPr>
      </w:pPr>
      <w:r>
        <w:rPr>
          <w:rFonts w:ascii="Times New Roman" w:cs="Times New Roman" w:eastAsia="Times New Roman" w:hAnsi="Times New Roman"/>
          <w:sz w:val="22"/>
          <w:szCs w:val="22"/>
          <w:b w:val="1"/>
          <w:bCs w:val="1"/>
          <w:color w:val="auto"/>
        </w:rPr>
        <w:t>Pursuant to Section 13 or 15(d) of the</w:t>
      </w:r>
    </w:p>
    <w:p>
      <w:pPr>
        <w:spacing w:after="0" w:line="32" w:lineRule="exact"/>
        <w:rPr>
          <w:sz w:val="24"/>
          <w:szCs w:val="24"/>
          <w:color w:val="auto"/>
        </w:rPr>
      </w:pPr>
    </w:p>
    <w:p>
      <w:pPr>
        <w:jc w:val="center"/>
        <w:ind w:right="-119"/>
        <w:spacing w:after="0"/>
        <w:rPr>
          <w:sz w:val="20"/>
          <w:szCs w:val="20"/>
          <w:color w:val="auto"/>
        </w:rPr>
      </w:pPr>
      <w:r>
        <w:rPr>
          <w:rFonts w:ascii="Times New Roman" w:cs="Times New Roman" w:eastAsia="Times New Roman" w:hAnsi="Times New Roman"/>
          <w:sz w:val="22"/>
          <w:szCs w:val="22"/>
          <w:b w:val="1"/>
          <w:bCs w:val="1"/>
          <w:color w:val="auto"/>
        </w:rPr>
        <w:t>Securities Exchange Act of 1934</w:t>
      </w:r>
    </w:p>
    <w:p>
      <w:pPr>
        <w:spacing w:after="0" w:line="232" w:lineRule="exact"/>
        <w:rPr>
          <w:sz w:val="24"/>
          <w:szCs w:val="24"/>
          <w:color w:val="auto"/>
        </w:rPr>
      </w:pPr>
    </w:p>
    <w:p>
      <w:pPr>
        <w:jc w:val="center"/>
        <w:ind w:right="-119"/>
        <w:spacing w:after="0"/>
        <w:rPr>
          <w:sz w:val="20"/>
          <w:szCs w:val="20"/>
          <w:color w:val="auto"/>
        </w:rPr>
      </w:pPr>
      <w:r>
        <w:rPr>
          <w:rFonts w:ascii="Times New Roman" w:cs="Times New Roman" w:eastAsia="Times New Roman" w:hAnsi="Times New Roman"/>
          <w:sz w:val="22"/>
          <w:szCs w:val="22"/>
          <w:color w:val="auto"/>
        </w:rPr>
        <w:t xml:space="preserve">Date of Report: </w:t>
      </w:r>
      <w:r>
        <w:rPr>
          <w:rFonts w:ascii="Times New Roman" w:cs="Times New Roman" w:eastAsia="Times New Roman" w:hAnsi="Times New Roman"/>
          <w:sz w:val="22"/>
          <w:szCs w:val="22"/>
          <w:b w:val="1"/>
          <w:bCs w:val="1"/>
          <w:color w:val="auto"/>
        </w:rPr>
        <w:t>October 18, 2016</w:t>
      </w:r>
    </w:p>
    <w:p>
      <w:pPr>
        <w:spacing w:after="0" w:line="34" w:lineRule="exact"/>
        <w:rPr>
          <w:sz w:val="24"/>
          <w:szCs w:val="24"/>
          <w:color w:val="auto"/>
        </w:rPr>
      </w:pPr>
    </w:p>
    <w:p>
      <w:pPr>
        <w:jc w:val="center"/>
        <w:ind w:right="-119"/>
        <w:spacing w:after="0"/>
        <w:rPr>
          <w:sz w:val="20"/>
          <w:szCs w:val="20"/>
          <w:color w:val="auto"/>
        </w:rPr>
      </w:pPr>
      <w:r>
        <w:rPr>
          <w:rFonts w:ascii="Times New Roman" w:cs="Times New Roman" w:eastAsia="Times New Roman" w:hAnsi="Times New Roman"/>
          <w:sz w:val="22"/>
          <w:szCs w:val="22"/>
          <w:color w:val="auto"/>
        </w:rPr>
        <w:t>(Date of earliest event reported)</w:t>
      </w:r>
    </w:p>
    <w:p>
      <w:pPr>
        <w:spacing w:after="0" w:line="200" w:lineRule="exact"/>
        <w:rPr>
          <w:sz w:val="24"/>
          <w:szCs w:val="24"/>
          <w:color w:val="auto"/>
        </w:rPr>
      </w:pPr>
    </w:p>
    <w:p>
      <w:pPr>
        <w:spacing w:after="0" w:line="307" w:lineRule="exact"/>
        <w:rPr>
          <w:sz w:val="24"/>
          <w:szCs w:val="24"/>
          <w:color w:val="auto"/>
        </w:rPr>
      </w:pPr>
    </w:p>
    <w:p>
      <w:pPr>
        <w:jc w:val="center"/>
        <w:ind w:right="-119"/>
        <w:spacing w:after="0"/>
        <w:rPr>
          <w:sz w:val="20"/>
          <w:szCs w:val="20"/>
          <w:color w:val="auto"/>
        </w:rPr>
      </w:pPr>
      <w:r>
        <w:rPr>
          <w:rFonts w:ascii="Times New Roman" w:cs="Times New Roman" w:eastAsia="Times New Roman" w:hAnsi="Times New Roman"/>
          <w:sz w:val="29"/>
          <w:szCs w:val="29"/>
          <w:b w:val="1"/>
          <w:bCs w:val="1"/>
          <w:color w:val="auto"/>
        </w:rPr>
        <w:t>PRINCIPAL FINANCIAL GROUP, INC.</w:t>
      </w:r>
    </w:p>
    <w:p>
      <w:pPr>
        <w:spacing w:after="0" w:line="49" w:lineRule="exact"/>
        <w:rPr>
          <w:sz w:val="24"/>
          <w:szCs w:val="24"/>
          <w:color w:val="auto"/>
        </w:rPr>
      </w:pPr>
    </w:p>
    <w:p>
      <w:pPr>
        <w:jc w:val="center"/>
        <w:ind w:right="-119"/>
        <w:spacing w:after="0"/>
        <w:rPr>
          <w:sz w:val="20"/>
          <w:szCs w:val="20"/>
          <w:color w:val="auto"/>
        </w:rPr>
      </w:pPr>
      <w:r>
        <w:rPr>
          <w:rFonts w:ascii="Times New Roman" w:cs="Times New Roman" w:eastAsia="Times New Roman" w:hAnsi="Times New Roman"/>
          <w:sz w:val="22"/>
          <w:szCs w:val="22"/>
          <w:color w:val="auto"/>
        </w:rPr>
        <w:t>(Exact name of registrant as specified in its charter)</w:t>
      </w:r>
    </w:p>
    <w:p>
      <w:pPr>
        <w:spacing w:after="0" w:line="200" w:lineRule="exact"/>
        <w:rPr>
          <w:sz w:val="24"/>
          <w:szCs w:val="24"/>
          <w:color w:val="auto"/>
        </w:rPr>
      </w:pPr>
    </w:p>
    <w:p>
      <w:pPr>
        <w:spacing w:after="0" w:line="369" w:lineRule="exact"/>
        <w:rPr>
          <w:sz w:val="24"/>
          <w:szCs w:val="24"/>
          <w:color w:val="auto"/>
        </w:rPr>
      </w:pPr>
    </w:p>
    <w:tbl>
      <w:tblPr>
        <w:tblLayout w:type="fixed"/>
        <w:tblInd w:w="2660" w:type="dxa"/>
        <w:tblCellMar>
          <w:top w:w="0" w:type="dxa"/>
          <w:left w:w="0" w:type="dxa"/>
          <w:bottom w:w="0" w:type="dxa"/>
          <w:right w:w="0" w:type="dxa"/>
        </w:tblCellMar>
      </w:tblPr>
      <w:tr>
        <w:trPr>
          <w:trHeight w:val="238"/>
        </w:trPr>
        <w:tc>
          <w:tcPr>
            <w:tcW w:w="2100" w:type="dxa"/>
            <w:vAlign w:val="bottom"/>
          </w:tcPr>
          <w:p>
            <w:pPr>
              <w:jc w:val="center"/>
              <w:ind w:right="90"/>
              <w:spacing w:after="0"/>
              <w:rPr>
                <w:sz w:val="20"/>
                <w:szCs w:val="20"/>
                <w:color w:val="auto"/>
              </w:rPr>
            </w:pPr>
            <w:r>
              <w:rPr>
                <w:rFonts w:ascii="Times New Roman" w:cs="Times New Roman" w:eastAsia="Times New Roman" w:hAnsi="Times New Roman"/>
                <w:sz w:val="18"/>
                <w:szCs w:val="18"/>
                <w:b w:val="1"/>
                <w:bCs w:val="1"/>
                <w:color w:val="auto"/>
                <w:w w:val="98"/>
              </w:rPr>
              <w:t>Delaware</w:t>
            </w:r>
          </w:p>
        </w:tc>
        <w:tc>
          <w:tcPr>
            <w:tcW w:w="2260" w:type="dxa"/>
            <w:vAlign w:val="bottom"/>
          </w:tcPr>
          <w:p>
            <w:pPr>
              <w:jc w:val="right"/>
              <w:ind w:right="730"/>
              <w:spacing w:after="0"/>
              <w:rPr>
                <w:sz w:val="20"/>
                <w:szCs w:val="20"/>
                <w:color w:val="auto"/>
              </w:rPr>
            </w:pPr>
            <w:r>
              <w:rPr>
                <w:rFonts w:ascii="Times New Roman" w:cs="Times New Roman" w:eastAsia="Times New Roman" w:hAnsi="Times New Roman"/>
                <w:sz w:val="18"/>
                <w:szCs w:val="18"/>
                <w:b w:val="1"/>
                <w:bCs w:val="1"/>
                <w:color w:val="auto"/>
              </w:rPr>
              <w:t>1-16725</w:t>
            </w:r>
          </w:p>
        </w:tc>
        <w:tc>
          <w:tcPr>
            <w:tcW w:w="1820" w:type="dxa"/>
            <w:vAlign w:val="bottom"/>
          </w:tcPr>
          <w:p>
            <w:pPr>
              <w:jc w:val="center"/>
              <w:ind w:left="50"/>
              <w:spacing w:after="0"/>
              <w:rPr>
                <w:sz w:val="20"/>
                <w:szCs w:val="20"/>
                <w:color w:val="auto"/>
              </w:rPr>
            </w:pPr>
            <w:r>
              <w:rPr>
                <w:rFonts w:ascii="Times New Roman" w:cs="Times New Roman" w:eastAsia="Times New Roman" w:hAnsi="Times New Roman"/>
                <w:sz w:val="18"/>
                <w:szCs w:val="18"/>
                <w:b w:val="1"/>
                <w:bCs w:val="1"/>
                <w:color w:val="auto"/>
              </w:rPr>
              <w:t>42-1520346</w:t>
            </w:r>
          </w:p>
        </w:tc>
      </w:tr>
      <w:tr>
        <w:trPr>
          <w:trHeight w:val="270"/>
        </w:trPr>
        <w:tc>
          <w:tcPr>
            <w:tcW w:w="2100" w:type="dxa"/>
            <w:vAlign w:val="bottom"/>
          </w:tcPr>
          <w:p>
            <w:pPr>
              <w:jc w:val="center"/>
              <w:ind w:right="110"/>
              <w:spacing w:after="0"/>
              <w:rPr>
                <w:sz w:val="20"/>
                <w:szCs w:val="20"/>
                <w:color w:val="auto"/>
              </w:rPr>
            </w:pPr>
            <w:r>
              <w:rPr>
                <w:rFonts w:ascii="Times New Roman" w:cs="Times New Roman" w:eastAsia="Times New Roman" w:hAnsi="Times New Roman"/>
                <w:sz w:val="18"/>
                <w:szCs w:val="18"/>
                <w:color w:val="auto"/>
              </w:rPr>
              <w:t>(State or other jurisdiction</w:t>
            </w:r>
          </w:p>
        </w:tc>
        <w:tc>
          <w:tcPr>
            <w:tcW w:w="2260" w:type="dxa"/>
            <w:vAlign w:val="bottom"/>
          </w:tcPr>
          <w:p>
            <w:pPr>
              <w:jc w:val="center"/>
              <w:spacing w:after="0"/>
              <w:rPr>
                <w:sz w:val="20"/>
                <w:szCs w:val="20"/>
                <w:color w:val="auto"/>
              </w:rPr>
            </w:pPr>
            <w:r>
              <w:rPr>
                <w:rFonts w:ascii="Times New Roman" w:cs="Times New Roman" w:eastAsia="Times New Roman" w:hAnsi="Times New Roman"/>
                <w:sz w:val="18"/>
                <w:szCs w:val="18"/>
                <w:color w:val="auto"/>
              </w:rPr>
              <w:t>(Commission file number)</w:t>
            </w:r>
          </w:p>
        </w:tc>
        <w:tc>
          <w:tcPr>
            <w:tcW w:w="1820" w:type="dxa"/>
            <w:vAlign w:val="bottom"/>
          </w:tcPr>
          <w:p>
            <w:pPr>
              <w:jc w:val="center"/>
              <w:ind w:left="50"/>
              <w:spacing w:after="0"/>
              <w:rPr>
                <w:sz w:val="20"/>
                <w:szCs w:val="20"/>
                <w:color w:val="auto"/>
              </w:rPr>
            </w:pPr>
            <w:r>
              <w:rPr>
                <w:rFonts w:ascii="Times New Roman" w:cs="Times New Roman" w:eastAsia="Times New Roman" w:hAnsi="Times New Roman"/>
                <w:sz w:val="18"/>
                <w:szCs w:val="18"/>
                <w:color w:val="auto"/>
              </w:rPr>
              <w:t>(I.R.S. Employer</w:t>
            </w:r>
          </w:p>
        </w:tc>
      </w:tr>
      <w:tr>
        <w:trPr>
          <w:trHeight w:val="270"/>
        </w:trPr>
        <w:tc>
          <w:tcPr>
            <w:tcW w:w="2100" w:type="dxa"/>
            <w:vAlign w:val="bottom"/>
          </w:tcPr>
          <w:p>
            <w:pPr>
              <w:jc w:val="center"/>
              <w:ind w:right="110"/>
              <w:spacing w:after="0"/>
              <w:rPr>
                <w:sz w:val="20"/>
                <w:szCs w:val="20"/>
                <w:color w:val="auto"/>
              </w:rPr>
            </w:pPr>
            <w:r>
              <w:rPr>
                <w:rFonts w:ascii="Times New Roman" w:cs="Times New Roman" w:eastAsia="Times New Roman" w:hAnsi="Times New Roman"/>
                <w:sz w:val="18"/>
                <w:szCs w:val="18"/>
                <w:color w:val="auto"/>
                <w:w w:val="99"/>
              </w:rPr>
              <w:t>of incorporation)</w:t>
            </w:r>
          </w:p>
        </w:tc>
        <w:tc>
          <w:tcPr>
            <w:tcW w:w="2260" w:type="dxa"/>
            <w:vAlign w:val="bottom"/>
          </w:tcPr>
          <w:p>
            <w:pPr>
              <w:spacing w:after="0"/>
              <w:rPr>
                <w:sz w:val="23"/>
                <w:szCs w:val="23"/>
                <w:color w:val="auto"/>
              </w:rPr>
            </w:pPr>
          </w:p>
        </w:tc>
        <w:tc>
          <w:tcPr>
            <w:tcW w:w="1820" w:type="dxa"/>
            <w:vAlign w:val="bottom"/>
          </w:tcPr>
          <w:p>
            <w:pPr>
              <w:jc w:val="center"/>
              <w:ind w:left="70"/>
              <w:spacing w:after="0"/>
              <w:rPr>
                <w:sz w:val="20"/>
                <w:szCs w:val="20"/>
                <w:color w:val="auto"/>
              </w:rPr>
            </w:pPr>
            <w:r>
              <w:rPr>
                <w:rFonts w:ascii="Times New Roman" w:cs="Times New Roman" w:eastAsia="Times New Roman" w:hAnsi="Times New Roman"/>
                <w:sz w:val="18"/>
                <w:szCs w:val="18"/>
                <w:color w:val="auto"/>
                <w:w w:val="99"/>
              </w:rPr>
              <w:t>Identification Number)</w:t>
            </w:r>
          </w:p>
        </w:tc>
      </w:tr>
    </w:tbl>
    <w:p>
      <w:pPr>
        <w:spacing w:after="0" w:line="200" w:lineRule="exact"/>
        <w:rPr>
          <w:sz w:val="24"/>
          <w:szCs w:val="24"/>
          <w:color w:val="auto"/>
        </w:rPr>
      </w:pPr>
    </w:p>
    <w:p>
      <w:pPr>
        <w:spacing w:after="0" w:line="304" w:lineRule="exact"/>
        <w:rPr>
          <w:sz w:val="24"/>
          <w:szCs w:val="24"/>
          <w:color w:val="auto"/>
        </w:rPr>
      </w:pPr>
    </w:p>
    <w:p>
      <w:pPr>
        <w:jc w:val="center"/>
        <w:ind w:right="-119"/>
        <w:spacing w:after="0"/>
        <w:rPr>
          <w:sz w:val="20"/>
          <w:szCs w:val="20"/>
          <w:color w:val="auto"/>
        </w:rPr>
      </w:pPr>
      <w:r>
        <w:rPr>
          <w:rFonts w:ascii="Times New Roman" w:cs="Times New Roman" w:eastAsia="Times New Roman" w:hAnsi="Times New Roman"/>
          <w:sz w:val="18"/>
          <w:szCs w:val="18"/>
          <w:b w:val="1"/>
          <w:bCs w:val="1"/>
          <w:color w:val="auto"/>
        </w:rPr>
        <w:t>711 High Street, Des Moines, Iowa 50392</w:t>
      </w:r>
    </w:p>
    <w:p>
      <w:pPr>
        <w:spacing w:after="0" w:line="40" w:lineRule="exact"/>
        <w:rPr>
          <w:sz w:val="24"/>
          <w:szCs w:val="24"/>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(Address of principal executive offices)</w:t>
      </w:r>
    </w:p>
    <w:p>
      <w:pPr>
        <w:spacing w:after="0" w:line="275" w:lineRule="exact"/>
        <w:rPr>
          <w:sz w:val="24"/>
          <w:szCs w:val="24"/>
          <w:color w:val="auto"/>
        </w:rPr>
      </w:pPr>
    </w:p>
    <w:p>
      <w:pPr>
        <w:jc w:val="center"/>
        <w:ind w:right="-119"/>
        <w:spacing w:after="0"/>
        <w:rPr>
          <w:sz w:val="20"/>
          <w:szCs w:val="20"/>
          <w:color w:val="auto"/>
        </w:rPr>
      </w:pPr>
      <w:r>
        <w:rPr>
          <w:rFonts w:ascii="Times New Roman" w:cs="Times New Roman" w:eastAsia="Times New Roman" w:hAnsi="Times New Roman"/>
          <w:sz w:val="18"/>
          <w:szCs w:val="18"/>
          <w:b w:val="1"/>
          <w:bCs w:val="1"/>
          <w:color w:val="auto"/>
        </w:rPr>
        <w:t>(515) 247-5111</w:t>
      </w:r>
    </w:p>
    <w:p>
      <w:pPr>
        <w:spacing w:after="0" w:line="40" w:lineRule="exact"/>
        <w:rPr>
          <w:sz w:val="24"/>
          <w:szCs w:val="24"/>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(Registrant’s telephone number, including area code)</w:t>
      </w:r>
    </w:p>
    <w:p>
      <w:pPr>
        <w:spacing w:after="0" w:line="279" w:lineRule="exact"/>
        <w:rPr>
          <w:sz w:val="24"/>
          <w:szCs w:val="24"/>
          <w:color w:val="auto"/>
        </w:rPr>
      </w:pPr>
    </w:p>
    <w:p>
      <w:pPr>
        <w:spacing w:after="0" w:line="313" w:lineRule="auto"/>
        <w:rPr>
          <w:sz w:val="20"/>
          <w:szCs w:val="20"/>
          <w:color w:val="auto"/>
        </w:rPr>
      </w:pPr>
      <w:r>
        <w:rPr>
          <w:rFonts w:ascii="Times New Roman" w:cs="Times New Roman" w:eastAsia="Times New Roman" w:hAnsi="Times New Roman"/>
          <w:sz w:val="18"/>
          <w:szCs w:val="18"/>
          <w:color w:val="auto"/>
        </w:rPr>
        <w:t>Check the appropriate box below if the Form 8-K filing is intended to simultaneously satisfy the filing obligation of the registrant under any of the following provisions:</w:t>
      </w:r>
    </w:p>
    <w:p>
      <w:pPr>
        <w:spacing w:after="0" w:line="189" w:lineRule="exact"/>
        <w:rPr>
          <w:sz w:val="24"/>
          <w:szCs w:val="24"/>
          <w:color w:val="auto"/>
        </w:rPr>
      </w:pPr>
    </w:p>
    <w:p>
      <w:pPr>
        <w:ind w:left="120" w:hanging="112"/>
        <w:spacing w:after="0"/>
        <w:tabs>
          <w:tab w:leader="none" w:pos="120" w:val="left"/>
        </w:tabs>
        <w:numPr>
          <w:ilvl w:val="0"/>
          <w:numId w:val="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Written communications pursuant to Rule 425 under the Securities Act (17 CFR 230.425)</w:t>
      </w:r>
    </w:p>
    <w:p>
      <w:pPr>
        <w:spacing w:after="0" w:line="36" w:lineRule="exact"/>
        <w:rPr>
          <w:rFonts w:ascii="Times New Roman" w:cs="Times New Roman" w:eastAsia="Times New Roman" w:hAnsi="Times New Roman"/>
          <w:sz w:val="18"/>
          <w:szCs w:val="18"/>
          <w:color w:val="auto"/>
        </w:rPr>
      </w:pPr>
    </w:p>
    <w:p>
      <w:pPr>
        <w:ind w:left="120" w:hanging="112"/>
        <w:spacing w:after="0"/>
        <w:tabs>
          <w:tab w:leader="none" w:pos="120" w:val="left"/>
        </w:tabs>
        <w:numPr>
          <w:ilvl w:val="0"/>
          <w:numId w:val="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Soliciting material pursuant to Rule 14a-12 under the Exchange Act (17 CFR 240.14a-12)</w:t>
      </w:r>
    </w:p>
    <w:p>
      <w:pPr>
        <w:spacing w:after="0" w:line="36" w:lineRule="exact"/>
        <w:rPr>
          <w:rFonts w:ascii="Times New Roman" w:cs="Times New Roman" w:eastAsia="Times New Roman" w:hAnsi="Times New Roman"/>
          <w:sz w:val="18"/>
          <w:szCs w:val="18"/>
          <w:color w:val="auto"/>
        </w:rPr>
      </w:pPr>
    </w:p>
    <w:p>
      <w:pPr>
        <w:ind w:left="120" w:hanging="112"/>
        <w:spacing w:after="0"/>
        <w:tabs>
          <w:tab w:leader="none" w:pos="120" w:val="left"/>
        </w:tabs>
        <w:numPr>
          <w:ilvl w:val="0"/>
          <w:numId w:val="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Pre-commencement communications pursuant to Rule 14d-2(b) under the Exchange Act (17 CFR 240.14d-2(b))</w:t>
      </w:r>
    </w:p>
    <w:p>
      <w:pPr>
        <w:spacing w:after="0" w:line="36" w:lineRule="exact"/>
        <w:rPr>
          <w:rFonts w:ascii="Times New Roman" w:cs="Times New Roman" w:eastAsia="Times New Roman" w:hAnsi="Times New Roman"/>
          <w:sz w:val="18"/>
          <w:szCs w:val="18"/>
          <w:color w:val="auto"/>
        </w:rPr>
      </w:pPr>
    </w:p>
    <w:p>
      <w:pPr>
        <w:ind w:left="120" w:hanging="112"/>
        <w:spacing w:after="0"/>
        <w:tabs>
          <w:tab w:leader="none" w:pos="120" w:val="left"/>
        </w:tabs>
        <w:numPr>
          <w:ilvl w:val="0"/>
          <w:numId w:val="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Pre-commencement communications pursuant to Rule 13e-4(c) under the Exchange Act (17 CFR 240.13e-4(c))</w:t>
      </w:r>
    </w:p>
    <w:p>
      <w:pPr>
        <w:spacing w:after="0" w:line="221" w:lineRule="exact"/>
        <w:rPr>
          <w:sz w:val="24"/>
          <w:szCs w:val="24"/>
          <w:color w:val="auto"/>
        </w:rPr>
      </w:pPr>
    </w:p>
    <w:p>
      <w:pPr>
        <w:ind w:left="4820"/>
        <w:spacing w:after="0"/>
        <w:rPr>
          <w:sz w:val="20"/>
          <w:szCs w:val="20"/>
          <w:color w:val="auto"/>
        </w:rPr>
      </w:pPr>
      <w:r>
        <w:rPr>
          <w:rFonts w:ascii="Times New Roman" w:cs="Times New Roman" w:eastAsia="Times New Roman" w:hAnsi="Times New Roman"/>
          <w:sz w:val="20"/>
          <w:szCs w:val="20"/>
          <w:color w:val="auto"/>
        </w:rPr>
        <w:t>__________________</w:t>
      </w:r>
    </w:p>
    <w:p>
      <w:pPr>
        <w:sectPr>
          <w:pgSz w:w="11900" w:h="16838" w:orient="portrait"/>
          <w:cols w:equalWidth="0" w:num="1">
            <w:col w:w="11300"/>
          </w:cols>
          <w:pgMar w:left="240" w:top="743" w:right="359" w:bottom="1440" w:gutter="0" w:footer="0" w:header="0"/>
        </w:sectPr>
      </w:pPr>
    </w:p>
    <w:bookmarkStart w:id="1" w:name="page2"/>
    <w:bookmarkEnd w:id="1"/>
    <w:p>
      <w:pPr>
        <w:spacing w:after="0"/>
        <w:rPr>
          <w:sz w:val="20"/>
          <w:szCs w:val="20"/>
          <w:color w:val="auto"/>
        </w:rPr>
      </w:pPr>
      <w:r>
        <w:rPr>
          <w:rFonts w:ascii="Times New Roman" w:cs="Times New Roman" w:eastAsia="Times New Roman" w:hAnsi="Times New Roman"/>
          <w:sz w:val="22"/>
          <w:szCs w:val="22"/>
          <w:b w:val="1"/>
          <w:bCs w:val="1"/>
          <w:color w:val="auto"/>
        </w:rPr>
        <w:t>Item 7.01  Regulation FD Disclosure</w:t>
      </w:r>
    </w:p>
    <w:p>
      <w:pPr>
        <w:spacing w:after="0" w:line="278" w:lineRule="exact"/>
        <w:rPr>
          <w:sz w:val="20"/>
          <w:szCs w:val="20"/>
          <w:color w:val="auto"/>
        </w:rPr>
      </w:pPr>
    </w:p>
    <w:p>
      <w:pPr>
        <w:spacing w:after="0" w:line="268" w:lineRule="auto"/>
        <w:rPr>
          <w:sz w:val="20"/>
          <w:szCs w:val="20"/>
          <w:color w:val="auto"/>
        </w:rPr>
      </w:pPr>
      <w:r>
        <w:rPr>
          <w:rFonts w:ascii="Times New Roman" w:cs="Times New Roman" w:eastAsia="Times New Roman" w:hAnsi="Times New Roman"/>
          <w:sz w:val="21"/>
          <w:szCs w:val="21"/>
          <w:color w:val="auto"/>
        </w:rPr>
        <w:t>This report is filed quarterly to disclose assets under management (“AUM”) by asset manager, prior to the availability of Principal Financial Group, Inc's (the "Company") quarterly earnings release. The amounts presented herein will be consistent with the format of AUM by asset manager and presented again in such format within the Company's financial supplement for the quarter ended September 30, 2016 when that document is posted to the Company's investor relations web site on or about October 27, 2016.</w:t>
      </w:r>
    </w:p>
    <w:p>
      <w:pPr>
        <w:spacing w:after="0" w:line="204" w:lineRule="exact"/>
        <w:rPr>
          <w:sz w:val="20"/>
          <w:szCs w:val="20"/>
          <w:color w:val="auto"/>
        </w:rPr>
      </w:pPr>
    </w:p>
    <w:p>
      <w:pPr>
        <w:jc w:val="both"/>
        <w:ind w:right="120"/>
        <w:spacing w:after="0" w:line="257" w:lineRule="auto"/>
        <w:rPr>
          <w:sz w:val="20"/>
          <w:szCs w:val="20"/>
          <w:color w:val="auto"/>
        </w:rPr>
      </w:pPr>
      <w:r>
        <w:rPr>
          <w:rFonts w:ascii="Times New Roman" w:cs="Times New Roman" w:eastAsia="Times New Roman" w:hAnsi="Times New Roman"/>
          <w:sz w:val="22"/>
          <w:szCs w:val="22"/>
          <w:color w:val="auto"/>
        </w:rPr>
        <w:t>As of September 30, 2016, the assets under management by asset manager were $397.3 billion for Principal Global Investors and $141.0 billion for Principal International and Other Entities of the Company. Other Entities of the Company include Principal Life Insurance Company and Principal Bank.</w:t>
      </w:r>
    </w:p>
    <w:p>
      <w:pPr>
        <w:spacing w:after="0" w:line="200" w:lineRule="exact"/>
        <w:rPr>
          <w:sz w:val="20"/>
          <w:szCs w:val="20"/>
          <w:color w:val="auto"/>
        </w:rPr>
      </w:pPr>
    </w:p>
    <w:p>
      <w:pPr>
        <w:spacing w:after="0" w:line="200" w:lineRule="exact"/>
        <w:rPr>
          <w:sz w:val="20"/>
          <w:szCs w:val="20"/>
          <w:color w:val="auto"/>
        </w:rPr>
      </w:pPr>
    </w:p>
    <w:p>
      <w:pPr>
        <w:spacing w:after="0" w:line="201" w:lineRule="exact"/>
        <w:rPr>
          <w:sz w:val="20"/>
          <w:szCs w:val="20"/>
          <w:color w:val="auto"/>
        </w:rPr>
      </w:pPr>
    </w:p>
    <w:p>
      <w:pPr>
        <w:ind w:left="3980"/>
        <w:spacing w:after="0"/>
        <w:rPr>
          <w:sz w:val="20"/>
          <w:szCs w:val="20"/>
          <w:color w:val="auto"/>
        </w:rPr>
      </w:pPr>
      <w:r>
        <w:rPr>
          <w:rFonts w:ascii="Times New Roman" w:cs="Times New Roman" w:eastAsia="Times New Roman" w:hAnsi="Times New Roman"/>
          <w:sz w:val="22"/>
          <w:szCs w:val="22"/>
          <w:b w:val="1"/>
          <w:bCs w:val="1"/>
          <w:color w:val="auto"/>
        </w:rPr>
        <w:t>SIGNATURE</w:t>
      </w:r>
    </w:p>
    <w:p>
      <w:pPr>
        <w:spacing w:after="0" w:line="278" w:lineRule="exact"/>
        <w:rPr>
          <w:sz w:val="20"/>
          <w:szCs w:val="20"/>
          <w:color w:val="auto"/>
        </w:rPr>
      </w:pPr>
    </w:p>
    <w:p>
      <w:pPr>
        <w:spacing w:after="0" w:line="271" w:lineRule="auto"/>
        <w:rPr>
          <w:sz w:val="20"/>
          <w:szCs w:val="20"/>
          <w:color w:val="auto"/>
        </w:rPr>
      </w:pPr>
      <w:r>
        <w:rPr>
          <w:rFonts w:ascii="Times New Roman" w:cs="Times New Roman" w:eastAsia="Times New Roman" w:hAnsi="Times New Roman"/>
          <w:sz w:val="22"/>
          <w:szCs w:val="22"/>
          <w:color w:val="auto"/>
        </w:rPr>
        <w:t>Pursuant to the requirements of the Securities Exchange Act of 1934, the registrant has duly caused this report to be signed on its behalf by the undersigned thereunto duly authorized.</w:t>
      </w:r>
    </w:p>
    <w:p>
      <w:pPr>
        <w:spacing w:after="0" w:line="370" w:lineRule="exact"/>
        <w:rPr>
          <w:sz w:val="20"/>
          <w:szCs w:val="20"/>
          <w:color w:val="auto"/>
        </w:rPr>
      </w:pPr>
    </w:p>
    <w:p>
      <w:pPr>
        <w:jc w:val="center"/>
        <w:ind w:left="360"/>
        <w:spacing w:after="0"/>
        <w:rPr>
          <w:sz w:val="20"/>
          <w:szCs w:val="20"/>
          <w:color w:val="auto"/>
        </w:rPr>
      </w:pPr>
      <w:r>
        <w:rPr>
          <w:rFonts w:ascii="Times New Roman" w:cs="Times New Roman" w:eastAsia="Times New Roman" w:hAnsi="Times New Roman"/>
          <w:sz w:val="22"/>
          <w:szCs w:val="22"/>
          <w:b w:val="1"/>
          <w:bCs w:val="1"/>
          <w:color w:val="auto"/>
        </w:rPr>
        <w:t>PRINCIPAL FINANCIAL GROUP, INC.</w:t>
      </w:r>
    </w:p>
    <w:p>
      <w:pPr>
        <w:spacing w:after="0" w:line="200" w:lineRule="exact"/>
        <w:rPr>
          <w:sz w:val="20"/>
          <w:szCs w:val="20"/>
          <w:color w:val="auto"/>
        </w:rPr>
      </w:pPr>
    </w:p>
    <w:p>
      <w:pPr>
        <w:spacing w:after="0" w:line="240" w:lineRule="exact"/>
        <w:rPr>
          <w:sz w:val="20"/>
          <w:szCs w:val="20"/>
          <w:color w:val="auto"/>
        </w:rPr>
      </w:pPr>
    </w:p>
    <w:p>
      <w:pPr>
        <w:ind w:left="3980"/>
        <w:spacing w:after="0"/>
        <w:tabs>
          <w:tab w:leader="none" w:pos="4600" w:val="left"/>
        </w:tabs>
        <w:rPr>
          <w:sz w:val="20"/>
          <w:szCs w:val="20"/>
          <w:color w:val="auto"/>
        </w:rPr>
      </w:pPr>
      <w:r>
        <w:rPr>
          <w:rFonts w:ascii="Times New Roman" w:cs="Times New Roman" w:eastAsia="Times New Roman" w:hAnsi="Times New Roman"/>
          <w:sz w:val="22"/>
          <w:szCs w:val="22"/>
          <w:color w:val="auto"/>
        </w:rPr>
        <w:t>By:</w:t>
      </w:r>
      <w:r>
        <w:rPr>
          <w:sz w:val="20"/>
          <w:szCs w:val="20"/>
          <w:color w:val="auto"/>
        </w:rPr>
        <w:tab/>
      </w:r>
      <w:r>
        <w:rPr>
          <w:rFonts w:ascii="Times New Roman" w:cs="Times New Roman" w:eastAsia="Times New Roman" w:hAnsi="Times New Roman"/>
          <w:sz w:val="22"/>
          <w:szCs w:val="22"/>
          <w:color w:val="auto"/>
        </w:rPr>
        <w:t>/s/ John Egan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2938145</wp:posOffset>
            </wp:positionH>
            <wp:positionV relativeFrom="paragraph">
              <wp:posOffset>-13970</wp:posOffset>
            </wp:positionV>
            <wp:extent cx="1288415"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288415" cy="8890"/>
                    </a:xfrm>
                    <a:prstGeom prst="rect">
                      <a:avLst/>
                    </a:prstGeom>
                    <a:noFill/>
                  </pic:spPr>
                </pic:pic>
              </a:graphicData>
            </a:graphic>
          </wp:anchor>
        </w:drawing>
      </w:r>
    </w:p>
    <w:p>
      <w:pPr>
        <w:spacing w:after="0" w:line="8" w:lineRule="exact"/>
        <w:rPr>
          <w:sz w:val="20"/>
          <w:szCs w:val="20"/>
          <w:color w:val="auto"/>
        </w:rPr>
      </w:pPr>
    </w:p>
    <w:p>
      <w:pPr>
        <w:ind w:left="3980"/>
        <w:spacing w:after="0"/>
        <w:rPr>
          <w:sz w:val="20"/>
          <w:szCs w:val="20"/>
          <w:color w:val="auto"/>
        </w:rPr>
      </w:pPr>
      <w:r>
        <w:rPr>
          <w:rFonts w:ascii="Times New Roman" w:cs="Times New Roman" w:eastAsia="Times New Roman" w:hAnsi="Times New Roman"/>
          <w:sz w:val="22"/>
          <w:szCs w:val="22"/>
          <w:color w:val="auto"/>
        </w:rPr>
        <w:t>Name: John Egan</w:t>
      </w:r>
    </w:p>
    <w:p>
      <w:pPr>
        <w:spacing w:after="0" w:line="4" w:lineRule="exact"/>
        <w:rPr>
          <w:sz w:val="20"/>
          <w:szCs w:val="20"/>
          <w:color w:val="auto"/>
        </w:rPr>
      </w:pPr>
    </w:p>
    <w:p>
      <w:pPr>
        <w:ind w:left="3960"/>
        <w:spacing w:after="0"/>
        <w:tabs>
          <w:tab w:leader="none" w:pos="4600" w:val="left"/>
        </w:tabs>
        <w:rPr>
          <w:sz w:val="20"/>
          <w:szCs w:val="20"/>
          <w:color w:val="auto"/>
        </w:rPr>
      </w:pPr>
      <w:r>
        <w:rPr>
          <w:rFonts w:ascii="Times New Roman" w:cs="Times New Roman" w:eastAsia="Times New Roman" w:hAnsi="Times New Roman"/>
          <w:sz w:val="22"/>
          <w:szCs w:val="22"/>
          <w:color w:val="auto"/>
        </w:rPr>
        <w:t>Title:</w:t>
      </w:r>
      <w:r>
        <w:rPr>
          <w:sz w:val="20"/>
          <w:szCs w:val="20"/>
          <w:color w:val="auto"/>
        </w:rPr>
        <w:tab/>
      </w:r>
      <w:r>
        <w:rPr>
          <w:rFonts w:ascii="Times New Roman" w:cs="Times New Roman" w:eastAsia="Times New Roman" w:hAnsi="Times New Roman"/>
          <w:sz w:val="21"/>
          <w:szCs w:val="21"/>
          <w:color w:val="auto"/>
        </w:rPr>
        <w:t>Vice President - Investor Relations</w:t>
      </w:r>
    </w:p>
    <w:p>
      <w:pPr>
        <w:spacing w:after="0" w:line="236" w:lineRule="exact"/>
        <w:rPr>
          <w:sz w:val="20"/>
          <w:szCs w:val="20"/>
          <w:color w:val="auto"/>
        </w:rPr>
      </w:pPr>
    </w:p>
    <w:p>
      <w:pPr>
        <w:spacing w:after="0"/>
        <w:tabs>
          <w:tab w:leader="none" w:pos="640" w:val="left"/>
        </w:tabs>
        <w:rPr>
          <w:sz w:val="20"/>
          <w:szCs w:val="20"/>
          <w:color w:val="auto"/>
        </w:rPr>
      </w:pPr>
      <w:r>
        <w:rPr>
          <w:rFonts w:ascii="Times New Roman" w:cs="Times New Roman" w:eastAsia="Times New Roman" w:hAnsi="Times New Roman"/>
          <w:sz w:val="22"/>
          <w:szCs w:val="22"/>
          <w:color w:val="auto"/>
        </w:rPr>
        <w:t>Date:</w:t>
      </w:r>
      <w:r>
        <w:rPr>
          <w:sz w:val="20"/>
          <w:szCs w:val="20"/>
          <w:color w:val="auto"/>
        </w:rPr>
        <w:tab/>
      </w:r>
      <w:r>
        <w:rPr>
          <w:rFonts w:ascii="Times New Roman" w:cs="Times New Roman" w:eastAsia="Times New Roman" w:hAnsi="Times New Roman"/>
          <w:sz w:val="21"/>
          <w:szCs w:val="21"/>
          <w:color w:val="auto"/>
        </w:rPr>
        <w:t>October 18, 2016</w:t>
      </w:r>
    </w:p>
    <w:sectPr>
      <w:pgSz w:w="11900" w:h="16838" w:orient="portrait"/>
      <w:cols w:equalWidth="0" w:num="1">
        <w:col w:w="11400"/>
      </w:cols>
      <w:pgMar w:left="240" w:top="581" w:right="25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327B23C6"/>
    <w:multiLevelType w:val="hybridMultilevel"/>
    <w:lvl w:ilvl="0">
      <w:lvlJc w:val="left"/>
      <w:lvlText w:val="["/>
      <w:numFmt w:val="bullet"/>
      <w:start w:val="1"/>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2020-01-21T13:35:26Z</dcterms:created>
  <dcterms:modified xsi:type="dcterms:W3CDTF">2020-01-21T13:35:26Z</dcterms:modified>
</cp:coreProperties>
</file>