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Arial" w:cs="Arial" w:eastAsia="Arial" w:hAnsi="Arial"/>
          <w:sz w:val="29"/>
          <w:szCs w:val="29"/>
          <w:b w:val="1"/>
          <w:bCs w:val="1"/>
          <w:color w:val="auto"/>
        </w:rPr>
        <w:t>SECURITIES AND EXCHANGE COMMISSION</w:t>
      </w:r>
    </w:p>
    <w:p>
      <w:pPr>
        <w:spacing w:after="0" w:line="112"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Washington, D.C. 20549</w:t>
      </w:r>
    </w:p>
    <w:p>
      <w:pPr>
        <w:spacing w:after="0" w:line="229" w:lineRule="exact"/>
        <w:rPr>
          <w:sz w:val="24"/>
          <w:szCs w:val="24"/>
          <w:color w:val="auto"/>
        </w:rPr>
      </w:pPr>
    </w:p>
    <w:p>
      <w:pPr>
        <w:ind w:left="4900"/>
        <w:spacing w:after="0"/>
        <w:rPr>
          <w:sz w:val="20"/>
          <w:szCs w:val="20"/>
          <w:color w:val="auto"/>
        </w:rPr>
      </w:pPr>
      <w:r>
        <w:rPr>
          <w:rFonts w:ascii="Arial" w:cs="Arial" w:eastAsia="Arial" w:hAnsi="Arial"/>
          <w:sz w:val="18"/>
          <w:szCs w:val="18"/>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26" w:lineRule="exact"/>
        <w:rPr>
          <w:sz w:val="24"/>
          <w:szCs w:val="24"/>
          <w:color w:val="auto"/>
        </w:rPr>
      </w:pPr>
    </w:p>
    <w:p>
      <w:pPr>
        <w:jc w:val="center"/>
        <w:ind w:right="-139"/>
        <w:spacing w:after="0"/>
        <w:rPr>
          <w:sz w:val="20"/>
          <w:szCs w:val="20"/>
          <w:color w:val="auto"/>
        </w:rPr>
      </w:pPr>
      <w:r>
        <w:rPr>
          <w:rFonts w:ascii="Arial" w:cs="Arial" w:eastAsia="Arial" w:hAnsi="Arial"/>
          <w:sz w:val="29"/>
          <w:szCs w:val="29"/>
          <w:b w:val="1"/>
          <w:bCs w:val="1"/>
          <w:color w:val="auto"/>
        </w:rPr>
        <w:t>FORM 8-K</w:t>
      </w:r>
    </w:p>
    <w:p>
      <w:pPr>
        <w:spacing w:after="0" w:line="319"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3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December 1, 2015</w:t>
      </w:r>
    </w:p>
    <w:p>
      <w:pPr>
        <w:spacing w:after="0" w:line="28"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261" w:lineRule="exact"/>
        <w:rPr>
          <w:sz w:val="24"/>
          <w:szCs w:val="24"/>
          <w:color w:val="auto"/>
        </w:rPr>
      </w:pPr>
    </w:p>
    <w:p>
      <w:pPr>
        <w:jc w:val="center"/>
        <w:ind w:right="-13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(Exact name of registrant as specified in its charter)</w:t>
      </w:r>
    </w:p>
    <w:p>
      <w:pPr>
        <w:sectPr>
          <w:pgSz w:w="11900" w:h="16838" w:orient="portrait"/>
          <w:cols w:equalWidth="0" w:num="1">
            <w:col w:w="11300"/>
          </w:cols>
          <w:pgMar w:left="240" w:top="769" w:right="359" w:bottom="1440" w:gutter="0" w:footer="0" w:header="0"/>
        </w:sectPr>
      </w:pPr>
    </w:p>
    <w:p>
      <w:pPr>
        <w:spacing w:after="0" w:line="200" w:lineRule="exact"/>
        <w:rPr>
          <w:sz w:val="24"/>
          <w:szCs w:val="24"/>
          <w:color w:val="auto"/>
        </w:rPr>
      </w:pPr>
    </w:p>
    <w:p>
      <w:pPr>
        <w:spacing w:after="0" w:line="388" w:lineRule="exact"/>
        <w:rPr>
          <w:sz w:val="24"/>
          <w:szCs w:val="24"/>
          <w:color w:val="auto"/>
        </w:rPr>
      </w:pPr>
    </w:p>
    <w:p>
      <w:pPr>
        <w:ind w:left="19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8" w:lineRule="exact"/>
        <w:rPr>
          <w:sz w:val="24"/>
          <w:szCs w:val="24"/>
          <w:color w:val="auto"/>
        </w:rPr>
      </w:pPr>
    </w:p>
    <w:p>
      <w:pPr>
        <w:jc w:val="center"/>
        <w:ind w:right="1960"/>
        <w:spacing w:after="0"/>
        <w:rPr>
          <w:sz w:val="20"/>
          <w:szCs w:val="20"/>
          <w:color w:val="auto"/>
        </w:rPr>
      </w:pPr>
      <w:r>
        <w:rPr>
          <w:rFonts w:ascii="Arial" w:cs="Arial" w:eastAsia="Arial" w:hAnsi="Arial"/>
          <w:sz w:val="16"/>
          <w:szCs w:val="16"/>
          <w:b w:val="1"/>
          <w:bCs w:val="1"/>
          <w:color w:val="auto"/>
        </w:rPr>
        <w:t>1-16725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68"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42-1520346</w:t>
      </w:r>
    </w:p>
    <w:p>
      <w:pPr>
        <w:spacing w:after="0" w:line="90" w:lineRule="exact"/>
        <w:rPr>
          <w:sz w:val="24"/>
          <w:szCs w:val="24"/>
          <w:color w:val="auto"/>
        </w:rPr>
      </w:pPr>
    </w:p>
    <w:p>
      <w:pPr>
        <w:sectPr>
          <w:pgSz w:w="11900" w:h="16838" w:orient="portrait"/>
          <w:cols w:equalWidth="0" w:num="3">
            <w:col w:w="4760" w:space="720"/>
            <w:col w:w="2560" w:space="720"/>
            <w:col w:w="2540"/>
          </w:cols>
          <w:pgMar w:left="240" w:top="769" w:right="359" w:bottom="1440" w:gutter="0" w:footer="0" w:header="0"/>
          <w:type w:val="continuous"/>
        </w:sectPr>
      </w:pPr>
    </w:p>
    <w:p>
      <w:pPr>
        <w:jc w:val="center"/>
        <w:ind w:left="480"/>
        <w:spacing w:after="0"/>
        <w:rPr>
          <w:sz w:val="20"/>
          <w:szCs w:val="20"/>
          <w:color w:val="auto"/>
        </w:rPr>
      </w:pPr>
      <w:r>
        <w:rPr>
          <w:rFonts w:ascii="Arial" w:cs="Arial" w:eastAsia="Arial" w:hAnsi="Arial"/>
          <w:sz w:val="16"/>
          <w:szCs w:val="16"/>
          <w:color w:val="auto"/>
        </w:rPr>
        <w:t>(State or other jurisdiction</w:t>
      </w:r>
    </w:p>
    <w:p>
      <w:pPr>
        <w:spacing w:after="0" w:line="46" w:lineRule="exact"/>
        <w:rPr>
          <w:sz w:val="24"/>
          <w:szCs w:val="24"/>
          <w:color w:val="auto"/>
        </w:rPr>
      </w:pPr>
    </w:p>
    <w:p>
      <w:pPr>
        <w:jc w:val="center"/>
        <w:ind w:left="4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jc w:val="center"/>
        <w:ind w:right="92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jc w:val="center"/>
        <w:ind w:right="1260"/>
        <w:spacing w:after="0"/>
        <w:rPr>
          <w:sz w:val="20"/>
          <w:szCs w:val="20"/>
          <w:color w:val="auto"/>
        </w:rPr>
      </w:pPr>
      <w:r>
        <w:rPr>
          <w:rFonts w:ascii="Arial" w:cs="Arial" w:eastAsia="Arial" w:hAnsi="Arial"/>
          <w:sz w:val="18"/>
          <w:szCs w:val="18"/>
          <w:color w:val="auto"/>
        </w:rPr>
        <w:t>(I.R.S. Employer</w:t>
      </w:r>
    </w:p>
    <w:p>
      <w:pPr>
        <w:spacing w:after="0" w:line="23" w:lineRule="exact"/>
        <w:rPr>
          <w:sz w:val="24"/>
          <w:szCs w:val="24"/>
          <w:color w:val="auto"/>
        </w:rPr>
      </w:pPr>
    </w:p>
    <w:p>
      <w:pPr>
        <w:jc w:val="center"/>
        <w:ind w:right="1260"/>
        <w:spacing w:after="0"/>
        <w:rPr>
          <w:sz w:val="20"/>
          <w:szCs w:val="20"/>
          <w:color w:val="auto"/>
        </w:rPr>
      </w:pPr>
      <w:r>
        <w:rPr>
          <w:rFonts w:ascii="Arial" w:cs="Arial" w:eastAsia="Arial" w:hAnsi="Arial"/>
          <w:sz w:val="17"/>
          <w:szCs w:val="17"/>
          <w:color w:val="auto"/>
        </w:rPr>
        <w:t>Identification Number)</w:t>
      </w:r>
    </w:p>
    <w:p>
      <w:pPr>
        <w:spacing w:after="0" w:line="211" w:lineRule="exact"/>
        <w:rPr>
          <w:sz w:val="24"/>
          <w:szCs w:val="24"/>
          <w:color w:val="auto"/>
        </w:rPr>
      </w:pPr>
    </w:p>
    <w:p>
      <w:pPr>
        <w:sectPr>
          <w:pgSz w:w="11900" w:h="16838" w:orient="portrait"/>
          <w:cols w:equalWidth="0" w:num="3">
            <w:col w:w="4100" w:space="720"/>
            <w:col w:w="2820" w:space="720"/>
            <w:col w:w="2940"/>
          </w:cols>
          <w:pgMar w:left="240" w:top="769" w:right="359" w:bottom="1440" w:gutter="0" w:footer="0" w:header="0"/>
          <w:type w:val="continuous"/>
        </w:sectPr>
      </w:pPr>
    </w:p>
    <w:p>
      <w:pPr>
        <w:spacing w:after="0" w:line="31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300"/>
          </w:cols>
          <w:pgMar w:left="240" w:top="769" w:right="359" w:bottom="1440" w:gutter="0" w:footer="0" w:header="0"/>
          <w:type w:val="continuous"/>
        </w:sectPr>
      </w:pPr>
    </w:p>
    <w:p>
      <w:pPr>
        <w:spacing w:after="0" w:line="302"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Soliciting material pursuant to Rule 14a-12 under the Exchange Act (17 CFR 240.14a-12)</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Pre-commencement communications pursuant to Rule 14d-2(b) under the Exchange Act (17 CFR 240.14d-2(b))</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Pre-commencement communications pursuant to Rule 13e-4(c) under the Exchange Act (17 CFR 240.13e-4(c))</w:t>
      </w:r>
    </w:p>
    <w:p>
      <w:pPr>
        <w:spacing w:after="0" w:line="223"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69" w:right="359" w:bottom="1440" w:gutter="0" w:footer="0" w:header="0"/>
          <w:type w:val="continuous"/>
        </w:sectPr>
      </w:pPr>
    </w:p>
    <w:bookmarkStart w:id="1" w:name="page2"/>
    <w:bookmarkEnd w:id="1"/>
    <w:p>
      <w:pPr>
        <w:ind w:left="1300" w:right="2820" w:hanging="1296"/>
        <w:spacing w:after="0" w:line="350" w:lineRule="auto"/>
        <w:tabs>
          <w:tab w:leader="none" w:pos="1280" w:val="left"/>
        </w:tabs>
        <w:rPr>
          <w:sz w:val="20"/>
          <w:szCs w:val="20"/>
          <w:color w:val="auto"/>
        </w:rPr>
      </w:pPr>
      <w:r>
        <w:rPr>
          <w:rFonts w:ascii="Arial" w:cs="Arial" w:eastAsia="Arial" w:hAnsi="Arial"/>
          <w:sz w:val="22"/>
          <w:szCs w:val="22"/>
          <w:b w:val="1"/>
          <w:bCs w:val="1"/>
          <w:color w:val="auto"/>
        </w:rPr>
        <w:t>Item 5.02</w:t>
      </w:r>
      <w:r>
        <w:rPr>
          <w:sz w:val="20"/>
          <w:szCs w:val="20"/>
          <w:color w:val="auto"/>
        </w:rPr>
        <w:tab/>
      </w:r>
      <w:r>
        <w:rPr>
          <w:rFonts w:ascii="Arial" w:cs="Arial" w:eastAsia="Arial" w:hAnsi="Arial"/>
          <w:sz w:val="19"/>
          <w:szCs w:val="19"/>
          <w:b w:val="1"/>
          <w:bCs w:val="1"/>
          <w:color w:val="auto"/>
        </w:rPr>
        <w:t>Departure of Directors or Certain Officers; Election of Directors; Appointment of Certain Officers; Compensatory Arrangements of Certain Officers.</w:t>
      </w:r>
    </w:p>
    <w:p>
      <w:pPr>
        <w:spacing w:after="0" w:line="139" w:lineRule="exact"/>
        <w:rPr>
          <w:sz w:val="20"/>
          <w:szCs w:val="20"/>
          <w:color w:val="auto"/>
        </w:rPr>
      </w:pPr>
    </w:p>
    <w:p>
      <w:pPr>
        <w:jc w:val="both"/>
        <w:spacing w:after="0" w:line="250" w:lineRule="auto"/>
        <w:rPr>
          <w:sz w:val="20"/>
          <w:szCs w:val="20"/>
          <w:color w:val="auto"/>
        </w:rPr>
      </w:pPr>
      <w:r>
        <w:rPr>
          <w:rFonts w:ascii="Arial" w:cs="Arial" w:eastAsia="Arial" w:hAnsi="Arial"/>
          <w:sz w:val="22"/>
          <w:szCs w:val="22"/>
          <w:color w:val="auto"/>
        </w:rPr>
        <w:t>Larry D. Zimpleman, chairman of Principal Financial Group, Inc. and its subsidiary Principal Life Insurance Company, plans to retire as an employee from the companies on January 4, 2016. Mr. Zimpleman will continue to serve as a director of Principal Financial Group, Inc. and Principal Life Insurance Company after his retirement. The press release announcing Mr. Zimpleman’s retirement is included herewith as Exhibit 99.</w:t>
      </w:r>
    </w:p>
    <w:p>
      <w:pPr>
        <w:spacing w:after="0" w:line="182" w:lineRule="exact"/>
        <w:rPr>
          <w:sz w:val="20"/>
          <w:szCs w:val="20"/>
          <w:color w:val="auto"/>
        </w:rPr>
      </w:pPr>
    </w:p>
    <w:p>
      <w:pPr>
        <w:spacing w:after="0"/>
        <w:tabs>
          <w:tab w:leader="none" w:pos="1280" w:val="left"/>
        </w:tabs>
        <w:rPr>
          <w:sz w:val="20"/>
          <w:szCs w:val="20"/>
          <w:color w:val="auto"/>
        </w:rPr>
      </w:pPr>
      <w:r>
        <w:rPr>
          <w:rFonts w:ascii="Arial" w:cs="Arial" w:eastAsia="Arial" w:hAnsi="Arial"/>
          <w:sz w:val="22"/>
          <w:szCs w:val="22"/>
          <w:b w:val="1"/>
          <w:bCs w:val="1"/>
          <w:color w:val="auto"/>
        </w:rPr>
        <w:t>Item 9.01</w:t>
      </w:r>
      <w:r>
        <w:rPr>
          <w:sz w:val="20"/>
          <w:szCs w:val="20"/>
          <w:color w:val="auto"/>
        </w:rPr>
        <w:tab/>
      </w:r>
      <w:r>
        <w:rPr>
          <w:rFonts w:ascii="Arial" w:cs="Arial" w:eastAsia="Arial" w:hAnsi="Arial"/>
          <w:sz w:val="19"/>
          <w:szCs w:val="19"/>
          <w:b w:val="1"/>
          <w:bCs w:val="1"/>
          <w:color w:val="auto"/>
        </w:rPr>
        <w:t>Financial Statements and Exhibits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99 Zimpleman Retirement Press Release</w:t>
      </w:r>
    </w:p>
    <w:p>
      <w:pPr>
        <w:spacing w:after="0" w:line="200" w:lineRule="exact"/>
        <w:rPr>
          <w:sz w:val="20"/>
          <w:szCs w:val="20"/>
          <w:color w:val="auto"/>
        </w:rPr>
      </w:pP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SIGNATURE</w:t>
      </w:r>
    </w:p>
    <w:p>
      <w:pPr>
        <w:spacing w:after="0" w:line="274" w:lineRule="exact"/>
        <w:rPr>
          <w:sz w:val="20"/>
          <w:szCs w:val="20"/>
          <w:color w:val="auto"/>
        </w:rPr>
      </w:pPr>
    </w:p>
    <w:p>
      <w:pPr>
        <w:jc w:val="both"/>
        <w:ind w:right="20"/>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31"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PRINCIPAL FINANCIAL GROUP, INC.</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3900"/>
        <w:spacing w:after="0"/>
        <w:tabs>
          <w:tab w:leader="none" w:pos="440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2810510</wp:posOffset>
            </wp:positionH>
            <wp:positionV relativeFrom="paragraph">
              <wp:posOffset>-17780</wp:posOffset>
            </wp:positionV>
            <wp:extent cx="11176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17600" cy="8890"/>
                    </a:xfrm>
                    <a:prstGeom prst="rect">
                      <a:avLst/>
                    </a:prstGeom>
                    <a:noFill/>
                  </pic:spPr>
                </pic:pic>
              </a:graphicData>
            </a:graphic>
          </wp:anchor>
        </w:drawing>
      </w:r>
    </w:p>
    <w:p>
      <w:pPr>
        <w:spacing w:after="0" w:line="2" w:lineRule="exact"/>
        <w:rPr>
          <w:sz w:val="20"/>
          <w:szCs w:val="20"/>
          <w:color w:val="auto"/>
        </w:rPr>
      </w:pPr>
    </w:p>
    <w:p>
      <w:pPr>
        <w:ind w:left="3900"/>
        <w:spacing w:after="0"/>
        <w:tabs>
          <w:tab w:leader="none" w:pos="4660" w:val="left"/>
        </w:tabs>
        <w:rPr>
          <w:sz w:val="20"/>
          <w:szCs w:val="20"/>
          <w:color w:val="auto"/>
        </w:rPr>
      </w:pPr>
      <w:r>
        <w:rPr>
          <w:rFonts w:ascii="Arial" w:cs="Arial" w:eastAsia="Arial" w:hAnsi="Arial"/>
          <w:sz w:val="22"/>
          <w:szCs w:val="22"/>
          <w:color w:val="auto"/>
        </w:rPr>
        <w:t>Name:</w:t>
      </w:r>
      <w:r>
        <w:rPr>
          <w:sz w:val="20"/>
          <w:szCs w:val="20"/>
          <w:color w:val="auto"/>
        </w:rPr>
        <w:tab/>
      </w:r>
      <w:r>
        <w:rPr>
          <w:rFonts w:ascii="Arial" w:cs="Arial" w:eastAsia="Arial" w:hAnsi="Arial"/>
          <w:sz w:val="19"/>
          <w:szCs w:val="19"/>
          <w:color w:val="auto"/>
        </w:rPr>
        <w:t>Karen E. Shaff</w:t>
      </w:r>
    </w:p>
    <w:p>
      <w:pPr>
        <w:spacing w:after="0" w:line="4" w:lineRule="exact"/>
        <w:rPr>
          <w:sz w:val="20"/>
          <w:szCs w:val="20"/>
          <w:color w:val="auto"/>
        </w:rPr>
      </w:pPr>
    </w:p>
    <w:p>
      <w:pPr>
        <w:ind w:left="3900"/>
        <w:spacing w:after="0"/>
        <w:tabs>
          <w:tab w:leader="none" w:pos="4600" w:val="left"/>
        </w:tabs>
        <w:rPr>
          <w:sz w:val="20"/>
          <w:szCs w:val="20"/>
          <w:color w:val="auto"/>
        </w:rPr>
      </w:pPr>
      <w:r>
        <w:rPr>
          <w:rFonts w:ascii="Arial" w:cs="Arial" w:eastAsia="Arial" w:hAnsi="Arial"/>
          <w:sz w:val="22"/>
          <w:szCs w:val="22"/>
          <w:color w:val="auto"/>
        </w:rPr>
        <w:t>Title:</w:t>
        <w:tab/>
        <w:t>Executive Vice President, General Counsel and Secretary</w:t>
      </w:r>
    </w:p>
    <w:p>
      <w:pPr>
        <w:spacing w:after="0" w:line="200" w:lineRule="exact"/>
        <w:rPr>
          <w:sz w:val="20"/>
          <w:szCs w:val="20"/>
          <w:color w:val="auto"/>
        </w:rPr>
      </w:pPr>
    </w:p>
    <w:p>
      <w:pPr>
        <w:spacing w:after="0" w:line="299" w:lineRule="exact"/>
        <w:rPr>
          <w:sz w:val="20"/>
          <w:szCs w:val="20"/>
          <w:color w:val="auto"/>
        </w:rPr>
      </w:pPr>
    </w:p>
    <w:p>
      <w:pPr>
        <w:spacing w:after="0"/>
        <w:tabs>
          <w:tab w:leader="none" w:pos="68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December 4, 2015</w:t>
      </w:r>
    </w:p>
    <w:p>
      <w:pPr>
        <w:sectPr>
          <w:pgSz w:w="11900" w:h="16838" w:orient="portrait"/>
          <w:cols w:equalWidth="0" w:num="1">
            <w:col w:w="11420"/>
          </w:cols>
          <w:pgMar w:left="240" w:top="585"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9"/>
          <w:szCs w:val="19"/>
          <w:color w:val="auto"/>
        </w:rPr>
        <w:t>Exhibit 99</w:t>
      </w:r>
    </w:p>
    <w:p>
      <w:pPr>
        <w:sectPr>
          <w:pgSz w:w="11900" w:h="16838" w:orient="portrait"/>
          <w:cols w:equalWidth="0" w:num="1">
            <w:col w:w="11420"/>
          </w:cols>
          <w:pgMar w:left="240" w:top="375" w:right="239" w:bottom="1440" w:gutter="0" w:footer="0" w:header="0"/>
        </w:sectPr>
      </w:pPr>
    </w:p>
    <w:p>
      <w:pPr>
        <w:spacing w:after="0" w:line="45" w:lineRule="exact"/>
        <w:rPr>
          <w:sz w:val="20"/>
          <w:szCs w:val="20"/>
          <w:color w:val="auto"/>
        </w:rPr>
      </w:pPr>
    </w:p>
    <w:p>
      <w:pPr>
        <w:spacing w:after="0"/>
        <w:rPr>
          <w:sz w:val="20"/>
          <w:szCs w:val="20"/>
          <w:color w:val="auto"/>
        </w:rPr>
      </w:pPr>
      <w:r>
        <w:rPr>
          <w:rFonts w:ascii="Arial" w:cs="Arial" w:eastAsia="Arial" w:hAnsi="Arial"/>
          <w:sz w:val="20"/>
          <w:szCs w:val="20"/>
          <w:color w:val="auto"/>
        </w:rPr>
        <w:t>Release:</w:t>
      </w:r>
    </w:p>
    <w:p>
      <w:pPr>
        <w:spacing w:after="0"/>
        <w:rPr>
          <w:sz w:val="20"/>
          <w:szCs w:val="20"/>
          <w:color w:val="auto"/>
        </w:rPr>
      </w:pPr>
      <w:r>
        <w:rPr>
          <w:rFonts w:ascii="Arial" w:cs="Arial" w:eastAsia="Arial" w:hAnsi="Arial"/>
          <w:sz w:val="20"/>
          <w:szCs w:val="20"/>
          <w:color w:val="auto"/>
        </w:rPr>
        <w:t>Media contact:</w:t>
      </w:r>
    </w:p>
    <w:p>
      <w:pPr>
        <w:spacing w:after="0"/>
        <w:rPr>
          <w:sz w:val="20"/>
          <w:szCs w:val="20"/>
          <w:color w:val="auto"/>
        </w:rPr>
      </w:pPr>
      <w:r>
        <w:rPr>
          <w:rFonts w:ascii="Arial" w:cs="Arial" w:eastAsia="Arial" w:hAnsi="Arial"/>
          <w:sz w:val="16"/>
          <w:szCs w:val="16"/>
          <w:color w:val="auto"/>
        </w:rPr>
        <w:t>Investor Relations contact:</w:t>
      </w:r>
    </w:p>
    <w:p>
      <w:pPr>
        <w:spacing w:after="0" w:line="20" w:lineRule="exact"/>
        <w:rPr>
          <w:sz w:val="20"/>
          <w:szCs w:val="20"/>
          <w:color w:val="auto"/>
        </w:rPr>
      </w:pPr>
      <w:r>
        <w:rPr>
          <w:sz w:val="20"/>
          <w:szCs w:val="20"/>
          <w:color w:val="auto"/>
        </w:rPr>
        <w:br w:type="column"/>
      </w:r>
    </w:p>
    <w:p>
      <w:pPr>
        <w:spacing w:after="0" w:line="25" w:lineRule="exact"/>
        <w:rPr>
          <w:sz w:val="20"/>
          <w:szCs w:val="20"/>
          <w:color w:val="auto"/>
        </w:rPr>
      </w:pPr>
    </w:p>
    <w:p>
      <w:pPr>
        <w:spacing w:after="0"/>
        <w:rPr>
          <w:sz w:val="20"/>
          <w:szCs w:val="20"/>
          <w:color w:val="auto"/>
        </w:rPr>
      </w:pPr>
      <w:r>
        <w:rPr>
          <w:rFonts w:ascii="Arial" w:cs="Arial" w:eastAsia="Arial" w:hAnsi="Arial"/>
          <w:sz w:val="20"/>
          <w:szCs w:val="20"/>
          <w:color w:val="auto"/>
        </w:rPr>
        <w:t>On receipt, Tuesday, Dec. 1, 2015</w:t>
      </w:r>
    </w:p>
    <w:p>
      <w:pPr>
        <w:spacing w:after="0"/>
        <w:rPr>
          <w:sz w:val="20"/>
          <w:szCs w:val="20"/>
          <w:color w:val="auto"/>
        </w:rPr>
      </w:pPr>
      <w:r>
        <w:rPr>
          <w:rFonts w:ascii="Arial" w:cs="Arial" w:eastAsia="Arial" w:hAnsi="Arial"/>
          <w:sz w:val="16"/>
          <w:szCs w:val="16"/>
          <w:color w:val="auto"/>
        </w:rPr>
        <w:t>Erica Jensen, 515-362-0049, jensen.erica@principal.com</w:t>
      </w:r>
    </w:p>
    <w:p>
      <w:pPr>
        <w:spacing w:after="0" w:line="46" w:lineRule="exact"/>
        <w:rPr>
          <w:sz w:val="20"/>
          <w:szCs w:val="20"/>
          <w:color w:val="auto"/>
        </w:rPr>
      </w:pPr>
    </w:p>
    <w:p>
      <w:pPr>
        <w:spacing w:after="0"/>
        <w:rPr>
          <w:sz w:val="20"/>
          <w:szCs w:val="20"/>
          <w:color w:val="auto"/>
        </w:rPr>
      </w:pPr>
      <w:r>
        <w:rPr>
          <w:rFonts w:ascii="Arial" w:cs="Arial" w:eastAsia="Arial" w:hAnsi="Arial"/>
          <w:sz w:val="19"/>
          <w:szCs w:val="19"/>
          <w:color w:val="auto"/>
        </w:rPr>
        <w:t>John Egan, 515-235-9500, egan.john@principal.com</w:t>
      </w:r>
    </w:p>
    <w:p>
      <w:pPr>
        <w:spacing w:after="0" w:line="200" w:lineRule="exact"/>
        <w:rPr>
          <w:sz w:val="20"/>
          <w:szCs w:val="20"/>
          <w:color w:val="auto"/>
        </w:rPr>
      </w:pPr>
    </w:p>
    <w:p>
      <w:pPr>
        <w:sectPr>
          <w:pgSz w:w="11900" w:h="16838" w:orient="portrait"/>
          <w:cols w:equalWidth="0" w:num="2">
            <w:col w:w="2120" w:space="480"/>
            <w:col w:w="8820"/>
          </w:cols>
          <w:pgMar w:left="240" w:top="375" w:right="239" w:bottom="1440" w:gutter="0" w:footer="0" w:header="0"/>
          <w:type w:val="continuous"/>
        </w:sect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color w:val="auto"/>
        </w:rPr>
        <w:t>Larry D. Zimpleman to Retire From Principal Financial Group</w:t>
      </w:r>
    </w:p>
    <w:p>
      <w:pPr>
        <w:spacing w:after="0" w:line="248" w:lineRule="exact"/>
        <w:rPr>
          <w:sz w:val="20"/>
          <w:szCs w:val="20"/>
          <w:color w:val="auto"/>
        </w:rPr>
      </w:pPr>
    </w:p>
    <w:p>
      <w:pPr>
        <w:ind w:right="120"/>
        <w:spacing w:after="0" w:line="372" w:lineRule="auto"/>
        <w:rPr>
          <w:sz w:val="20"/>
          <w:szCs w:val="20"/>
          <w:color w:val="auto"/>
        </w:rPr>
      </w:pPr>
      <w:r>
        <w:rPr>
          <w:rFonts w:ascii="Arial" w:cs="Arial" w:eastAsia="Arial" w:hAnsi="Arial"/>
          <w:sz w:val="19"/>
          <w:szCs w:val="19"/>
          <w:color w:val="auto"/>
        </w:rPr>
        <w:t>(Des Moines, Iowa) – The Principal Financial Group</w:t>
      </w:r>
      <w:r>
        <w:rPr>
          <w:rFonts w:ascii="Arial" w:cs="Arial" w:eastAsia="Arial" w:hAnsi="Arial"/>
          <w:sz w:val="24"/>
          <w:szCs w:val="24"/>
          <w:color w:val="auto"/>
          <w:vertAlign w:val="superscript"/>
        </w:rPr>
        <w:t>®</w:t>
      </w:r>
      <w:r>
        <w:rPr>
          <w:rFonts w:ascii="Arial" w:cs="Arial" w:eastAsia="Arial" w:hAnsi="Arial"/>
          <w:sz w:val="19"/>
          <w:szCs w:val="19"/>
          <w:color w:val="auto"/>
        </w:rPr>
        <w:t xml:space="preserve"> announced today Larry D. Zimpleman, chairman at The Principal</w:t>
      </w:r>
      <w:r>
        <w:rPr>
          <w:rFonts w:ascii="Arial" w:cs="Arial" w:eastAsia="Arial" w:hAnsi="Arial"/>
          <w:sz w:val="24"/>
          <w:szCs w:val="24"/>
          <w:color w:val="auto"/>
          <w:vertAlign w:val="superscript"/>
        </w:rPr>
        <w:t>®</w:t>
      </w:r>
      <w:r>
        <w:rPr>
          <w:rFonts w:ascii="Arial" w:cs="Arial" w:eastAsia="Arial" w:hAnsi="Arial"/>
          <w:sz w:val="19"/>
          <w:szCs w:val="19"/>
          <w:color w:val="auto"/>
        </w:rPr>
        <w:t>, will retire on Jan. 4, 2016, from the organization. Zimpleman will continue to serve on the board of directors as non-executive chairman.</w:t>
      </w:r>
    </w:p>
    <w:p>
      <w:pPr>
        <w:spacing w:after="0" w:line="1" w:lineRule="exact"/>
        <w:rPr>
          <w:sz w:val="20"/>
          <w:szCs w:val="20"/>
          <w:color w:val="auto"/>
        </w:rPr>
      </w:pPr>
    </w:p>
    <w:p>
      <w:pPr>
        <w:ind w:right="60" w:firstLine="648"/>
        <w:spacing w:after="0" w:line="366" w:lineRule="auto"/>
        <w:rPr>
          <w:sz w:val="20"/>
          <w:szCs w:val="20"/>
          <w:color w:val="auto"/>
        </w:rPr>
      </w:pPr>
      <w:r>
        <w:rPr>
          <w:rFonts w:ascii="Arial" w:cs="Arial" w:eastAsia="Arial" w:hAnsi="Arial"/>
          <w:sz w:val="20"/>
          <w:szCs w:val="20"/>
          <w:color w:val="auto"/>
        </w:rPr>
        <w:t>“In his 44 years at The Principal, Larry drove a number of significant advancements for the organization,” said Dan Houston, president and chief executive officer at The Principal. “He was instrumental in developing our international pension and long-term savings strategy, and in exporting our expertise to high potential markets around the world. Larry also played a critical role in launching our IPO in 2001, but perhaps most noteworthy was his leadership through the Great Recession. His integrity, intellect and inspiration will be greatly missed. We wish Larry, and his wife Kathi, all the best in retirement.”</w:t>
      </w:r>
    </w:p>
    <w:p>
      <w:pPr>
        <w:spacing w:after="0" w:line="2" w:lineRule="exact"/>
        <w:rPr>
          <w:sz w:val="20"/>
          <w:szCs w:val="20"/>
          <w:color w:val="auto"/>
        </w:rPr>
      </w:pPr>
    </w:p>
    <w:p>
      <w:pPr>
        <w:jc w:val="both"/>
        <w:ind w:right="360" w:firstLine="648"/>
        <w:spacing w:after="0" w:line="385" w:lineRule="auto"/>
        <w:rPr>
          <w:sz w:val="20"/>
          <w:szCs w:val="20"/>
          <w:color w:val="auto"/>
        </w:rPr>
      </w:pPr>
      <w:r>
        <w:rPr>
          <w:rFonts w:ascii="Arial" w:cs="Arial" w:eastAsia="Arial" w:hAnsi="Arial"/>
          <w:sz w:val="19"/>
          <w:szCs w:val="19"/>
          <w:color w:val="auto"/>
        </w:rPr>
        <w:t>Zimpleman joined the company in 1971 as an actuarial intern. From 1976 to 2006 he served in various management and leadership positions at the officer level, mostly in the U.S. retirement business. He was named president and chief operating officer of The Principal in 2006; president and chief executive officer in 2008; and president, chairman and CEO until August 2015.</w:t>
      </w:r>
    </w:p>
    <w:p>
      <w:pPr>
        <w:spacing w:after="0" w:line="2" w:lineRule="exact"/>
        <w:rPr>
          <w:sz w:val="20"/>
          <w:szCs w:val="20"/>
          <w:color w:val="auto"/>
        </w:rPr>
      </w:pPr>
    </w:p>
    <w:p>
      <w:pPr>
        <w:ind w:right="20" w:firstLine="648"/>
        <w:spacing w:after="0" w:line="364" w:lineRule="auto"/>
        <w:rPr>
          <w:sz w:val="20"/>
          <w:szCs w:val="20"/>
          <w:color w:val="auto"/>
        </w:rPr>
      </w:pPr>
      <w:r>
        <w:rPr>
          <w:rFonts w:ascii="Arial" w:cs="Arial" w:eastAsia="Arial" w:hAnsi="Arial"/>
          <w:sz w:val="20"/>
          <w:szCs w:val="20"/>
          <w:color w:val="auto"/>
        </w:rPr>
        <w:t>“I am excited and optimistic about the future of the organization with Dan at the helm,” said Larry Zimpleman. “With 31 years of experience under his belt, coupled with an extremely talented senior management team, they will continue our deeply rooted mission of helping people around the globe on the path to financial security.”</w:t>
      </w:r>
    </w:p>
    <w:p>
      <w:pPr>
        <w:spacing w:after="0" w:line="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the Principal Financial Group</w:t>
      </w:r>
    </w:p>
    <w:p>
      <w:pPr>
        <w:spacing w:after="0" w:line="62" w:lineRule="exact"/>
        <w:rPr>
          <w:sz w:val="20"/>
          <w:szCs w:val="20"/>
          <w:color w:val="auto"/>
        </w:rPr>
      </w:pPr>
    </w:p>
    <w:p>
      <w:pPr>
        <w:ind w:right="80"/>
        <w:spacing w:after="0" w:line="389" w:lineRule="auto"/>
        <w:rPr>
          <w:sz w:val="20"/>
          <w:szCs w:val="20"/>
          <w:color w:val="auto"/>
        </w:rPr>
      </w:pPr>
      <w:r>
        <w:rPr>
          <w:rFonts w:ascii="Arial" w:cs="Arial" w:eastAsia="Arial" w:hAnsi="Arial"/>
          <w:sz w:val="18"/>
          <w:szCs w:val="18"/>
          <w:color w:val="auto"/>
        </w:rPr>
        <w:t>The Principal Financial Group</w:t>
      </w:r>
      <w:r>
        <w:rPr>
          <w:rFonts w:ascii="Arial" w:cs="Arial" w:eastAsia="Arial" w:hAnsi="Arial"/>
          <w:sz w:val="23"/>
          <w:szCs w:val="23"/>
          <w:color w:val="auto"/>
          <w:vertAlign w:val="superscript"/>
        </w:rPr>
        <w:t>®</w:t>
      </w:r>
      <w:r>
        <w:rPr>
          <w:rFonts w:ascii="Arial" w:cs="Arial" w:eastAsia="Arial" w:hAnsi="Arial"/>
          <w:sz w:val="18"/>
          <w:szCs w:val="18"/>
          <w:color w:val="auto"/>
        </w:rPr>
        <w:t xml:space="preserve"> (The Principal</w:t>
      </w:r>
      <w:r>
        <w:rPr>
          <w:rFonts w:ascii="Arial" w:cs="Arial" w:eastAsia="Arial" w:hAnsi="Arial"/>
          <w:sz w:val="23"/>
          <w:szCs w:val="23"/>
          <w:color w:val="auto"/>
          <w:vertAlign w:val="superscript"/>
        </w:rPr>
        <w:t>®</w:t>
      </w:r>
      <w:r>
        <w:rPr>
          <w:rFonts w:ascii="Arial" w:cs="Arial" w:eastAsia="Arial" w:hAnsi="Arial"/>
          <w:sz w:val="18"/>
          <w:szCs w:val="18"/>
          <w:color w:val="auto"/>
        </w:rPr>
        <w:t>)</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is a global investment management leader offering retirement services, insurance solutions and asset management. The Principal offers businesses, individuals and institutional clients a wide range of financial products and services, including retirement, asset management and insurance through its diverse family of financial services companies. Founded in 1879 and a member of the FORTUNE 500</w:t>
      </w:r>
      <w:r>
        <w:rPr>
          <w:rFonts w:ascii="Arial" w:cs="Arial" w:eastAsia="Arial" w:hAnsi="Arial"/>
          <w:sz w:val="23"/>
          <w:szCs w:val="23"/>
          <w:color w:val="auto"/>
          <w:vertAlign w:val="superscript"/>
        </w:rPr>
        <w:t>®</w:t>
      </w:r>
      <w:r>
        <w:rPr>
          <w:rFonts w:ascii="Arial" w:cs="Arial" w:eastAsia="Arial" w:hAnsi="Arial"/>
          <w:sz w:val="18"/>
          <w:szCs w:val="18"/>
          <w:color w:val="auto"/>
        </w:rPr>
        <w:t>, the Principal Financial Group has $516.2 billion in assets under management</w:t>
      </w:r>
      <w:r>
        <w:rPr>
          <w:rFonts w:ascii="Arial" w:cs="Arial" w:eastAsia="Arial" w:hAnsi="Arial"/>
          <w:sz w:val="23"/>
          <w:szCs w:val="23"/>
          <w:color w:val="auto"/>
          <w:vertAlign w:val="superscript"/>
        </w:rPr>
        <w:t>2</w:t>
      </w:r>
      <w:r>
        <w:rPr>
          <w:rFonts w:ascii="Arial" w:cs="Arial" w:eastAsia="Arial" w:hAnsi="Arial"/>
          <w:sz w:val="18"/>
          <w:szCs w:val="18"/>
          <w:color w:val="auto"/>
        </w:rPr>
        <w:t xml:space="preserve"> and serves some 20.6 million customers worldwide from offices in Asia, Australia, Europe, Latin America and the United States. Principal Financial Group, Inc. is traded on the New York Stock Exchange under the ticker symbol PFG. For more information, visit www.principal.com.</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 # #</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w:t>
      </w:r>
    </w:p>
    <w:p>
      <w:pPr>
        <w:spacing w:after="0" w:line="59" w:lineRule="exact"/>
        <w:rPr>
          <w:sz w:val="20"/>
          <w:szCs w:val="20"/>
          <w:color w:val="auto"/>
        </w:rPr>
      </w:pPr>
    </w:p>
    <w:p>
      <w:pPr>
        <w:ind w:left="80" w:hanging="72"/>
        <w:spacing w:after="0"/>
        <w:tabs>
          <w:tab w:leader="none" w:pos="80" w:val="left"/>
        </w:tabs>
        <w:numPr>
          <w:ilvl w:val="0"/>
          <w:numId w:val="2"/>
        </w:numPr>
        <w:rPr>
          <w:rFonts w:ascii="Arial" w:cs="Arial" w:eastAsia="Arial" w:hAnsi="Arial"/>
          <w:sz w:val="9"/>
          <w:szCs w:val="9"/>
          <w:color w:val="auto"/>
        </w:rPr>
      </w:pPr>
      <w:r>
        <w:rPr>
          <w:rFonts w:ascii="Arial" w:cs="Arial" w:eastAsia="Arial" w:hAnsi="Arial"/>
          <w:sz w:val="14"/>
          <w:szCs w:val="14"/>
          <w:color w:val="auto"/>
        </w:rPr>
        <w:t>“The Principal Financial Group” and “The Principal” are registered service marks of Principal Financial Services, Inc., a member of the Principal Financial Group.</w:t>
      </w:r>
    </w:p>
    <w:p>
      <w:pPr>
        <w:spacing w:after="0" w:line="13" w:lineRule="exact"/>
        <w:rPr>
          <w:rFonts w:ascii="Arial" w:cs="Arial" w:eastAsia="Arial" w:hAnsi="Arial"/>
          <w:sz w:val="9"/>
          <w:szCs w:val="9"/>
          <w:color w:val="auto"/>
        </w:rPr>
      </w:pPr>
    </w:p>
    <w:p>
      <w:pPr>
        <w:spacing w:after="0"/>
        <w:rPr>
          <w:rFonts w:ascii="Arial" w:cs="Arial" w:eastAsia="Arial" w:hAnsi="Arial"/>
          <w:sz w:val="9"/>
          <w:szCs w:val="9"/>
          <w:color w:val="auto"/>
        </w:rPr>
      </w:pPr>
      <w:r>
        <w:rPr>
          <w:rFonts w:ascii="Arial" w:cs="Arial" w:eastAsia="Arial" w:hAnsi="Arial"/>
          <w:sz w:val="9"/>
          <w:szCs w:val="9"/>
          <w:color w:val="auto"/>
        </w:rPr>
        <w:t xml:space="preserve">2 </w:t>
      </w:r>
      <w:r>
        <w:rPr>
          <w:rFonts w:ascii="Arial" w:cs="Arial" w:eastAsia="Arial" w:hAnsi="Arial"/>
          <w:sz w:val="14"/>
          <w:szCs w:val="14"/>
          <w:color w:val="auto"/>
        </w:rPr>
        <w:t>As of Sept. 30, 2015.</w:t>
      </w:r>
    </w:p>
    <w:sectPr>
      <w:pgSz w:w="11900" w:h="16838" w:orient="portrait"/>
      <w:cols w:equalWidth="0" w:num="1">
        <w:col w:w="11420"/>
      </w:cols>
      <w:pgMar w:left="240" w:top="375"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2020-01-25T10:16:50Z</dcterms:created>
  <dcterms:modified xsi:type="dcterms:W3CDTF">2020-01-25T10:16:50Z</dcterms:modified>
</cp:coreProperties>
</file>