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29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April 15, 2015</w:t>
      </w:r>
    </w:p>
    <w:p>
      <w:pPr>
        <w:spacing w:after="0" w:line="2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tabs>
          <w:tab w:leader="none" w:pos="104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104" w:lineRule="exact"/>
        <w:rPr>
          <w:sz w:val="20"/>
          <w:szCs w:val="20"/>
          <w:color w:val="auto"/>
        </w:rPr>
      </w:pPr>
    </w:p>
    <w:p>
      <w:pPr>
        <w:spacing w:after="0" w:line="297" w:lineRule="auto"/>
        <w:rPr>
          <w:sz w:val="20"/>
          <w:szCs w:val="20"/>
          <w:color w:val="auto"/>
        </w:rPr>
      </w:pPr>
      <w:r>
        <w:rPr>
          <w:rFonts w:ascii="Arial" w:cs="Arial" w:eastAsia="Arial" w:hAnsi="Arial"/>
          <w:sz w:val="19"/>
          <w:szCs w:val="19"/>
          <w:color w:val="auto"/>
        </w:rPr>
        <w:t>This report is filed quarterly to disclose assets under management (“AUM”) by asset manager, prior to the availability of Principal Financial Group, Inc's (the "Company") quarterly earnings release. The amounts presented herein will be consistent with the format of AUM by asset manager and presented again in such format within the Company's financial supplement for the quarter ended March 31, 2015 when that document is posted to the Company's investor relations web site on or about April 23, 2015. AUM may include assets managed directly and pursuant to dual employment agreements among affiliated companies.</w:t>
      </w:r>
    </w:p>
    <w:p>
      <w:pPr>
        <w:spacing w:after="0" w:line="93" w:lineRule="exact"/>
        <w:rPr>
          <w:sz w:val="20"/>
          <w:szCs w:val="20"/>
          <w:color w:val="auto"/>
        </w:rPr>
      </w:pPr>
    </w:p>
    <w:p>
      <w:pPr>
        <w:ind w:right="580"/>
        <w:spacing w:after="0" w:line="263" w:lineRule="auto"/>
        <w:rPr>
          <w:sz w:val="20"/>
          <w:szCs w:val="20"/>
          <w:color w:val="auto"/>
        </w:rPr>
      </w:pPr>
      <w:r>
        <w:rPr>
          <w:rFonts w:ascii="Arial" w:cs="Arial" w:eastAsia="Arial" w:hAnsi="Arial"/>
          <w:sz w:val="22"/>
          <w:szCs w:val="22"/>
          <w:color w:val="auto"/>
        </w:rPr>
        <w:t>As of March 31, 2015, the assets under management by asset manager were $324.2 billion for Principal Global Investors and $107.6 billion for Principal International.</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SIGNATURE</w:t>
      </w:r>
    </w:p>
    <w:p>
      <w:pPr>
        <w:spacing w:after="0" w:line="280"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85" w:lineRule="exact"/>
        <w:rPr>
          <w:sz w:val="20"/>
          <w:szCs w:val="20"/>
          <w:color w:val="auto"/>
        </w:rPr>
      </w:pPr>
    </w:p>
    <w:p>
      <w:pPr>
        <w:jc w:val="center"/>
        <w:ind w:left="360"/>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242" w:lineRule="exact"/>
        <w:rPr>
          <w:sz w:val="20"/>
          <w:szCs w:val="20"/>
          <w:color w:val="auto"/>
        </w:rPr>
      </w:pPr>
    </w:p>
    <w:p>
      <w:pPr>
        <w:ind w:left="3980"/>
        <w:spacing w:after="0"/>
        <w:tabs>
          <w:tab w:leader="none" w:pos="46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-17780</wp:posOffset>
            </wp:positionV>
            <wp:extent cx="10140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spacing w:after="0" w:line="2"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Name: John Egan</w:t>
      </w:r>
    </w:p>
    <w:p>
      <w:pPr>
        <w:spacing w:after="0" w:line="4" w:lineRule="exact"/>
        <w:rPr>
          <w:sz w:val="20"/>
          <w:szCs w:val="20"/>
          <w:color w:val="auto"/>
        </w:rPr>
      </w:pPr>
    </w:p>
    <w:p>
      <w:pPr>
        <w:ind w:left="3960"/>
        <w:spacing w:after="0"/>
        <w:tabs>
          <w:tab w:leader="none" w:pos="460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Vice President - Investor Relations</w:t>
      </w:r>
    </w:p>
    <w:p>
      <w:pPr>
        <w:spacing w:after="0" w:line="242"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April 15, 2015</w:t>
      </w:r>
    </w:p>
    <w:sectPr>
      <w:pgSz w:w="11900" w:h="16838" w:orient="portrait"/>
      <w:cols w:equalWidth="0" w:num="1">
        <w:col w:w="11400"/>
      </w:cols>
      <w:pgMar w:left="240" w:top="585"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2020-01-23T04:23:12Z</dcterms:created>
  <dcterms:modified xsi:type="dcterms:W3CDTF">2020-01-23T04:23:12Z</dcterms:modified>
</cp:coreProperties>
</file>