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spacing w:after="0" w:line="26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01"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FORM 8-K</w:t>
      </w:r>
    </w:p>
    <w:p>
      <w:pPr>
        <w:spacing w:after="0" w:line="200" w:lineRule="exact"/>
        <w:rPr>
          <w:sz w:val="24"/>
          <w:szCs w:val="24"/>
          <w:color w:val="auto"/>
        </w:rPr>
      </w:pPr>
    </w:p>
    <w:p>
      <w:pPr>
        <w:spacing w:after="0" w:line="295"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ind w:left="4300"/>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March 18, 2015</w:t>
      </w:r>
    </w:p>
    <w:p>
      <w:pPr>
        <w:spacing w:after="0" w:line="28" w:lineRule="exact"/>
        <w:rPr>
          <w:sz w:val="24"/>
          <w:szCs w:val="24"/>
          <w:color w:val="auto"/>
        </w:rPr>
      </w:pPr>
    </w:p>
    <w:p>
      <w:pPr>
        <w:ind w:left="4340"/>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315"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PRINCIPAL FINANCIAL GROUP, INC.</w:t>
      </w:r>
    </w:p>
    <w:p>
      <w:pPr>
        <w:spacing w:after="0" w:line="4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75" w:lineRule="exact"/>
        <w:rPr>
          <w:sz w:val="24"/>
          <w:szCs w:val="24"/>
          <w:color w:val="auto"/>
        </w:rPr>
      </w:pPr>
    </w:p>
    <w:tbl>
      <w:tblPr>
        <w:tblLayout w:type="fixed"/>
        <w:tblInd w:w="2660" w:type="dxa"/>
        <w:tblCellMar>
          <w:top w:w="0" w:type="dxa"/>
          <w:left w:w="0" w:type="dxa"/>
          <w:bottom w:w="0" w:type="dxa"/>
          <w:right w:w="0" w:type="dxa"/>
        </w:tblCellMar>
      </w:tblPr>
      <w:tr>
        <w:trPr>
          <w:trHeight w:val="234"/>
        </w:trPr>
        <w:tc>
          <w:tcPr>
            <w:tcW w:w="210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jc w:val="right"/>
              <w:ind w:right="730"/>
              <w:spacing w:after="0"/>
              <w:rPr>
                <w:sz w:val="20"/>
                <w:szCs w:val="20"/>
                <w:color w:val="auto"/>
              </w:rPr>
            </w:pPr>
            <w:r>
              <w:rPr>
                <w:rFonts w:ascii="Arial" w:cs="Arial" w:eastAsia="Arial" w:hAnsi="Arial"/>
                <w:sz w:val="18"/>
                <w:szCs w:val="18"/>
                <w:b w:val="1"/>
                <w:bCs w:val="1"/>
                <w:color w:val="auto"/>
              </w:rPr>
              <w:t>1-16725</w:t>
            </w:r>
          </w:p>
        </w:tc>
        <w:tc>
          <w:tcPr>
            <w:tcW w:w="182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42-1520346</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2"/>
              </w:rPr>
              <w:t>(State or other jurisdiction</w:t>
            </w:r>
          </w:p>
        </w:tc>
        <w:tc>
          <w:tcPr>
            <w:tcW w:w="2260" w:type="dxa"/>
            <w:vAlign w:val="bottom"/>
          </w:tcPr>
          <w:p>
            <w:pPr>
              <w:jc w:val="center"/>
              <w:spacing w:after="0"/>
              <w:rPr>
                <w:sz w:val="20"/>
                <w:szCs w:val="20"/>
                <w:color w:val="auto"/>
              </w:rPr>
            </w:pPr>
            <w:r>
              <w:rPr>
                <w:rFonts w:ascii="Arial" w:cs="Arial" w:eastAsia="Arial" w:hAnsi="Arial"/>
                <w:sz w:val="18"/>
                <w:szCs w:val="18"/>
                <w:color w:val="auto"/>
                <w:w w:val="93"/>
              </w:rPr>
              <w:t>(Commission file number)</w:t>
            </w:r>
          </w:p>
        </w:tc>
        <w:tc>
          <w:tcPr>
            <w:tcW w:w="1820" w:type="dxa"/>
            <w:vAlign w:val="bottom"/>
          </w:tcPr>
          <w:p>
            <w:pPr>
              <w:jc w:val="center"/>
              <w:ind w:left="50"/>
              <w:spacing w:after="0"/>
              <w:rPr>
                <w:sz w:val="20"/>
                <w:szCs w:val="20"/>
                <w:color w:val="auto"/>
              </w:rPr>
            </w:pPr>
            <w:r>
              <w:rPr>
                <w:rFonts w:ascii="Arial" w:cs="Arial" w:eastAsia="Arial" w:hAnsi="Arial"/>
                <w:sz w:val="18"/>
                <w:szCs w:val="18"/>
                <w:color w:val="auto"/>
                <w:w w:val="93"/>
              </w:rPr>
              <w:t>(I.R.S. Employer</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3"/>
              </w:rPr>
              <w:t>of incorporation)</w:t>
            </w:r>
          </w:p>
        </w:tc>
        <w:tc>
          <w:tcPr>
            <w:tcW w:w="2260" w:type="dxa"/>
            <w:vAlign w:val="bottom"/>
          </w:tcPr>
          <w:p>
            <w:pPr>
              <w:spacing w:after="0"/>
              <w:rPr>
                <w:sz w:val="23"/>
                <w:szCs w:val="23"/>
                <w:color w:val="auto"/>
              </w:rPr>
            </w:pPr>
          </w:p>
        </w:tc>
        <w:tc>
          <w:tcPr>
            <w:tcW w:w="1820" w:type="dxa"/>
            <w:vAlign w:val="bottom"/>
          </w:tcPr>
          <w:p>
            <w:pPr>
              <w:jc w:val="center"/>
              <w:ind w:left="70"/>
              <w:spacing w:after="0"/>
              <w:rPr>
                <w:sz w:val="20"/>
                <w:szCs w:val="20"/>
                <w:color w:val="auto"/>
              </w:rPr>
            </w:pPr>
            <w:r>
              <w:rPr>
                <w:rFonts w:ascii="Arial" w:cs="Arial" w:eastAsia="Arial" w:hAnsi="Arial"/>
                <w:sz w:val="18"/>
                <w:szCs w:val="18"/>
                <w:color w:val="auto"/>
                <w:w w:val="94"/>
              </w:rPr>
              <w:t>Identification Number)</w:t>
            </w:r>
          </w:p>
        </w:tc>
      </w:tr>
    </w:tbl>
    <w:p>
      <w:pPr>
        <w:spacing w:after="0" w:line="200" w:lineRule="exact"/>
        <w:rPr>
          <w:sz w:val="24"/>
          <w:szCs w:val="24"/>
          <w:color w:val="auto"/>
        </w:rPr>
      </w:pPr>
    </w:p>
    <w:p>
      <w:pPr>
        <w:spacing w:after="0" w:line="30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279" w:lineRule="exact"/>
        <w:rPr>
          <w:sz w:val="24"/>
          <w:szCs w:val="24"/>
          <w:color w:val="auto"/>
        </w:rPr>
      </w:pPr>
    </w:p>
    <w:p>
      <w:pPr>
        <w:spacing w:after="0" w:line="30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6"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36" w:lineRule="exact"/>
        <w:rPr>
          <w:rFonts w:ascii="Arial" w:cs="Arial" w:eastAsia="Arial" w:hAnsi="Arial"/>
          <w:sz w:val="18"/>
          <w:szCs w:val="18"/>
          <w:color w:val="auto"/>
        </w:rPr>
      </w:pPr>
    </w:p>
    <w:p>
      <w:pPr>
        <w:ind w:left="660" w:right="3920" w:hanging="652"/>
        <w:spacing w:after="0" w:line="281"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1" w:lineRule="exact"/>
        <w:rPr>
          <w:rFonts w:ascii="Arial" w:cs="Arial" w:eastAsia="Arial" w:hAnsi="Arial"/>
          <w:sz w:val="18"/>
          <w:szCs w:val="18"/>
          <w:color w:val="auto"/>
        </w:rPr>
      </w:pPr>
    </w:p>
    <w:p>
      <w:pPr>
        <w:ind w:left="660" w:right="3940" w:hanging="652"/>
        <w:spacing w:after="0" w:line="309"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140" w:lineRule="exact"/>
        <w:rPr>
          <w:sz w:val="24"/>
          <w:szCs w:val="24"/>
          <w:color w:val="auto"/>
        </w:rPr>
      </w:pPr>
    </w:p>
    <w:p>
      <w:pPr>
        <w:ind w:left="4820"/>
        <w:spacing w:after="0"/>
        <w:rPr>
          <w:sz w:val="20"/>
          <w:szCs w:val="20"/>
          <w:color w:val="auto"/>
        </w:rPr>
      </w:pPr>
      <w:r>
        <w:rPr>
          <w:rFonts w:ascii="Arial" w:cs="Arial" w:eastAsia="Arial" w:hAnsi="Arial"/>
          <w:sz w:val="20"/>
          <w:szCs w:val="20"/>
          <w:color w:val="auto"/>
        </w:rPr>
        <w:t>__________________</w:t>
      </w:r>
    </w:p>
    <w:p>
      <w:pPr>
        <w:sectPr>
          <w:pgSz w:w="11900" w:h="16838" w:orient="portrait"/>
          <w:cols w:equalWidth="0" w:num="1">
            <w:col w:w="11300"/>
          </w:cols>
          <w:pgMar w:left="240" w:top="747" w:right="359" w:bottom="1440" w:gutter="0" w:footer="0" w:header="0"/>
        </w:sectPr>
      </w:pPr>
    </w:p>
    <w:bookmarkStart w:id="1" w:name="page2"/>
    <w:bookmarkEnd w:id="1"/>
    <w:p>
      <w:pPr>
        <w:spacing w:after="0"/>
        <w:tabs>
          <w:tab w:leader="none" w:pos="1040" w:val="left"/>
        </w:tabs>
        <w:rPr>
          <w:sz w:val="20"/>
          <w:szCs w:val="20"/>
          <w:color w:val="auto"/>
        </w:rPr>
      </w:pPr>
      <w:r>
        <w:rPr>
          <w:rFonts w:ascii="Arial" w:cs="Arial" w:eastAsia="Arial" w:hAnsi="Arial"/>
          <w:sz w:val="22"/>
          <w:szCs w:val="22"/>
          <w:b w:val="1"/>
          <w:bCs w:val="1"/>
          <w:color w:val="auto"/>
        </w:rPr>
        <w:t>Item 5.02</w:t>
      </w:r>
      <w:r>
        <w:rPr>
          <w:sz w:val="20"/>
          <w:szCs w:val="20"/>
          <w:color w:val="auto"/>
        </w:rPr>
        <w:tab/>
      </w:r>
      <w:r>
        <w:rPr>
          <w:rFonts w:ascii="Arial" w:cs="Arial" w:eastAsia="Arial" w:hAnsi="Arial"/>
          <w:sz w:val="19"/>
          <w:szCs w:val="19"/>
          <w:b w:val="1"/>
          <w:bCs w:val="1"/>
          <w:color w:val="auto"/>
        </w:rPr>
        <w:t>Departure of Directors or Principal Officers; Election of Directors; Appointment of Principal Officers</w:t>
      </w:r>
    </w:p>
    <w:p>
      <w:pPr>
        <w:spacing w:after="0" w:line="280" w:lineRule="exact"/>
        <w:rPr>
          <w:sz w:val="20"/>
          <w:szCs w:val="20"/>
          <w:color w:val="auto"/>
        </w:rPr>
      </w:pPr>
    </w:p>
    <w:p>
      <w:pPr>
        <w:ind w:left="340" w:right="80" w:hanging="332"/>
        <w:spacing w:after="0" w:line="248" w:lineRule="auto"/>
        <w:tabs>
          <w:tab w:leader="none" w:pos="322" w:val="left"/>
        </w:tabs>
        <w:numPr>
          <w:ilvl w:val="0"/>
          <w:numId w:val="2"/>
        </w:numPr>
        <w:rPr>
          <w:rFonts w:ascii="Arial" w:cs="Arial" w:eastAsia="Arial" w:hAnsi="Arial"/>
          <w:sz w:val="22"/>
          <w:szCs w:val="22"/>
          <w:color w:val="auto"/>
        </w:rPr>
      </w:pPr>
      <w:r>
        <w:rPr>
          <w:rFonts w:ascii="Arial" w:cs="Arial" w:eastAsia="Arial" w:hAnsi="Arial"/>
          <w:sz w:val="22"/>
          <w:szCs w:val="22"/>
          <w:color w:val="auto"/>
        </w:rPr>
        <w:t>On March 18, 2015, the Board of Directors of Principal Financial Group, Inc. (the “Company”) elected Roger C. Hochschild as a new director of the Company and of Principal Life Insurance Company, effective immediately. There is no arrangement or understanding between Mr. Hochschild and any other person pursuant to which Mr. Hochschild was selected as a director. Mr. Hochschild has no material interest in any prior, existing or proposed transaction or series of transactions with the Company or its management.</w:t>
      </w:r>
    </w:p>
    <w:p>
      <w:pPr>
        <w:spacing w:after="0" w:line="192" w:lineRule="exact"/>
        <w:rPr>
          <w:rFonts w:ascii="Arial" w:cs="Arial" w:eastAsia="Arial" w:hAnsi="Arial"/>
          <w:sz w:val="22"/>
          <w:szCs w:val="22"/>
          <w:color w:val="auto"/>
        </w:rPr>
      </w:pPr>
    </w:p>
    <w:p>
      <w:pPr>
        <w:ind w:left="340"/>
        <w:spacing w:after="0" w:line="294" w:lineRule="auto"/>
        <w:rPr>
          <w:rFonts w:ascii="Arial" w:cs="Arial" w:eastAsia="Arial" w:hAnsi="Arial"/>
          <w:sz w:val="22"/>
          <w:szCs w:val="22"/>
          <w:color w:val="auto"/>
        </w:rPr>
      </w:pPr>
      <w:r>
        <w:rPr>
          <w:rFonts w:ascii="Arial" w:cs="Arial" w:eastAsia="Arial" w:hAnsi="Arial"/>
          <w:sz w:val="19"/>
          <w:szCs w:val="19"/>
          <w:color w:val="auto"/>
        </w:rPr>
        <w:t>Effective with the next regularly scheduled meetings to be held in May, Mr. Hochschild will serve as a member of the Audit and Human Resources Committees of the Board of Directors. Mr. Hochschild’s compensation as a non-employee director will be consistent with that provided to all Company non-employee directors, as described in the Company’s most recent proxy statement filed with the Securities and Exchange Commission. Pursuant to the established compensation program for non-employee directors, Mr. Hochschild will receive a pro-rated grant of Company restricted stock units which will be determined based upon the closing price of Company stock on April 1, 2015, the effective date of the grant.</w:t>
      </w:r>
    </w:p>
    <w:p>
      <w:pPr>
        <w:spacing w:after="0" w:line="150" w:lineRule="exact"/>
        <w:rPr>
          <w:sz w:val="20"/>
          <w:szCs w:val="20"/>
          <w:color w:val="auto"/>
        </w:rPr>
      </w:pPr>
    </w:p>
    <w:p>
      <w:pPr>
        <w:ind w:left="340"/>
        <w:spacing w:after="0"/>
        <w:rPr>
          <w:sz w:val="20"/>
          <w:szCs w:val="20"/>
          <w:color w:val="auto"/>
        </w:rPr>
      </w:pPr>
      <w:r>
        <w:rPr>
          <w:rFonts w:ascii="Arial" w:cs="Arial" w:eastAsia="Arial" w:hAnsi="Arial"/>
          <w:sz w:val="22"/>
          <w:szCs w:val="22"/>
          <w:color w:val="auto"/>
        </w:rPr>
        <w:t>A press release announcing Mr. Hochschild’s election is included herewith as Exhibit 99.</w:t>
      </w:r>
    </w:p>
    <w:p>
      <w:pPr>
        <w:spacing w:after="0" w:line="214" w:lineRule="exact"/>
        <w:rPr>
          <w:sz w:val="20"/>
          <w:szCs w:val="20"/>
          <w:color w:val="auto"/>
        </w:rPr>
      </w:pPr>
    </w:p>
    <w:p>
      <w:pPr>
        <w:spacing w:after="0"/>
        <w:tabs>
          <w:tab w:leader="none" w:pos="1040" w:val="left"/>
        </w:tabs>
        <w:rPr>
          <w:sz w:val="20"/>
          <w:szCs w:val="20"/>
          <w:color w:val="auto"/>
        </w:rPr>
      </w:pPr>
      <w:r>
        <w:rPr>
          <w:rFonts w:ascii="Arial" w:cs="Arial" w:eastAsia="Arial" w:hAnsi="Arial"/>
          <w:sz w:val="22"/>
          <w:szCs w:val="22"/>
          <w:b w:val="1"/>
          <w:bCs w:val="1"/>
          <w:color w:val="auto"/>
        </w:rPr>
        <w:t>Item 9.01</w:t>
      </w:r>
      <w:r>
        <w:rPr>
          <w:sz w:val="20"/>
          <w:szCs w:val="20"/>
          <w:color w:val="auto"/>
        </w:rPr>
        <w:tab/>
      </w:r>
      <w:r>
        <w:rPr>
          <w:rFonts w:ascii="Arial" w:cs="Arial" w:eastAsia="Arial" w:hAnsi="Arial"/>
          <w:sz w:val="19"/>
          <w:szCs w:val="19"/>
          <w:b w:val="1"/>
          <w:bCs w:val="1"/>
          <w:color w:val="auto"/>
        </w:rPr>
        <w:t>Financial Statements and Exhibits</w:t>
      </w:r>
    </w:p>
    <w:p>
      <w:pPr>
        <w:spacing w:after="0" w:line="239" w:lineRule="exact"/>
        <w:rPr>
          <w:sz w:val="20"/>
          <w:szCs w:val="20"/>
          <w:color w:val="auto"/>
        </w:rPr>
      </w:pPr>
    </w:p>
    <w:p>
      <w:pPr>
        <w:spacing w:after="0"/>
        <w:tabs>
          <w:tab w:leader="none" w:pos="1280" w:val="left"/>
        </w:tabs>
        <w:rPr>
          <w:sz w:val="20"/>
          <w:szCs w:val="20"/>
          <w:color w:val="auto"/>
        </w:rPr>
      </w:pPr>
      <w:r>
        <w:rPr>
          <w:rFonts w:ascii="Arial" w:cs="Arial" w:eastAsia="Arial" w:hAnsi="Arial"/>
          <w:sz w:val="22"/>
          <w:szCs w:val="22"/>
          <w:color w:val="auto"/>
        </w:rPr>
        <w:t>Exhibit 99</w:t>
      </w:r>
      <w:r>
        <w:rPr>
          <w:sz w:val="20"/>
          <w:szCs w:val="20"/>
          <w:color w:val="auto"/>
        </w:rPr>
        <w:tab/>
      </w:r>
      <w:r>
        <w:rPr>
          <w:rFonts w:ascii="Arial" w:cs="Arial" w:eastAsia="Arial" w:hAnsi="Arial"/>
          <w:sz w:val="19"/>
          <w:szCs w:val="19"/>
          <w:color w:val="auto"/>
        </w:rPr>
        <w:t>Press Release Concerning Election of Roger C. Hochschild, dated March 20,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3980"/>
        <w:spacing w:after="0"/>
        <w:rPr>
          <w:sz w:val="20"/>
          <w:szCs w:val="20"/>
          <w:color w:val="auto"/>
        </w:rPr>
      </w:pPr>
      <w:r>
        <w:rPr>
          <w:rFonts w:ascii="Arial" w:cs="Arial" w:eastAsia="Arial" w:hAnsi="Arial"/>
          <w:sz w:val="22"/>
          <w:szCs w:val="22"/>
          <w:b w:val="1"/>
          <w:bCs w:val="1"/>
          <w:color w:val="auto"/>
        </w:rPr>
        <w:t>SIGNATURE</w:t>
      </w:r>
    </w:p>
    <w:p>
      <w:pPr>
        <w:spacing w:after="0" w:line="280" w:lineRule="exact"/>
        <w:rPr>
          <w:sz w:val="20"/>
          <w:szCs w:val="20"/>
          <w:color w:val="auto"/>
        </w:rPr>
      </w:pPr>
    </w:p>
    <w:p>
      <w:pPr>
        <w:ind w:right="20"/>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385" w:lineRule="exact"/>
        <w:rPr>
          <w:sz w:val="20"/>
          <w:szCs w:val="20"/>
          <w:color w:val="auto"/>
        </w:rPr>
      </w:pPr>
    </w:p>
    <w:p>
      <w:pPr>
        <w:jc w:val="center"/>
        <w:ind w:left="380"/>
        <w:spacing w:after="0"/>
        <w:rPr>
          <w:sz w:val="20"/>
          <w:szCs w:val="20"/>
          <w:color w:val="auto"/>
        </w:rPr>
      </w:pPr>
      <w:r>
        <w:rPr>
          <w:rFonts w:ascii="Arial" w:cs="Arial" w:eastAsia="Arial" w:hAnsi="Arial"/>
          <w:sz w:val="22"/>
          <w:szCs w:val="22"/>
          <w:b w:val="1"/>
          <w:bCs w:val="1"/>
          <w:color w:val="auto"/>
        </w:rPr>
        <w:t>PRINCIPAL FINANCIAL GROUP, INC.</w:t>
      </w:r>
    </w:p>
    <w:p>
      <w:pPr>
        <w:spacing w:after="0" w:line="200" w:lineRule="exact"/>
        <w:rPr>
          <w:sz w:val="20"/>
          <w:szCs w:val="20"/>
          <w:color w:val="auto"/>
        </w:rPr>
      </w:pPr>
    </w:p>
    <w:p>
      <w:pPr>
        <w:spacing w:after="0" w:line="242" w:lineRule="exact"/>
        <w:rPr>
          <w:sz w:val="20"/>
          <w:szCs w:val="20"/>
          <w:color w:val="auto"/>
        </w:rPr>
      </w:pPr>
    </w:p>
    <w:p>
      <w:pPr>
        <w:ind w:left="3980"/>
        <w:spacing w:after="0"/>
        <w:tabs>
          <w:tab w:leader="none" w:pos="4600" w:val="left"/>
        </w:tabs>
        <w:rPr>
          <w:sz w:val="20"/>
          <w:szCs w:val="20"/>
          <w:color w:val="auto"/>
        </w:rPr>
      </w:pPr>
      <w:r>
        <w:rPr>
          <w:rFonts w:ascii="Arial" w:cs="Arial" w:eastAsia="Arial" w:hAnsi="Arial"/>
          <w:sz w:val="22"/>
          <w:szCs w:val="22"/>
          <w:color w:val="auto"/>
        </w:rPr>
        <w:t>By:</w:t>
        <w:tab/>
        <w:t>/s/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2938145</wp:posOffset>
            </wp:positionH>
            <wp:positionV relativeFrom="paragraph">
              <wp:posOffset>-17780</wp:posOffset>
            </wp:positionV>
            <wp:extent cx="12547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54760" cy="8890"/>
                    </a:xfrm>
                    <a:prstGeom prst="rect">
                      <a:avLst/>
                    </a:prstGeom>
                    <a:noFill/>
                  </pic:spPr>
                </pic:pic>
              </a:graphicData>
            </a:graphic>
          </wp:anchor>
        </w:drawing>
      </w:r>
    </w:p>
    <w:p>
      <w:pPr>
        <w:spacing w:after="0" w:line="2" w:lineRule="exact"/>
        <w:rPr>
          <w:sz w:val="20"/>
          <w:szCs w:val="20"/>
          <w:color w:val="auto"/>
        </w:rPr>
      </w:pPr>
    </w:p>
    <w:p>
      <w:pPr>
        <w:ind w:left="3980"/>
        <w:spacing w:after="0"/>
        <w:rPr>
          <w:sz w:val="20"/>
          <w:szCs w:val="20"/>
          <w:color w:val="auto"/>
        </w:rPr>
      </w:pPr>
      <w:r>
        <w:rPr>
          <w:rFonts w:ascii="Arial" w:cs="Arial" w:eastAsia="Arial" w:hAnsi="Arial"/>
          <w:sz w:val="22"/>
          <w:szCs w:val="22"/>
          <w:color w:val="auto"/>
        </w:rPr>
        <w:t>Name: Karen E. Shaff</w:t>
      </w:r>
    </w:p>
    <w:p>
      <w:pPr>
        <w:spacing w:after="0" w:line="4" w:lineRule="exact"/>
        <w:rPr>
          <w:sz w:val="20"/>
          <w:szCs w:val="20"/>
          <w:color w:val="auto"/>
        </w:rPr>
      </w:pPr>
    </w:p>
    <w:p>
      <w:pPr>
        <w:ind w:left="3960"/>
        <w:spacing w:after="0"/>
        <w:tabs>
          <w:tab w:leader="none" w:pos="460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9"/>
          <w:szCs w:val="19"/>
          <w:color w:val="auto"/>
        </w:rPr>
        <w:t>Executive Vice President, General Counsel</w:t>
      </w:r>
    </w:p>
    <w:p>
      <w:pPr>
        <w:spacing w:after="0" w:line="4" w:lineRule="exact"/>
        <w:rPr>
          <w:sz w:val="20"/>
          <w:szCs w:val="20"/>
          <w:color w:val="auto"/>
        </w:rPr>
      </w:pPr>
    </w:p>
    <w:p>
      <w:pPr>
        <w:ind w:left="5260"/>
        <w:spacing w:after="0"/>
        <w:rPr>
          <w:sz w:val="20"/>
          <w:szCs w:val="20"/>
          <w:color w:val="auto"/>
        </w:rPr>
      </w:pPr>
      <w:r>
        <w:rPr>
          <w:rFonts w:ascii="Arial" w:cs="Arial" w:eastAsia="Arial" w:hAnsi="Arial"/>
          <w:sz w:val="22"/>
          <w:szCs w:val="22"/>
          <w:color w:val="auto"/>
        </w:rPr>
        <w:t>and Secretary</w:t>
      </w:r>
    </w:p>
    <w:p>
      <w:pPr>
        <w:spacing w:after="0" w:line="242" w:lineRule="exact"/>
        <w:rPr>
          <w:sz w:val="20"/>
          <w:szCs w:val="20"/>
          <w:color w:val="auto"/>
        </w:rPr>
      </w:pPr>
    </w:p>
    <w:p>
      <w:pPr>
        <w:spacing w:after="0"/>
        <w:tabs>
          <w:tab w:leader="none" w:pos="64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March 20, 2015</w:t>
      </w:r>
    </w:p>
    <w:p>
      <w:pPr>
        <w:sectPr>
          <w:pgSz w:w="11900" w:h="16838" w:orient="portrait"/>
          <w:cols w:equalWidth="0" w:num="1">
            <w:col w:w="11420"/>
          </w:cols>
          <w:pgMar w:left="240" w:top="585" w:right="239" w:bottom="1440" w:gutter="0" w:footer="0" w:header="0"/>
        </w:sectPr>
      </w:pPr>
    </w:p>
    <w:bookmarkStart w:id="2" w:name="page3"/>
    <w:bookmarkEnd w:id="2"/>
    <w:p>
      <w:pPr>
        <w:ind w:left="7140"/>
        <w:spacing w:after="0"/>
        <w:rPr>
          <w:sz w:val="20"/>
          <w:szCs w:val="20"/>
          <w:color w:val="auto"/>
        </w:rPr>
      </w:pPr>
      <w:r>
        <w:rPr>
          <w:rFonts w:ascii="Arial" w:cs="Arial" w:eastAsia="Arial" w:hAnsi="Arial"/>
          <w:sz w:val="20"/>
          <w:szCs w:val="20"/>
          <w:b w:val="1"/>
          <w:bCs w:val="1"/>
          <w:color w:val="auto"/>
        </w:rPr>
        <w:t>EXHIBIT 99</w:t>
      </w:r>
    </w:p>
    <w:p>
      <w:pPr>
        <w:sectPr>
          <w:pgSz w:w="11900" w:h="16838" w:orient="portrait"/>
          <w:cols w:equalWidth="0" w:num="1">
            <w:col w:w="11400"/>
          </w:cols>
          <w:pgMar w:left="240" w:top="576" w:right="259" w:bottom="1440" w:gutter="0" w:footer="0" w:header="0"/>
        </w:sectPr>
      </w:pPr>
    </w:p>
    <w:p>
      <w:pPr>
        <w:spacing w:after="0" w:line="21" w:lineRule="exact"/>
        <w:rPr>
          <w:sz w:val="20"/>
          <w:szCs w:val="20"/>
          <w:color w:val="auto"/>
        </w:rPr>
      </w:pPr>
    </w:p>
    <w:p>
      <w:pPr>
        <w:spacing w:after="0"/>
        <w:rPr>
          <w:sz w:val="20"/>
          <w:szCs w:val="20"/>
          <w:color w:val="auto"/>
        </w:rPr>
      </w:pPr>
      <w:r>
        <w:rPr>
          <w:rFonts w:ascii="Arial" w:cs="Arial" w:eastAsia="Arial" w:hAnsi="Arial"/>
          <w:sz w:val="20"/>
          <w:szCs w:val="20"/>
          <w:color w:val="auto"/>
        </w:rPr>
        <w:t>Release:</w:t>
      </w:r>
    </w:p>
    <w:p>
      <w:pPr>
        <w:spacing w:after="0"/>
        <w:rPr>
          <w:sz w:val="20"/>
          <w:szCs w:val="20"/>
          <w:color w:val="auto"/>
        </w:rPr>
      </w:pPr>
      <w:r>
        <w:rPr>
          <w:rFonts w:ascii="Arial" w:cs="Arial" w:eastAsia="Arial" w:hAnsi="Arial"/>
          <w:sz w:val="18"/>
          <w:szCs w:val="18"/>
          <w:color w:val="auto"/>
        </w:rPr>
        <w:t>Media contact:</w:t>
      </w:r>
    </w:p>
    <w:p>
      <w:pPr>
        <w:spacing w:after="0" w:line="20" w:lineRule="exact"/>
        <w:rPr>
          <w:sz w:val="20"/>
          <w:szCs w:val="20"/>
          <w:color w:val="auto"/>
        </w:rPr>
      </w:pPr>
      <w:r>
        <w:rPr>
          <w:sz w:val="20"/>
          <w:szCs w:val="20"/>
          <w:color w:val="auto"/>
        </w:rPr>
        <w:br w:type="column"/>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March 20, 2015</w:t>
      </w:r>
    </w:p>
    <w:p>
      <w:pPr>
        <w:ind w:left="320"/>
        <w:spacing w:after="0"/>
        <w:rPr>
          <w:sz w:val="20"/>
          <w:szCs w:val="20"/>
          <w:color w:val="auto"/>
        </w:rPr>
      </w:pPr>
      <w:r>
        <w:rPr>
          <w:rFonts w:ascii="Arial" w:cs="Arial" w:eastAsia="Arial" w:hAnsi="Arial"/>
          <w:sz w:val="16"/>
          <w:szCs w:val="16"/>
          <w:color w:val="auto"/>
        </w:rPr>
        <w:t>Susan Houser, 515-248-2268, houser.susan@principal.com</w:t>
      </w:r>
    </w:p>
    <w:p>
      <w:pPr>
        <w:spacing w:after="0" w:line="49" w:lineRule="exact"/>
        <w:rPr>
          <w:sz w:val="20"/>
          <w:szCs w:val="20"/>
          <w:color w:val="auto"/>
        </w:rPr>
      </w:pPr>
    </w:p>
    <w:p>
      <w:pPr>
        <w:sectPr>
          <w:pgSz w:w="11900" w:h="16838" w:orient="portrait"/>
          <w:cols w:equalWidth="0" w:num="2">
            <w:col w:w="1180" w:space="140"/>
            <w:col w:w="10080"/>
          </w:cols>
          <w:pgMar w:left="240" w:top="576" w:right="259" w:bottom="1440" w:gutter="0" w:footer="0" w:header="0"/>
          <w:type w:val="continuous"/>
        </w:sectPr>
      </w:pPr>
    </w:p>
    <w:p>
      <w:pPr>
        <w:spacing w:after="0"/>
        <w:tabs>
          <w:tab w:leader="none" w:pos="1520" w:val="left"/>
        </w:tabs>
        <w:rPr>
          <w:sz w:val="20"/>
          <w:szCs w:val="20"/>
          <w:color w:val="auto"/>
        </w:rPr>
      </w:pPr>
      <w:r>
        <w:rPr>
          <w:rFonts w:ascii="Arial" w:cs="Arial" w:eastAsia="Arial" w:hAnsi="Arial"/>
          <w:sz w:val="20"/>
          <w:szCs w:val="20"/>
          <w:color w:val="auto"/>
        </w:rPr>
        <w:t>Investor contact:</w:t>
      </w:r>
      <w:r>
        <w:rPr>
          <w:sz w:val="20"/>
          <w:szCs w:val="20"/>
          <w:color w:val="auto"/>
        </w:rPr>
        <w:tab/>
      </w:r>
      <w:r>
        <w:rPr>
          <w:rFonts w:ascii="Arial" w:cs="Arial" w:eastAsia="Arial" w:hAnsi="Arial"/>
          <w:sz w:val="16"/>
          <w:szCs w:val="16"/>
          <w:color w:val="auto"/>
        </w:rPr>
        <w:t>John Egan, 515-235-9500, egan.john@principal.com</w:t>
      </w:r>
    </w:p>
    <w:p>
      <w:pPr>
        <w:spacing w:after="0" w:line="180" w:lineRule="exact"/>
        <w:rPr>
          <w:sz w:val="20"/>
          <w:szCs w:val="20"/>
          <w:color w:val="auto"/>
        </w:rPr>
      </w:pPr>
    </w:p>
    <w:p>
      <w:pPr>
        <w:jc w:val="center"/>
        <w:ind w:right="-39"/>
        <w:spacing w:after="0"/>
        <w:rPr>
          <w:sz w:val="20"/>
          <w:szCs w:val="20"/>
          <w:color w:val="auto"/>
        </w:rPr>
      </w:pPr>
      <w:r>
        <w:rPr>
          <w:rFonts w:ascii="Arial" w:cs="Arial" w:eastAsia="Arial" w:hAnsi="Arial"/>
          <w:sz w:val="29"/>
          <w:szCs w:val="29"/>
          <w:b w:val="1"/>
          <w:bCs w:val="1"/>
          <w:color w:val="auto"/>
        </w:rPr>
        <w:t>The Principal Financial Group Names Hochschild to Board of Directors</w:t>
      </w:r>
    </w:p>
    <w:p>
      <w:pPr>
        <w:spacing w:after="0" w:line="360" w:lineRule="exact"/>
        <w:rPr>
          <w:sz w:val="20"/>
          <w:szCs w:val="20"/>
          <w:color w:val="auto"/>
        </w:rPr>
      </w:pPr>
    </w:p>
    <w:p>
      <w:pPr>
        <w:ind w:right="760" w:firstLine="648"/>
        <w:spacing w:after="0" w:line="329" w:lineRule="auto"/>
        <w:rPr>
          <w:sz w:val="20"/>
          <w:szCs w:val="20"/>
          <w:color w:val="auto"/>
        </w:rPr>
      </w:pPr>
      <w:r>
        <w:rPr>
          <w:rFonts w:ascii="Arial" w:cs="Arial" w:eastAsia="Arial" w:hAnsi="Arial"/>
          <w:sz w:val="18"/>
          <w:szCs w:val="18"/>
          <w:color w:val="auto"/>
        </w:rPr>
        <w:t>(Des Moines, Iowa) - The Principal Financial Group</w:t>
      </w:r>
      <w:r>
        <w:rPr>
          <w:rFonts w:ascii="Arial" w:cs="Arial" w:eastAsia="Arial" w:hAnsi="Arial"/>
          <w:sz w:val="23"/>
          <w:szCs w:val="23"/>
          <w:color w:val="auto"/>
          <w:vertAlign w:val="superscript"/>
        </w:rPr>
        <w:t>®</w:t>
      </w:r>
      <w:r>
        <w:rPr>
          <w:rFonts w:ascii="Arial" w:cs="Arial" w:eastAsia="Arial" w:hAnsi="Arial"/>
          <w:sz w:val="18"/>
          <w:szCs w:val="18"/>
          <w:color w:val="auto"/>
        </w:rPr>
        <w:t xml:space="preserve"> (NYSE: PFG) announced that Roger C. Hochschild, president and chief operating officer for Discover Financial Services, has joined The Principal</w:t>
      </w:r>
      <w:r>
        <w:rPr>
          <w:rFonts w:ascii="Arial" w:cs="Arial" w:eastAsia="Arial" w:hAnsi="Arial"/>
          <w:sz w:val="23"/>
          <w:szCs w:val="23"/>
          <w:color w:val="auto"/>
          <w:vertAlign w:val="superscript"/>
        </w:rPr>
        <w:t>®</w:t>
      </w:r>
      <w:r>
        <w:rPr>
          <w:rFonts w:ascii="Arial" w:cs="Arial" w:eastAsia="Arial" w:hAnsi="Arial"/>
          <w:sz w:val="18"/>
          <w:szCs w:val="18"/>
          <w:color w:val="auto"/>
        </w:rPr>
        <w:t xml:space="preserve"> Board of Directors effective March 18, 2015.</w:t>
      </w:r>
    </w:p>
    <w:p>
      <w:pPr>
        <w:spacing w:after="0" w:line="2" w:lineRule="exact"/>
        <w:rPr>
          <w:sz w:val="20"/>
          <w:szCs w:val="20"/>
          <w:color w:val="auto"/>
        </w:rPr>
      </w:pPr>
    </w:p>
    <w:p>
      <w:pPr>
        <w:ind w:firstLine="648"/>
        <w:spacing w:after="0" w:line="352" w:lineRule="auto"/>
        <w:rPr>
          <w:sz w:val="20"/>
          <w:szCs w:val="20"/>
          <w:color w:val="auto"/>
        </w:rPr>
      </w:pPr>
      <w:r>
        <w:rPr>
          <w:rFonts w:ascii="Arial" w:cs="Arial" w:eastAsia="Arial" w:hAnsi="Arial"/>
          <w:sz w:val="20"/>
          <w:szCs w:val="20"/>
          <w:color w:val="auto"/>
        </w:rPr>
        <w:t>“Roger will be a valuable Board member for The Principal. His prior experience with wealth management at Morgan Stanley as well as his technology and consumer financial background from Discover fit very well with our overall strategy,” said Larry D. Zimpleman, chairman and CEO of The Principal.</w:t>
      </w:r>
    </w:p>
    <w:p>
      <w:pPr>
        <w:spacing w:after="0" w:line="1" w:lineRule="exact"/>
        <w:rPr>
          <w:sz w:val="20"/>
          <w:szCs w:val="20"/>
          <w:color w:val="auto"/>
        </w:rPr>
      </w:pPr>
    </w:p>
    <w:p>
      <w:pPr>
        <w:ind w:right="260" w:firstLine="648"/>
        <w:spacing w:after="0" w:line="352" w:lineRule="auto"/>
        <w:rPr>
          <w:sz w:val="20"/>
          <w:szCs w:val="20"/>
          <w:color w:val="auto"/>
        </w:rPr>
      </w:pPr>
      <w:r>
        <w:rPr>
          <w:rFonts w:ascii="Arial" w:cs="Arial" w:eastAsia="Arial" w:hAnsi="Arial"/>
          <w:sz w:val="20"/>
          <w:szCs w:val="20"/>
          <w:color w:val="auto"/>
        </w:rPr>
        <w:t>Hochschild has been in his current role with Discover since 2004. Prior to that, he was executive vice president, chief administrative and chief strategy officer of Morgan Stanley. He was chief marketing officer of Discover before that. Prior to joining Discover, Hochschild worked at MBNA America with responsibility for direct response marketing and Internet strategy.</w:t>
      </w:r>
    </w:p>
    <w:p>
      <w:pPr>
        <w:spacing w:after="0" w:line="1" w:lineRule="exact"/>
        <w:rPr>
          <w:sz w:val="20"/>
          <w:szCs w:val="20"/>
          <w:color w:val="auto"/>
        </w:rPr>
      </w:pPr>
    </w:p>
    <w:p>
      <w:pPr>
        <w:ind w:right="40" w:firstLine="648"/>
        <w:spacing w:after="0" w:line="352" w:lineRule="auto"/>
        <w:rPr>
          <w:sz w:val="20"/>
          <w:szCs w:val="20"/>
          <w:color w:val="auto"/>
        </w:rPr>
      </w:pPr>
      <w:r>
        <w:rPr>
          <w:rFonts w:ascii="Arial" w:cs="Arial" w:eastAsia="Arial" w:hAnsi="Arial"/>
          <w:sz w:val="20"/>
          <w:szCs w:val="20"/>
          <w:color w:val="auto"/>
        </w:rPr>
        <w:t>Hochschild has a bachelor’s degree in economics from Georgetown University and an MBA from the Amos Tuck School at Dartmouth College.</w:t>
      </w:r>
    </w:p>
    <w:p>
      <w:pPr>
        <w:spacing w:after="0" w:line="1" w:lineRule="exact"/>
        <w:rPr>
          <w:sz w:val="20"/>
          <w:szCs w:val="20"/>
          <w:color w:val="auto"/>
        </w:rPr>
      </w:pPr>
    </w:p>
    <w:p>
      <w:pPr>
        <w:ind w:right="360" w:firstLine="648"/>
        <w:spacing w:after="0" w:line="352" w:lineRule="auto"/>
        <w:rPr>
          <w:sz w:val="20"/>
          <w:szCs w:val="20"/>
          <w:color w:val="auto"/>
        </w:rPr>
      </w:pPr>
      <w:r>
        <w:rPr>
          <w:rFonts w:ascii="Arial" w:cs="Arial" w:eastAsia="Arial" w:hAnsi="Arial"/>
          <w:sz w:val="20"/>
          <w:szCs w:val="20"/>
          <w:color w:val="auto"/>
        </w:rPr>
        <w:t>Hochschild commented, “I look forward to working closely with The Principal on continued expansion as the company deepens its extensive global reach and executes its aggressive growth strategy.”</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20"/>
          <w:szCs w:val="20"/>
          <w:color w:val="auto"/>
        </w:rPr>
        <w:t xml:space="preserve">For more news and insights from The Principal, connect with us on Twitter at: </w:t>
      </w:r>
      <w:r>
        <w:rPr>
          <w:rFonts w:ascii="Arial" w:cs="Arial" w:eastAsia="Arial" w:hAnsi="Arial"/>
          <w:sz w:val="20"/>
          <w:szCs w:val="20"/>
          <w:u w:val="single" w:color="auto"/>
          <w:color w:val="0000FF"/>
        </w:rPr>
        <w:t>http://twitter.com/ThePrincipal</w:t>
      </w:r>
      <w:r>
        <w:rPr>
          <w:rFonts w:ascii="Arial" w:cs="Arial" w:eastAsia="Arial" w:hAnsi="Arial"/>
          <w:sz w:val="20"/>
          <w:szCs w:val="20"/>
          <w:color w:val="auto"/>
        </w:rPr>
        <w:t>.</w:t>
      </w:r>
    </w:p>
    <w:p>
      <w:pPr>
        <w:sectPr>
          <w:pgSz w:w="11900" w:h="16838" w:orient="portrait"/>
          <w:cols w:equalWidth="0" w:num="1">
            <w:col w:w="11400"/>
          </w:cols>
          <w:pgMar w:left="240" w:top="576" w:right="259" w:bottom="1440" w:gutter="0" w:footer="0" w:header="0"/>
          <w:type w:val="continuous"/>
        </w:sectPr>
      </w:pPr>
    </w:p>
    <w:bookmarkStart w:id="3" w:name="page4"/>
    <w:bookmarkEnd w:id="3"/>
    <w:p>
      <w:pPr>
        <w:ind w:left="340"/>
        <w:spacing w:after="0"/>
        <w:rPr>
          <w:sz w:val="20"/>
          <w:szCs w:val="20"/>
          <w:color w:val="auto"/>
        </w:rPr>
      </w:pPr>
      <w:r>
        <w:rPr>
          <w:rFonts w:ascii="Arial" w:cs="Arial" w:eastAsia="Arial" w:hAnsi="Arial"/>
          <w:sz w:val="19"/>
          <w:szCs w:val="19"/>
          <w:b w:val="1"/>
          <w:bCs w:val="1"/>
          <w:color w:val="auto"/>
        </w:rPr>
        <w:t>About the Principal Financial Group</w:t>
      </w:r>
    </w:p>
    <w:p>
      <w:pPr>
        <w:spacing w:after="0" w:line="66" w:lineRule="exact"/>
        <w:rPr>
          <w:sz w:val="20"/>
          <w:szCs w:val="20"/>
          <w:color w:val="auto"/>
        </w:rPr>
      </w:pPr>
    </w:p>
    <w:p>
      <w:pPr>
        <w:ind w:left="340"/>
        <w:spacing w:after="0" w:line="399" w:lineRule="auto"/>
        <w:rPr>
          <w:sz w:val="20"/>
          <w:szCs w:val="20"/>
          <w:color w:val="auto"/>
        </w:rPr>
      </w:pPr>
      <w:r>
        <w:rPr>
          <w:rFonts w:ascii="Arial" w:cs="Arial" w:eastAsia="Arial" w:hAnsi="Arial"/>
          <w:sz w:val="17"/>
          <w:szCs w:val="17"/>
          <w:color w:val="auto"/>
        </w:rPr>
        <w:t>The Principal Financial Group</w:t>
      </w:r>
      <w:r>
        <w:rPr>
          <w:rFonts w:ascii="Arial" w:cs="Arial" w:eastAsia="Arial" w:hAnsi="Arial"/>
          <w:sz w:val="21"/>
          <w:szCs w:val="21"/>
          <w:color w:val="auto"/>
          <w:vertAlign w:val="superscript"/>
        </w:rPr>
        <w:t>®</w:t>
      </w:r>
      <w:r>
        <w:rPr>
          <w:rFonts w:ascii="Arial" w:cs="Arial" w:eastAsia="Arial" w:hAnsi="Arial"/>
          <w:sz w:val="17"/>
          <w:szCs w:val="17"/>
          <w:color w:val="auto"/>
        </w:rPr>
        <w:t xml:space="preserve"> (The Principal</w:t>
      </w:r>
      <w:r>
        <w:rPr>
          <w:rFonts w:ascii="Arial" w:cs="Arial" w:eastAsia="Arial" w:hAnsi="Arial"/>
          <w:sz w:val="21"/>
          <w:szCs w:val="21"/>
          <w:color w:val="auto"/>
          <w:vertAlign w:val="superscript"/>
        </w:rPr>
        <w:t>®</w:t>
      </w:r>
      <w:r>
        <w:rPr>
          <w:rFonts w:ascii="Arial" w:cs="Arial" w:eastAsia="Arial" w:hAnsi="Arial"/>
          <w:sz w:val="17"/>
          <w:szCs w:val="17"/>
          <w:color w:val="auto"/>
        </w:rPr>
        <w:t>)</w:t>
      </w:r>
      <w:r>
        <w:rPr>
          <w:rFonts w:ascii="Arial" w:cs="Arial" w:eastAsia="Arial" w:hAnsi="Arial"/>
          <w:sz w:val="21"/>
          <w:szCs w:val="21"/>
          <w:color w:val="auto"/>
          <w:vertAlign w:val="superscript"/>
        </w:rPr>
        <w:t>1</w:t>
      </w:r>
      <w:r>
        <w:rPr>
          <w:rFonts w:ascii="Arial" w:cs="Arial" w:eastAsia="Arial" w:hAnsi="Arial"/>
          <w:sz w:val="17"/>
          <w:szCs w:val="17"/>
          <w:color w:val="auto"/>
        </w:rPr>
        <w:t xml:space="preserve"> is a global investment management leader offering retirement services, insurance solutions and asset management. The Principal offers businesses, individuals and institutional clients a wide range of financial products and services, including retirement, asset management and insurance through its diverse family of financial services companies. Founded in</w:t>
      </w:r>
    </w:p>
    <w:p>
      <w:pPr>
        <w:spacing w:after="0" w:line="2" w:lineRule="exact"/>
        <w:rPr>
          <w:sz w:val="20"/>
          <w:szCs w:val="20"/>
          <w:color w:val="auto"/>
        </w:rPr>
      </w:pPr>
    </w:p>
    <w:p>
      <w:pPr>
        <w:jc w:val="both"/>
        <w:ind w:left="340" w:right="20"/>
        <w:spacing w:after="0" w:line="412" w:lineRule="auto"/>
        <w:rPr>
          <w:sz w:val="20"/>
          <w:szCs w:val="20"/>
          <w:color w:val="auto"/>
        </w:rPr>
      </w:pPr>
      <w:r>
        <w:rPr>
          <w:rFonts w:ascii="Arial" w:cs="Arial" w:eastAsia="Arial" w:hAnsi="Arial"/>
          <w:sz w:val="18"/>
          <w:szCs w:val="18"/>
          <w:color w:val="auto"/>
        </w:rPr>
        <w:t>1879 and a member of the FORTUNE 500</w:t>
      </w:r>
      <w:r>
        <w:rPr>
          <w:rFonts w:ascii="Arial" w:cs="Arial" w:eastAsia="Arial" w:hAnsi="Arial"/>
          <w:sz w:val="23"/>
          <w:szCs w:val="23"/>
          <w:color w:val="auto"/>
          <w:vertAlign w:val="superscript"/>
        </w:rPr>
        <w:t>®</w:t>
      </w:r>
      <w:r>
        <w:rPr>
          <w:rFonts w:ascii="Arial" w:cs="Arial" w:eastAsia="Arial" w:hAnsi="Arial"/>
          <w:sz w:val="18"/>
          <w:szCs w:val="18"/>
          <w:color w:val="auto"/>
        </w:rPr>
        <w:t>, the Principal Financial Group has $519.3 billion in assets under management</w:t>
      </w:r>
      <w:r>
        <w:rPr>
          <w:rFonts w:ascii="Arial" w:cs="Arial" w:eastAsia="Arial" w:hAnsi="Arial"/>
          <w:sz w:val="23"/>
          <w:szCs w:val="23"/>
          <w:color w:val="auto"/>
          <w:vertAlign w:val="superscript"/>
        </w:rPr>
        <w:t>2</w:t>
      </w:r>
      <w:r>
        <w:rPr>
          <w:rFonts w:ascii="Arial" w:cs="Arial" w:eastAsia="Arial" w:hAnsi="Arial"/>
          <w:sz w:val="18"/>
          <w:szCs w:val="18"/>
          <w:color w:val="auto"/>
        </w:rPr>
        <w:t xml:space="preserve"> and serves some 19.7 million customers worldwide from offices in Asia, Australia, Europe, Latin America and the United States. Principal Financial Group, Inc. is traded on the New York Stock Exchange under the ticker symbol PFG. For more information, visit </w:t>
      </w:r>
      <w:r>
        <w:rPr>
          <w:rFonts w:ascii="Arial" w:cs="Arial" w:eastAsia="Arial" w:hAnsi="Arial"/>
          <w:sz w:val="18"/>
          <w:szCs w:val="18"/>
          <w:u w:val="single" w:color="auto"/>
          <w:color w:val="0000FF"/>
        </w:rPr>
        <w:t>www.principal.com</w:t>
      </w:r>
      <w:r>
        <w:rPr>
          <w:rFonts w:ascii="Arial" w:cs="Arial" w:eastAsia="Arial" w:hAnsi="Arial"/>
          <w:sz w:val="18"/>
          <w:szCs w:val="18"/>
          <w:color w:val="auto"/>
        </w:rPr>
        <w:t>.</w:t>
      </w:r>
    </w:p>
    <w:p>
      <w:pPr>
        <w:spacing w:after="0" w:line="200" w:lineRule="exact"/>
        <w:rPr>
          <w:sz w:val="20"/>
          <w:szCs w:val="20"/>
          <w:color w:val="auto"/>
        </w:rPr>
      </w:pPr>
    </w:p>
    <w:p>
      <w:pPr>
        <w:spacing w:after="0" w:line="337"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____________________________________</w:t>
      </w:r>
    </w:p>
    <w:p>
      <w:pPr>
        <w:spacing w:after="0" w:line="66" w:lineRule="exact"/>
        <w:rPr>
          <w:sz w:val="20"/>
          <w:szCs w:val="20"/>
          <w:color w:val="auto"/>
        </w:rPr>
      </w:pPr>
    </w:p>
    <w:p>
      <w:pPr>
        <w:ind w:left="80" w:hanging="72"/>
        <w:spacing w:after="0"/>
        <w:tabs>
          <w:tab w:leader="none" w:pos="80" w:val="left"/>
        </w:tabs>
        <w:numPr>
          <w:ilvl w:val="0"/>
          <w:numId w:val="3"/>
        </w:numPr>
        <w:rPr>
          <w:rFonts w:ascii="Arial" w:cs="Arial" w:eastAsia="Arial" w:hAnsi="Arial"/>
          <w:sz w:val="9"/>
          <w:szCs w:val="9"/>
          <w:color w:val="auto"/>
        </w:rPr>
      </w:pPr>
      <w:r>
        <w:rPr>
          <w:rFonts w:ascii="Arial" w:cs="Arial" w:eastAsia="Arial" w:hAnsi="Arial"/>
          <w:sz w:val="14"/>
          <w:szCs w:val="14"/>
          <w:color w:val="auto"/>
        </w:rPr>
        <w:t>“The Principal Financial Group” and “The Principal” are registered service marks of Principal Financial Services, Inc., a member of the Principal Financial Group.</w:t>
      </w:r>
    </w:p>
    <w:p>
      <w:pPr>
        <w:spacing w:after="0" w:line="13" w:lineRule="exact"/>
        <w:rPr>
          <w:rFonts w:ascii="Arial" w:cs="Arial" w:eastAsia="Arial" w:hAnsi="Arial"/>
          <w:sz w:val="9"/>
          <w:szCs w:val="9"/>
          <w:color w:val="auto"/>
        </w:rPr>
      </w:pPr>
    </w:p>
    <w:p>
      <w:pPr>
        <w:spacing w:after="0"/>
        <w:rPr>
          <w:rFonts w:ascii="Arial" w:cs="Arial" w:eastAsia="Arial" w:hAnsi="Arial"/>
          <w:sz w:val="9"/>
          <w:szCs w:val="9"/>
          <w:color w:val="auto"/>
        </w:rPr>
      </w:pPr>
      <w:r>
        <w:rPr>
          <w:rFonts w:ascii="Arial" w:cs="Arial" w:eastAsia="Arial" w:hAnsi="Arial"/>
          <w:sz w:val="9"/>
          <w:szCs w:val="9"/>
          <w:color w:val="auto"/>
        </w:rPr>
        <w:t xml:space="preserve">2 </w:t>
      </w:r>
      <w:r>
        <w:rPr>
          <w:rFonts w:ascii="Arial" w:cs="Arial" w:eastAsia="Arial" w:hAnsi="Arial"/>
          <w:sz w:val="14"/>
          <w:szCs w:val="14"/>
          <w:color w:val="auto"/>
        </w:rPr>
        <w:t>As of Dec 31, 2014.</w:t>
      </w:r>
    </w:p>
    <w:sectPr>
      <w:pgSz w:w="11900" w:h="16838" w:orient="portrait"/>
      <w:cols w:equalWidth="0" w:num="1">
        <w:col w:w="11400"/>
      </w:cols>
      <w:pgMar w:left="240" w:top="638"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lowerLetter"/>
      <w:start w:val="4"/>
    </w:lvl>
  </w:abstractNum>
  <w:abstractNum w:abstractNumId="2">
    <w:nsid w:val="19495CFF"/>
    <w:multiLevelType w:val="hybridMultilevel"/>
    <w:lvl w:ilvl="0">
      <w:lvlJc w:val="left"/>
      <w:lvlText w:val="1"/>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2020-01-22T23:14:24Z</dcterms:created>
  <dcterms:modified xsi:type="dcterms:W3CDTF">2020-01-22T23:14:24Z</dcterms:modified>
</cp:coreProperties>
</file>